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6C63FF"/>
          <w:sz w:val="72"/>
          <w:szCs w:val="72"/>
        </w:rPr>
        <w:t xml:space="preserve">MOVA</w:t>
      </w:r>
    </w:p>
    <w:p>
      <w:pPr>
        <w:spacing w:after="100"/>
      </w:pPr>
      <w:r>
        <w:rPr>
          <w:rFonts w:ascii="Arial" w:cs="Arial" w:eastAsia="Arial" w:hAnsi="Arial"/>
          <w:i/>
          <w:iCs/>
          <w:color w:val="888888"/>
          <w:sz w:val="28"/>
          <w:szCs w:val="28"/>
        </w:rPr>
        <w:t xml:space="preserve">Move. Anywhere. Anytime.</w:t>
      </w:r>
    </w:p>
    <w:p>
      <w:pPr>
        <w:spacing w:after="600" w:before="200"/>
      </w:pPr>
      <w:r>
        <w:rPr>
          <w:rFonts w:ascii="Arial" w:cs="Arial" w:eastAsia="Arial" w:hAnsi="Arial"/>
          <w:b/>
          <w:bCs/>
          <w:color w:val="1A1A2E"/>
          <w:sz w:val="32"/>
          <w:szCs w:val="32"/>
        </w:rPr>
        <w:t xml:space="preserve">CAHIER DES CHARGES FONCTIONNEL &amp;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Version</w:t>
            </w:r>
          </w:p>
        </w:tc>
        <w:tc>
          <w:tcPr>
            <w:tcW w:type="dxa" w:w="6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1.0 — Juin 2026</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Statut</w:t>
            </w:r>
          </w:p>
        </w:tc>
        <w:tc>
          <w:tcPr>
            <w:tcW w:type="dxa" w:w="6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Document de référence projet</w:t>
            </w:r>
          </w:p>
        </w:tc>
      </w:tr>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Domaine</w:t>
            </w:r>
          </w:p>
        </w:tc>
        <w:tc>
          <w:tcPr>
            <w:tcW w:type="dxa" w:w="6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Application mobile de mobilité complète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Plateformes</w:t>
            </w:r>
          </w:p>
        </w:tc>
        <w:tc>
          <w:tcPr>
            <w:tcW w:type="dxa" w:w="6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iOS · Android · Web (PWA)</w:t>
            </w:r>
          </w:p>
        </w:tc>
      </w:tr>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Audience cible</w:t>
            </w:r>
          </w:p>
        </w:tc>
        <w:tc>
          <w:tcPr>
            <w:tcW w:type="dxa" w:w="6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Passagers, Chauffeurs, Livreurs, Gestionnaires</w:t>
            </w:r>
          </w:p>
        </w:tc>
      </w:tr>
    </w:tbl>
    <w:p>
      <w:r>
        <w:br w:type="page"/>
      </w:r>
    </w:p>
    <w:p>
      <w:pPr>
        <w:pStyle w:val="Heading1"/>
        <w:spacing w:after="180" w:before="360"/>
      </w:pPr>
      <w:r>
        <w:rPr>
          <w:rFonts w:ascii="Arial" w:cs="Arial" w:eastAsia="Arial" w:hAnsi="Arial"/>
          <w:b/>
          <w:bCs/>
          <w:color w:val="1A1A2E"/>
          <w:sz w:val="32"/>
          <w:szCs w:val="32"/>
        </w:rPr>
        <w:t xml:space="preserve">1. Contexte &amp; Objectifs</w:t>
      </w:r>
    </w:p>
    <w:p>
      <w:pPr>
        <w:pStyle w:val="Heading2"/>
        <w:spacing w:after="140" w:before="280"/>
      </w:pPr>
      <w:r>
        <w:rPr>
          <w:rFonts w:ascii="Arial" w:cs="Arial" w:eastAsia="Arial" w:hAnsi="Arial"/>
          <w:b/>
          <w:bCs/>
          <w:color w:val="6C63FF"/>
          <w:sz w:val="26"/>
          <w:szCs w:val="26"/>
        </w:rPr>
        <w:t xml:space="preserve">1.1 Présentation du projet</w:t>
      </w:r>
    </w:p>
    <w:p>
      <w:pPr>
        <w:spacing w:after="120"/>
      </w:pPr>
      <w:r>
        <w:rPr>
          <w:rFonts w:ascii="Arial" w:cs="Arial" w:eastAsia="Arial" w:hAnsi="Arial"/>
          <w:color w:val="333333"/>
          <w:sz w:val="22"/>
          <w:szCs w:val="22"/>
        </w:rPr>
        <w:t xml:space="preserve">MOVA est une application mobile de mobilité tout-en-un destinée à centraliser l'ensemble des services de déplacement et de livraison dans une interface unifiée. L'application cible principalement les marchés africains (Afrique de l'Ouest, Centrale et de l'Est) avec une extension possible vers les marchés européens et moyen-orientaux.</w:t>
      </w:r>
    </w:p>
    <w:p>
      <w:pPr>
        <w:spacing w:after="120"/>
      </w:pPr>
      <w:r>
        <w:rPr>
          <w:rFonts w:ascii="Arial" w:cs="Arial" w:eastAsia="Arial" w:hAnsi="Arial"/>
          <w:color w:val="333333"/>
          <w:sz w:val="22"/>
          <w:szCs w:val="22"/>
        </w:rPr>
        <w:t xml:space="preserve">Le projet naît du constat que les utilisateurs jonglent actuellement entre plusieurs applications pour satisfaire leurs besoins de mobilité : une app pour le taxi, une autre pour la livraison de repas, une autre pour la location de véhicules. MOVA ambitionne de supprimer cette friction.</w:t>
      </w:r>
    </w:p>
    <w:p>
      <w:pPr>
        <w:pStyle w:val="Heading2"/>
        <w:spacing w:after="140" w:before="280"/>
      </w:pPr>
      <w:r>
        <w:rPr>
          <w:rFonts w:ascii="Arial" w:cs="Arial" w:eastAsia="Arial" w:hAnsi="Arial"/>
          <w:b/>
          <w:bCs/>
          <w:color w:val="6C63FF"/>
          <w:sz w:val="26"/>
          <w:szCs w:val="26"/>
        </w:rPr>
        <w:t xml:space="preserve">1.2 Objectifs stratégiques</w:t>
      </w:r>
    </w:p>
    <w:p>
      <w:pPr>
        <w:pStyle w:val="ListParagraph"/>
        <w:numPr>
          <w:ilvl w:val="0"/>
          <w:numId w:val="2"/>
        </w:numPr>
        <w:spacing w:after="80"/>
      </w:pPr>
      <w:r>
        <w:rPr>
          <w:rFonts w:ascii="Arial" w:cs="Arial" w:eastAsia="Arial" w:hAnsi="Arial"/>
          <w:color w:val="333333"/>
          <w:sz w:val="21"/>
          <w:szCs w:val="21"/>
        </w:rPr>
        <w:t xml:space="preserve">Créer la plateforme de référence en mobilité urbaine sur les marchés cibles</w:t>
      </w:r>
    </w:p>
    <w:p>
      <w:pPr>
        <w:pStyle w:val="ListParagraph"/>
        <w:numPr>
          <w:ilvl w:val="0"/>
          <w:numId w:val="2"/>
        </w:numPr>
        <w:spacing w:after="80"/>
      </w:pPr>
      <w:r>
        <w:rPr>
          <w:rFonts w:ascii="Arial" w:cs="Arial" w:eastAsia="Arial" w:hAnsi="Arial"/>
          <w:color w:val="333333"/>
          <w:sz w:val="21"/>
          <w:szCs w:val="21"/>
        </w:rPr>
        <w:t xml:space="preserve">Offrir une expérience utilisateur unifiée et fluide pour tous les services de déplacement</w:t>
      </w:r>
    </w:p>
    <w:p>
      <w:pPr>
        <w:pStyle w:val="ListParagraph"/>
        <w:numPr>
          <w:ilvl w:val="0"/>
          <w:numId w:val="2"/>
        </w:numPr>
        <w:spacing w:after="80"/>
      </w:pPr>
      <w:r>
        <w:rPr>
          <w:rFonts w:ascii="Arial" w:cs="Arial" w:eastAsia="Arial" w:hAnsi="Arial"/>
          <w:color w:val="333333"/>
          <w:sz w:val="21"/>
          <w:szCs w:val="21"/>
        </w:rPr>
        <w:t xml:space="preserve">Construire un écosystème à deux côtés : utilisateurs finaux et prestataires (chauffeurs, livreurs)</w:t>
      </w:r>
    </w:p>
    <w:p>
      <w:pPr>
        <w:pStyle w:val="ListParagraph"/>
        <w:numPr>
          <w:ilvl w:val="0"/>
          <w:numId w:val="2"/>
        </w:numPr>
        <w:spacing w:after="80"/>
      </w:pPr>
      <w:r>
        <w:rPr>
          <w:rFonts w:ascii="Arial" w:cs="Arial" w:eastAsia="Arial" w:hAnsi="Arial"/>
          <w:color w:val="333333"/>
          <w:sz w:val="21"/>
          <w:szCs w:val="21"/>
        </w:rPr>
        <w:t xml:space="preserve">Générer des revenus diversifiés via commissions, abonnements et services premium</w:t>
      </w:r>
    </w:p>
    <w:p>
      <w:pPr>
        <w:pStyle w:val="ListParagraph"/>
        <w:numPr>
          <w:ilvl w:val="0"/>
          <w:numId w:val="2"/>
        </w:numPr>
        <w:spacing w:after="80"/>
      </w:pPr>
      <w:r>
        <w:rPr>
          <w:rFonts w:ascii="Arial" w:cs="Arial" w:eastAsia="Arial" w:hAnsi="Arial"/>
          <w:color w:val="333333"/>
          <w:sz w:val="21"/>
          <w:szCs w:val="21"/>
        </w:rPr>
        <w:t xml:space="preserve">Atteindre 500 000 utilisateurs actifs dans les 18 premiers mois post-lancement</w:t>
      </w:r>
    </w:p>
    <w:p>
      <w:pPr>
        <w:pStyle w:val="Heading2"/>
        <w:spacing w:after="140" w:before="280"/>
      </w:pPr>
      <w:r>
        <w:rPr>
          <w:rFonts w:ascii="Arial" w:cs="Arial" w:eastAsia="Arial" w:hAnsi="Arial"/>
          <w:b/>
          <w:bCs/>
          <w:color w:val="6C63FF"/>
          <w:sz w:val="26"/>
          <w:szCs w:val="26"/>
        </w:rPr>
        <w:t xml:space="preserve">1.3 Périmètre</w:t>
      </w:r>
    </w:p>
    <w:p>
      <w:pPr>
        <w:spacing w:after="120"/>
      </w:pPr>
      <w:r>
        <w:rPr>
          <w:rFonts w:ascii="Arial" w:cs="Arial" w:eastAsia="Arial" w:hAnsi="Arial"/>
          <w:color w:val="333333"/>
          <w:sz w:val="22"/>
          <w:szCs w:val="22"/>
        </w:rPr>
        <w:t xml:space="preserve">Le périmètre couvre : application mobile passager (iOS &amp; Android), application mobile chauffeur/livreur, interface web passager (PWA), back-office d'administration, et APIs tierces (cartographie, paiement, SMS).</w:t>
      </w:r>
    </w:p>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2. Services &amp; Fonctionnalités</w:t>
      </w:r>
    </w:p>
    <w:p>
      <w:pPr>
        <w:pStyle w:val="Heading2"/>
        <w:spacing w:after="140" w:before="280"/>
      </w:pPr>
      <w:r>
        <w:rPr>
          <w:rFonts w:ascii="Arial" w:cs="Arial" w:eastAsia="Arial" w:hAnsi="Arial"/>
          <w:b/>
          <w:bCs/>
          <w:color w:val="6C63FF"/>
          <w:sz w:val="26"/>
          <w:szCs w:val="26"/>
        </w:rPr>
        <w:t xml:space="preserve">2.1 Services de transport</w:t>
      </w:r>
    </w:p>
    <w:p>
      <w:pPr>
        <w:pStyle w:val="Heading3"/>
        <w:spacing w:after="100" w:before="200"/>
      </w:pPr>
      <w:r>
        <w:rPr>
          <w:rFonts w:ascii="Arial" w:cs="Arial" w:eastAsia="Arial" w:hAnsi="Arial"/>
          <w:b/>
          <w:bCs/>
          <w:color w:val="1A1A2E"/>
          <w:sz w:val="22"/>
          <w:szCs w:val="22"/>
        </w:rPr>
        <w:t xml:space="preserve">2.1.1 Taxi à la demande</w:t>
      </w:r>
    </w:p>
    <w:p>
      <w:pPr>
        <w:pStyle w:val="ListParagraph"/>
        <w:numPr>
          <w:ilvl w:val="0"/>
          <w:numId w:val="2"/>
        </w:numPr>
        <w:spacing w:after="80"/>
      </w:pPr>
      <w:r>
        <w:rPr>
          <w:rFonts w:ascii="Arial" w:cs="Arial" w:eastAsia="Arial" w:hAnsi="Arial"/>
          <w:color w:val="333333"/>
          <w:sz w:val="21"/>
          <w:szCs w:val="21"/>
        </w:rPr>
        <w:t xml:space="preserve">Commande immédiate avec géolocalisation automatique</w:t>
      </w:r>
    </w:p>
    <w:p>
      <w:pPr>
        <w:pStyle w:val="ListParagraph"/>
        <w:numPr>
          <w:ilvl w:val="0"/>
          <w:numId w:val="2"/>
        </w:numPr>
        <w:spacing w:after="80"/>
      </w:pPr>
      <w:r>
        <w:rPr>
          <w:rFonts w:ascii="Arial" w:cs="Arial" w:eastAsia="Arial" w:hAnsi="Arial"/>
          <w:color w:val="333333"/>
          <w:sz w:val="21"/>
          <w:szCs w:val="21"/>
        </w:rPr>
        <w:t xml:space="preserve">Sélection du type de véhicule (Standard, Confort, VIP, Accessible)</w:t>
      </w:r>
    </w:p>
    <w:p>
      <w:pPr>
        <w:pStyle w:val="ListParagraph"/>
        <w:numPr>
          <w:ilvl w:val="0"/>
          <w:numId w:val="2"/>
        </w:numPr>
        <w:spacing w:after="80"/>
      </w:pPr>
      <w:r>
        <w:rPr>
          <w:rFonts w:ascii="Arial" w:cs="Arial" w:eastAsia="Arial" w:hAnsi="Arial"/>
          <w:color w:val="333333"/>
          <w:sz w:val="21"/>
          <w:szCs w:val="21"/>
        </w:rPr>
        <w:t xml:space="preserve">Estimation de prix avant confirmation de commande</w:t>
      </w:r>
    </w:p>
    <w:p>
      <w:pPr>
        <w:pStyle w:val="ListParagraph"/>
        <w:numPr>
          <w:ilvl w:val="0"/>
          <w:numId w:val="2"/>
        </w:numPr>
        <w:spacing w:after="80"/>
      </w:pPr>
      <w:r>
        <w:rPr>
          <w:rFonts w:ascii="Arial" w:cs="Arial" w:eastAsia="Arial" w:hAnsi="Arial"/>
          <w:color w:val="333333"/>
          <w:sz w:val="21"/>
          <w:szCs w:val="21"/>
        </w:rPr>
        <w:t xml:space="preserve">Suivi en temps réel du chauffeur sur carte interactive</w:t>
      </w:r>
    </w:p>
    <w:p>
      <w:pPr>
        <w:pStyle w:val="ListParagraph"/>
        <w:numPr>
          <w:ilvl w:val="0"/>
          <w:numId w:val="2"/>
        </w:numPr>
        <w:spacing w:after="80"/>
      </w:pPr>
      <w:r>
        <w:rPr>
          <w:rFonts w:ascii="Arial" w:cs="Arial" w:eastAsia="Arial" w:hAnsi="Arial"/>
          <w:color w:val="333333"/>
          <w:sz w:val="21"/>
          <w:szCs w:val="21"/>
        </w:rPr>
        <w:t xml:space="preserve">Partage de trajet avec proches (sécurité)</w:t>
      </w:r>
    </w:p>
    <w:p>
      <w:pPr>
        <w:pStyle w:val="ListParagraph"/>
        <w:numPr>
          <w:ilvl w:val="0"/>
          <w:numId w:val="2"/>
        </w:numPr>
        <w:spacing w:after="80"/>
      </w:pPr>
      <w:r>
        <w:rPr>
          <w:rFonts w:ascii="Arial" w:cs="Arial" w:eastAsia="Arial" w:hAnsi="Arial"/>
          <w:color w:val="333333"/>
          <w:sz w:val="21"/>
          <w:szCs w:val="21"/>
        </w:rPr>
        <w:t xml:space="preserve">Évaluation chauffeur et passager après chaque trajet</w:t>
      </w:r>
    </w:p>
    <w:p>
      <w:pPr>
        <w:pStyle w:val="Heading3"/>
        <w:spacing w:after="100" w:before="200"/>
      </w:pPr>
      <w:r>
        <w:rPr>
          <w:rFonts w:ascii="Arial" w:cs="Arial" w:eastAsia="Arial" w:hAnsi="Arial"/>
          <w:b/>
          <w:bCs/>
          <w:color w:val="1A1A2E"/>
          <w:sz w:val="22"/>
          <w:szCs w:val="22"/>
        </w:rPr>
        <w:t xml:space="preserve">2.1.2 Moto-taxi</w:t>
      </w:r>
    </w:p>
    <w:p>
      <w:pPr>
        <w:pStyle w:val="ListParagraph"/>
        <w:numPr>
          <w:ilvl w:val="0"/>
          <w:numId w:val="2"/>
        </w:numPr>
        <w:spacing w:after="80"/>
      </w:pPr>
      <w:r>
        <w:rPr>
          <w:rFonts w:ascii="Arial" w:cs="Arial" w:eastAsia="Arial" w:hAnsi="Arial"/>
          <w:color w:val="333333"/>
          <w:sz w:val="21"/>
          <w:szCs w:val="21"/>
        </w:rPr>
        <w:t xml:space="preserve">Commande rapide pour trajets courts en zone urbaine</w:t>
      </w:r>
    </w:p>
    <w:p>
      <w:pPr>
        <w:pStyle w:val="ListParagraph"/>
        <w:numPr>
          <w:ilvl w:val="0"/>
          <w:numId w:val="2"/>
        </w:numPr>
        <w:spacing w:after="80"/>
      </w:pPr>
      <w:r>
        <w:rPr>
          <w:rFonts w:ascii="Arial" w:cs="Arial" w:eastAsia="Arial" w:hAnsi="Arial"/>
          <w:color w:val="333333"/>
          <w:sz w:val="21"/>
          <w:szCs w:val="21"/>
        </w:rPr>
        <w:t xml:space="preserve">Tarification spécifique et affichage du temps d'attente minimal</w:t>
      </w:r>
    </w:p>
    <w:p>
      <w:pPr>
        <w:pStyle w:val="ListParagraph"/>
        <w:numPr>
          <w:ilvl w:val="0"/>
          <w:numId w:val="2"/>
        </w:numPr>
        <w:spacing w:after="80"/>
      </w:pPr>
      <w:r>
        <w:rPr>
          <w:rFonts w:ascii="Arial" w:cs="Arial" w:eastAsia="Arial" w:hAnsi="Arial"/>
          <w:color w:val="333333"/>
          <w:sz w:val="21"/>
          <w:szCs w:val="21"/>
        </w:rPr>
        <w:t xml:space="preserve">Casque fourni (option configurable par marché)</w:t>
      </w:r>
    </w:p>
    <w:p>
      <w:pPr>
        <w:pStyle w:val="Heading3"/>
        <w:spacing w:after="100" w:before="200"/>
      </w:pPr>
      <w:r>
        <w:rPr>
          <w:rFonts w:ascii="Arial" w:cs="Arial" w:eastAsia="Arial" w:hAnsi="Arial"/>
          <w:b/>
          <w:bCs/>
          <w:color w:val="1A1A2E"/>
          <w:sz w:val="22"/>
          <w:szCs w:val="22"/>
        </w:rPr>
        <w:t xml:space="preserve">2.1.3 Réservation planifiée</w:t>
      </w:r>
    </w:p>
    <w:p>
      <w:pPr>
        <w:pStyle w:val="ListParagraph"/>
        <w:numPr>
          <w:ilvl w:val="0"/>
          <w:numId w:val="2"/>
        </w:numPr>
        <w:spacing w:after="80"/>
      </w:pPr>
      <w:r>
        <w:rPr>
          <w:rFonts w:ascii="Arial" w:cs="Arial" w:eastAsia="Arial" w:hAnsi="Arial"/>
          <w:color w:val="333333"/>
          <w:sz w:val="21"/>
          <w:szCs w:val="21"/>
        </w:rPr>
        <w:t xml:space="preserve">Réservation de taxi jusqu'à 7 jours à l'avance</w:t>
      </w:r>
    </w:p>
    <w:p>
      <w:pPr>
        <w:pStyle w:val="ListParagraph"/>
        <w:numPr>
          <w:ilvl w:val="0"/>
          <w:numId w:val="2"/>
        </w:numPr>
        <w:spacing w:after="80"/>
      </w:pPr>
      <w:r>
        <w:rPr>
          <w:rFonts w:ascii="Arial" w:cs="Arial" w:eastAsia="Arial" w:hAnsi="Arial"/>
          <w:color w:val="333333"/>
          <w:sz w:val="21"/>
          <w:szCs w:val="21"/>
        </w:rPr>
        <w:t xml:space="preserve">Rappel automatique 30 minutes avant le trajet</w:t>
      </w:r>
    </w:p>
    <w:p>
      <w:pPr>
        <w:pStyle w:val="ListParagraph"/>
        <w:numPr>
          <w:ilvl w:val="0"/>
          <w:numId w:val="2"/>
        </w:numPr>
        <w:spacing w:after="80"/>
      </w:pPr>
      <w:r>
        <w:rPr>
          <w:rFonts w:ascii="Arial" w:cs="Arial" w:eastAsia="Arial" w:hAnsi="Arial"/>
          <w:color w:val="333333"/>
          <w:sz w:val="21"/>
          <w:szCs w:val="21"/>
        </w:rPr>
        <w:t xml:space="preserve">Option retour : réservation aller-retour</w:t>
      </w:r>
    </w:p>
    <w:p>
      <w:pPr>
        <w:pStyle w:val="ListParagraph"/>
        <w:numPr>
          <w:ilvl w:val="0"/>
          <w:numId w:val="2"/>
        </w:numPr>
        <w:spacing w:after="80"/>
      </w:pPr>
      <w:r>
        <w:rPr>
          <w:rFonts w:ascii="Arial" w:cs="Arial" w:eastAsia="Arial" w:hAnsi="Arial"/>
          <w:color w:val="333333"/>
          <w:sz w:val="21"/>
          <w:szCs w:val="21"/>
        </w:rPr>
        <w:t xml:space="preserve">Gestion des rendez-vous récurrents (ex : navette aéroport hebdomadaire)</w:t>
      </w:r>
    </w:p>
    <w:p>
      <w:pPr>
        <w:pStyle w:val="Heading3"/>
        <w:spacing w:after="100" w:before="200"/>
      </w:pPr>
      <w:r>
        <w:rPr>
          <w:rFonts w:ascii="Arial" w:cs="Arial" w:eastAsia="Arial" w:hAnsi="Arial"/>
          <w:b/>
          <w:bCs/>
          <w:color w:val="1A1A2E"/>
          <w:sz w:val="22"/>
          <w:szCs w:val="22"/>
        </w:rPr>
        <w:t xml:space="preserve">2.1.4 Covoiturage</w:t>
      </w:r>
    </w:p>
    <w:p>
      <w:pPr>
        <w:pStyle w:val="ListParagraph"/>
        <w:numPr>
          <w:ilvl w:val="0"/>
          <w:numId w:val="2"/>
        </w:numPr>
        <w:spacing w:after="80"/>
      </w:pPr>
      <w:r>
        <w:rPr>
          <w:rFonts w:ascii="Arial" w:cs="Arial" w:eastAsia="Arial" w:hAnsi="Arial"/>
          <w:color w:val="333333"/>
          <w:sz w:val="21"/>
          <w:szCs w:val="21"/>
        </w:rPr>
        <w:t xml:space="preserve">Mise en relation de passagers partageant le même itinéraire</w:t>
      </w:r>
    </w:p>
    <w:p>
      <w:pPr>
        <w:pStyle w:val="ListParagraph"/>
        <w:numPr>
          <w:ilvl w:val="0"/>
          <w:numId w:val="2"/>
        </w:numPr>
        <w:spacing w:after="80"/>
      </w:pPr>
      <w:r>
        <w:rPr>
          <w:rFonts w:ascii="Arial" w:cs="Arial" w:eastAsia="Arial" w:hAnsi="Arial"/>
          <w:color w:val="333333"/>
          <w:sz w:val="21"/>
          <w:szCs w:val="21"/>
        </w:rPr>
        <w:t xml:space="preserve">Réduction du tarif proportionnelle au nombre de passagers</w:t>
      </w:r>
    </w:p>
    <w:p>
      <w:pPr>
        <w:pStyle w:val="ListParagraph"/>
        <w:numPr>
          <w:ilvl w:val="0"/>
          <w:numId w:val="2"/>
        </w:numPr>
        <w:spacing w:after="80"/>
      </w:pPr>
      <w:r>
        <w:rPr>
          <w:rFonts w:ascii="Arial" w:cs="Arial" w:eastAsia="Arial" w:hAnsi="Arial"/>
          <w:color w:val="333333"/>
          <w:sz w:val="21"/>
          <w:szCs w:val="21"/>
        </w:rPr>
        <w:t xml:space="preserve">Filtres : sexe du conducteur, préférences (musique, silencieux)</w:t>
      </w:r>
    </w:p>
    <w:p>
      <w:pPr>
        <w:pStyle w:val="Heading2"/>
        <w:spacing w:after="140" w:before="280"/>
      </w:pPr>
      <w:r>
        <w:rPr>
          <w:rFonts w:ascii="Arial" w:cs="Arial" w:eastAsia="Arial" w:hAnsi="Arial"/>
          <w:b/>
          <w:bCs/>
          <w:color w:val="6C63FF"/>
          <w:sz w:val="26"/>
          <w:szCs w:val="26"/>
        </w:rPr>
        <w:t xml:space="preserve">2.2 Services de livraison</w:t>
      </w:r>
    </w:p>
    <w:p>
      <w:pPr>
        <w:pStyle w:val="Heading3"/>
        <w:spacing w:after="100" w:before="200"/>
      </w:pPr>
      <w:r>
        <w:rPr>
          <w:rFonts w:ascii="Arial" w:cs="Arial" w:eastAsia="Arial" w:hAnsi="Arial"/>
          <w:b/>
          <w:bCs/>
          <w:color w:val="1A1A2E"/>
          <w:sz w:val="22"/>
          <w:szCs w:val="22"/>
        </w:rPr>
        <w:t xml:space="preserve">2.2.1 Livraison de colis</w:t>
      </w:r>
    </w:p>
    <w:p>
      <w:pPr>
        <w:pStyle w:val="ListParagraph"/>
        <w:numPr>
          <w:ilvl w:val="0"/>
          <w:numId w:val="2"/>
        </w:numPr>
        <w:spacing w:after="80"/>
      </w:pPr>
      <w:r>
        <w:rPr>
          <w:rFonts w:ascii="Arial" w:cs="Arial" w:eastAsia="Arial" w:hAnsi="Arial"/>
          <w:color w:val="333333"/>
          <w:sz w:val="21"/>
          <w:szCs w:val="21"/>
        </w:rPr>
        <w:t xml:space="preserve">Envoi de colis entre particuliers ou professionnels</w:t>
      </w:r>
    </w:p>
    <w:p>
      <w:pPr>
        <w:pStyle w:val="ListParagraph"/>
        <w:numPr>
          <w:ilvl w:val="0"/>
          <w:numId w:val="2"/>
        </w:numPr>
        <w:spacing w:after="80"/>
      </w:pPr>
      <w:r>
        <w:rPr>
          <w:rFonts w:ascii="Arial" w:cs="Arial" w:eastAsia="Arial" w:hAnsi="Arial"/>
          <w:color w:val="333333"/>
          <w:sz w:val="21"/>
          <w:szCs w:val="21"/>
        </w:rPr>
        <w:t xml:space="preserve">Catégories : Documents, Petit colis (&lt;5 kg), Moyen colis (5-20 kg), Grand colis (&gt;20 kg)</w:t>
      </w:r>
    </w:p>
    <w:p>
      <w:pPr>
        <w:pStyle w:val="ListParagraph"/>
        <w:numPr>
          <w:ilvl w:val="0"/>
          <w:numId w:val="2"/>
        </w:numPr>
        <w:spacing w:after="80"/>
      </w:pPr>
      <w:r>
        <w:rPr>
          <w:rFonts w:ascii="Arial" w:cs="Arial" w:eastAsia="Arial" w:hAnsi="Arial"/>
          <w:color w:val="333333"/>
          <w:sz w:val="21"/>
          <w:szCs w:val="21"/>
        </w:rPr>
        <w:t xml:space="preserve">Photo à l'enlèvement et à la livraison (preuve)</w:t>
      </w:r>
    </w:p>
    <w:p>
      <w:pPr>
        <w:pStyle w:val="ListParagraph"/>
        <w:numPr>
          <w:ilvl w:val="0"/>
          <w:numId w:val="2"/>
        </w:numPr>
        <w:spacing w:after="80"/>
      </w:pPr>
      <w:r>
        <w:rPr>
          <w:rFonts w:ascii="Arial" w:cs="Arial" w:eastAsia="Arial" w:hAnsi="Arial"/>
          <w:color w:val="333333"/>
          <w:sz w:val="21"/>
          <w:szCs w:val="21"/>
        </w:rPr>
        <w:t xml:space="preserve">Suivi en temps réel et signature électronique à la livraison</w:t>
      </w:r>
    </w:p>
    <w:p>
      <w:pPr>
        <w:pStyle w:val="ListParagraph"/>
        <w:numPr>
          <w:ilvl w:val="0"/>
          <w:numId w:val="2"/>
        </w:numPr>
        <w:spacing w:after="80"/>
      </w:pPr>
      <w:r>
        <w:rPr>
          <w:rFonts w:ascii="Arial" w:cs="Arial" w:eastAsia="Arial" w:hAnsi="Arial"/>
          <w:color w:val="333333"/>
          <w:sz w:val="21"/>
          <w:szCs w:val="21"/>
        </w:rPr>
        <w:t xml:space="preserve">Assurance colis optionnelle</w:t>
      </w:r>
    </w:p>
    <w:p>
      <w:pPr>
        <w:pStyle w:val="Heading3"/>
        <w:spacing w:after="100" w:before="200"/>
      </w:pPr>
      <w:r>
        <w:rPr>
          <w:rFonts w:ascii="Arial" w:cs="Arial" w:eastAsia="Arial" w:hAnsi="Arial"/>
          <w:b/>
          <w:bCs/>
          <w:color w:val="1A1A2E"/>
          <w:sz w:val="22"/>
          <w:szCs w:val="22"/>
        </w:rPr>
        <w:t xml:space="preserve">2.2.2 Livraison de repas</w:t>
      </w:r>
    </w:p>
    <w:p>
      <w:pPr>
        <w:pStyle w:val="ListParagraph"/>
        <w:numPr>
          <w:ilvl w:val="0"/>
          <w:numId w:val="2"/>
        </w:numPr>
        <w:spacing w:after="80"/>
      </w:pPr>
      <w:r>
        <w:rPr>
          <w:rFonts w:ascii="Arial" w:cs="Arial" w:eastAsia="Arial" w:hAnsi="Arial"/>
          <w:color w:val="333333"/>
          <w:sz w:val="21"/>
          <w:szCs w:val="21"/>
        </w:rPr>
        <w:t xml:space="preserve">Partenariat avec restaurants locaux</w:t>
      </w:r>
    </w:p>
    <w:p>
      <w:pPr>
        <w:pStyle w:val="ListParagraph"/>
        <w:numPr>
          <w:ilvl w:val="0"/>
          <w:numId w:val="2"/>
        </w:numPr>
        <w:spacing w:after="80"/>
      </w:pPr>
      <w:r>
        <w:rPr>
          <w:rFonts w:ascii="Arial" w:cs="Arial" w:eastAsia="Arial" w:hAnsi="Arial"/>
          <w:color w:val="333333"/>
          <w:sz w:val="21"/>
          <w:szCs w:val="21"/>
        </w:rPr>
        <w:t xml:space="preserve">Commande multi-restaurant dans une même session</w:t>
      </w:r>
    </w:p>
    <w:p>
      <w:pPr>
        <w:pStyle w:val="ListParagraph"/>
        <w:numPr>
          <w:ilvl w:val="0"/>
          <w:numId w:val="2"/>
        </w:numPr>
        <w:spacing w:after="80"/>
      </w:pPr>
      <w:r>
        <w:rPr>
          <w:rFonts w:ascii="Arial" w:cs="Arial" w:eastAsia="Arial" w:hAnsi="Arial"/>
          <w:color w:val="333333"/>
          <w:sz w:val="21"/>
          <w:szCs w:val="21"/>
        </w:rPr>
        <w:t xml:space="preserve">Estimation du temps de préparation + livraison</w:t>
      </w:r>
    </w:p>
    <w:p>
      <w:pPr>
        <w:pStyle w:val="ListParagraph"/>
        <w:numPr>
          <w:ilvl w:val="0"/>
          <w:numId w:val="2"/>
        </w:numPr>
        <w:spacing w:after="80"/>
      </w:pPr>
      <w:r>
        <w:rPr>
          <w:rFonts w:ascii="Arial" w:cs="Arial" w:eastAsia="Arial" w:hAnsi="Arial"/>
          <w:color w:val="333333"/>
          <w:sz w:val="21"/>
          <w:szCs w:val="21"/>
        </w:rPr>
        <w:t xml:space="preserve">Gestion des préférences alimentaires (allergènes, régimes)</w:t>
      </w:r>
    </w:p>
    <w:p>
      <w:pPr>
        <w:pStyle w:val="Heading3"/>
        <w:spacing w:after="100" w:before="200"/>
      </w:pPr>
      <w:r>
        <w:rPr>
          <w:rFonts w:ascii="Arial" w:cs="Arial" w:eastAsia="Arial" w:hAnsi="Arial"/>
          <w:b/>
          <w:bCs/>
          <w:color w:val="1A1A2E"/>
          <w:sz w:val="22"/>
          <w:szCs w:val="22"/>
        </w:rPr>
        <w:t xml:space="preserve">2.2.3 Courses &amp; commissions</w:t>
      </w:r>
    </w:p>
    <w:p>
      <w:pPr>
        <w:pStyle w:val="ListParagraph"/>
        <w:numPr>
          <w:ilvl w:val="0"/>
          <w:numId w:val="2"/>
        </w:numPr>
        <w:spacing w:after="80"/>
      </w:pPr>
      <w:r>
        <w:rPr>
          <w:rFonts w:ascii="Arial" w:cs="Arial" w:eastAsia="Arial" w:hAnsi="Arial"/>
          <w:color w:val="333333"/>
          <w:sz w:val="21"/>
          <w:szCs w:val="21"/>
        </w:rPr>
        <w:t xml:space="preserve">Service de commission : achats en supermarché, pharmacie, etc.</w:t>
      </w:r>
    </w:p>
    <w:p>
      <w:pPr>
        <w:pStyle w:val="ListParagraph"/>
        <w:numPr>
          <w:ilvl w:val="0"/>
          <w:numId w:val="2"/>
        </w:numPr>
        <w:spacing w:after="80"/>
      </w:pPr>
      <w:r>
        <w:rPr>
          <w:rFonts w:ascii="Arial" w:cs="Arial" w:eastAsia="Arial" w:hAnsi="Arial"/>
          <w:color w:val="333333"/>
          <w:sz w:val="21"/>
          <w:szCs w:val="21"/>
        </w:rPr>
        <w:t xml:space="preserve">Liste de courses envoyée au livreur via l'app</w:t>
      </w:r>
    </w:p>
    <w:p>
      <w:pPr>
        <w:pStyle w:val="ListParagraph"/>
        <w:numPr>
          <w:ilvl w:val="0"/>
          <w:numId w:val="2"/>
        </w:numPr>
        <w:spacing w:after="80"/>
      </w:pPr>
      <w:r>
        <w:rPr>
          <w:rFonts w:ascii="Arial" w:cs="Arial" w:eastAsia="Arial" w:hAnsi="Arial"/>
          <w:color w:val="333333"/>
          <w:sz w:val="21"/>
          <w:szCs w:val="21"/>
        </w:rPr>
        <w:t xml:space="preserve">Paiement avancé sécurisé par le passager</w:t>
      </w:r>
    </w:p>
    <w:p>
      <w:pPr>
        <w:pStyle w:val="Heading2"/>
        <w:spacing w:after="140" w:before="280"/>
      </w:pPr>
      <w:r>
        <w:rPr>
          <w:rFonts w:ascii="Arial" w:cs="Arial" w:eastAsia="Arial" w:hAnsi="Arial"/>
          <w:b/>
          <w:bCs/>
          <w:color w:val="6C63FF"/>
          <w:sz w:val="26"/>
          <w:szCs w:val="26"/>
        </w:rPr>
        <w:t xml:space="preserve">2.3 Location de véhicules</w:t>
      </w:r>
    </w:p>
    <w:p>
      <w:pPr>
        <w:pStyle w:val="ListParagraph"/>
        <w:numPr>
          <w:ilvl w:val="0"/>
          <w:numId w:val="2"/>
        </w:numPr>
        <w:spacing w:after="80"/>
      </w:pPr>
      <w:r>
        <w:rPr>
          <w:rFonts w:ascii="Arial" w:cs="Arial" w:eastAsia="Arial" w:hAnsi="Arial"/>
          <w:color w:val="333333"/>
          <w:sz w:val="21"/>
          <w:szCs w:val="21"/>
        </w:rPr>
        <w:t xml:space="preserve">Location courte durée : véhicules particuliers, motos, scooters électriques</w:t>
      </w:r>
    </w:p>
    <w:p>
      <w:pPr>
        <w:pStyle w:val="ListParagraph"/>
        <w:numPr>
          <w:ilvl w:val="0"/>
          <w:numId w:val="2"/>
        </w:numPr>
        <w:spacing w:after="80"/>
      </w:pPr>
      <w:r>
        <w:rPr>
          <w:rFonts w:ascii="Arial" w:cs="Arial" w:eastAsia="Arial" w:hAnsi="Arial"/>
          <w:color w:val="333333"/>
          <w:sz w:val="21"/>
          <w:szCs w:val="21"/>
        </w:rPr>
        <w:t xml:space="preserve">Vérification d'identité (KYC) et permis de conduire obligatoires</w:t>
      </w:r>
    </w:p>
    <w:p>
      <w:pPr>
        <w:pStyle w:val="ListParagraph"/>
        <w:numPr>
          <w:ilvl w:val="0"/>
          <w:numId w:val="2"/>
        </w:numPr>
        <w:spacing w:after="80"/>
      </w:pPr>
      <w:r>
        <w:rPr>
          <w:rFonts w:ascii="Arial" w:cs="Arial" w:eastAsia="Arial" w:hAnsi="Arial"/>
          <w:color w:val="333333"/>
          <w:sz w:val="21"/>
          <w:szCs w:val="21"/>
        </w:rPr>
        <w:t xml:space="preserve">Contrat numérique signé dans l'app</w:t>
      </w:r>
    </w:p>
    <w:p>
      <w:pPr>
        <w:pStyle w:val="ListParagraph"/>
        <w:numPr>
          <w:ilvl w:val="0"/>
          <w:numId w:val="2"/>
        </w:numPr>
        <w:spacing w:after="80"/>
      </w:pPr>
      <w:r>
        <w:rPr>
          <w:rFonts w:ascii="Arial" w:cs="Arial" w:eastAsia="Arial" w:hAnsi="Arial"/>
          <w:color w:val="333333"/>
          <w:sz w:val="21"/>
          <w:szCs w:val="21"/>
        </w:rPr>
        <w:t xml:space="preserve">État des lieux photo/vidéo avant et après location</w:t>
      </w:r>
    </w:p>
    <w:p>
      <w:pPr>
        <w:pStyle w:val="ListParagraph"/>
        <w:numPr>
          <w:ilvl w:val="0"/>
          <w:numId w:val="2"/>
        </w:numPr>
        <w:spacing w:after="80"/>
      </w:pPr>
      <w:r>
        <w:rPr>
          <w:rFonts w:ascii="Arial" w:cs="Arial" w:eastAsia="Arial" w:hAnsi="Arial"/>
          <w:color w:val="333333"/>
          <w:sz w:val="21"/>
          <w:szCs w:val="21"/>
        </w:rPr>
        <w:t xml:space="preserve">GPS tracker sur les véhicules loués</w:t>
      </w:r>
    </w:p>
    <w:p>
      <w:pPr>
        <w:pStyle w:val="ListParagraph"/>
        <w:numPr>
          <w:ilvl w:val="0"/>
          <w:numId w:val="2"/>
        </w:numPr>
        <w:spacing w:after="80"/>
      </w:pPr>
      <w:r>
        <w:rPr>
          <w:rFonts w:ascii="Arial" w:cs="Arial" w:eastAsia="Arial" w:hAnsi="Arial"/>
          <w:color w:val="333333"/>
          <w:sz w:val="21"/>
          <w:szCs w:val="21"/>
        </w:rPr>
        <w:t xml:space="preserve">Option chauffeur inclus (avec ou sans conducteur)</w:t>
      </w:r>
    </w:p>
    <w:p>
      <w:pPr>
        <w:pStyle w:val="Heading2"/>
        <w:spacing w:after="140" w:before="280"/>
      </w:pPr>
      <w:r>
        <w:rPr>
          <w:rFonts w:ascii="Arial" w:cs="Arial" w:eastAsia="Arial" w:hAnsi="Arial"/>
          <w:b/>
          <w:bCs/>
          <w:color w:val="6C63FF"/>
          <w:sz w:val="26"/>
          <w:szCs w:val="26"/>
        </w:rPr>
        <w:t xml:space="preserve">2.4 Fonctionnalités transversales</w:t>
      </w:r>
    </w:p>
    <w:p>
      <w:pPr>
        <w:pStyle w:val="Heading3"/>
        <w:spacing w:after="100" w:before="200"/>
      </w:pPr>
      <w:r>
        <w:rPr>
          <w:rFonts w:ascii="Arial" w:cs="Arial" w:eastAsia="Arial" w:hAnsi="Arial"/>
          <w:b/>
          <w:bCs/>
          <w:color w:val="1A1A2E"/>
          <w:sz w:val="22"/>
          <w:szCs w:val="22"/>
        </w:rPr>
        <w:t xml:space="preserve">2.4.1 Wallet MOVA</w:t>
      </w:r>
    </w:p>
    <w:p>
      <w:pPr>
        <w:pStyle w:val="ListParagraph"/>
        <w:numPr>
          <w:ilvl w:val="0"/>
          <w:numId w:val="2"/>
        </w:numPr>
        <w:spacing w:after="80"/>
      </w:pPr>
      <w:r>
        <w:rPr>
          <w:rFonts w:ascii="Arial" w:cs="Arial" w:eastAsia="Arial" w:hAnsi="Arial"/>
          <w:color w:val="333333"/>
          <w:sz w:val="21"/>
          <w:szCs w:val="21"/>
        </w:rPr>
        <w:t xml:space="preserve">Portefeuille numérique intégré rechargeable via mobile money, carte bancaire, virement</w:t>
      </w:r>
    </w:p>
    <w:p>
      <w:pPr>
        <w:pStyle w:val="ListParagraph"/>
        <w:numPr>
          <w:ilvl w:val="0"/>
          <w:numId w:val="2"/>
        </w:numPr>
        <w:spacing w:after="80"/>
      </w:pPr>
      <w:r>
        <w:rPr>
          <w:rFonts w:ascii="Arial" w:cs="Arial" w:eastAsia="Arial" w:hAnsi="Arial"/>
          <w:color w:val="333333"/>
          <w:sz w:val="21"/>
          <w:szCs w:val="21"/>
        </w:rPr>
        <w:t xml:space="preserve">Cashback sur chaque commande (programme de fidélité)</w:t>
      </w:r>
    </w:p>
    <w:p>
      <w:pPr>
        <w:pStyle w:val="ListParagraph"/>
        <w:numPr>
          <w:ilvl w:val="0"/>
          <w:numId w:val="2"/>
        </w:numPr>
        <w:spacing w:after="80"/>
      </w:pPr>
      <w:r>
        <w:rPr>
          <w:rFonts w:ascii="Arial" w:cs="Arial" w:eastAsia="Arial" w:hAnsi="Arial"/>
          <w:color w:val="333333"/>
          <w:sz w:val="21"/>
          <w:szCs w:val="21"/>
        </w:rPr>
        <w:t xml:space="preserve">Transfert de crédits entre utilisateurs</w:t>
      </w:r>
    </w:p>
    <w:p>
      <w:pPr>
        <w:pStyle w:val="Heading3"/>
        <w:spacing w:after="100" w:before="200"/>
      </w:pPr>
      <w:r>
        <w:rPr>
          <w:rFonts w:ascii="Arial" w:cs="Arial" w:eastAsia="Arial" w:hAnsi="Arial"/>
          <w:b/>
          <w:bCs/>
          <w:color w:val="1A1A2E"/>
          <w:sz w:val="22"/>
          <w:szCs w:val="22"/>
        </w:rPr>
        <w:t xml:space="preserve">2.4.2 Profil &amp; sécurité</w:t>
      </w:r>
    </w:p>
    <w:p>
      <w:pPr>
        <w:pStyle w:val="ListParagraph"/>
        <w:numPr>
          <w:ilvl w:val="0"/>
          <w:numId w:val="2"/>
        </w:numPr>
        <w:spacing w:after="80"/>
      </w:pPr>
      <w:r>
        <w:rPr>
          <w:rFonts w:ascii="Arial" w:cs="Arial" w:eastAsia="Arial" w:hAnsi="Arial"/>
          <w:color w:val="333333"/>
          <w:sz w:val="21"/>
          <w:szCs w:val="21"/>
        </w:rPr>
        <w:t xml:space="preserve">Authentification : email, téléphone, Google, Apple ID</w:t>
      </w:r>
    </w:p>
    <w:p>
      <w:pPr>
        <w:pStyle w:val="ListParagraph"/>
        <w:numPr>
          <w:ilvl w:val="0"/>
          <w:numId w:val="2"/>
        </w:numPr>
        <w:spacing w:after="80"/>
      </w:pPr>
      <w:r>
        <w:rPr>
          <w:rFonts w:ascii="Arial" w:cs="Arial" w:eastAsia="Arial" w:hAnsi="Arial"/>
          <w:color w:val="333333"/>
          <w:sz w:val="21"/>
          <w:szCs w:val="21"/>
        </w:rPr>
        <w:t xml:space="preserve">Vérification en deux étapes (2FA)</w:t>
      </w:r>
    </w:p>
    <w:p>
      <w:pPr>
        <w:pStyle w:val="ListParagraph"/>
        <w:numPr>
          <w:ilvl w:val="0"/>
          <w:numId w:val="2"/>
        </w:numPr>
        <w:spacing w:after="80"/>
      </w:pPr>
      <w:r>
        <w:rPr>
          <w:rFonts w:ascii="Arial" w:cs="Arial" w:eastAsia="Arial" w:hAnsi="Arial"/>
          <w:color w:val="333333"/>
          <w:sz w:val="21"/>
          <w:szCs w:val="21"/>
        </w:rPr>
        <w:t xml:space="preserve">Partage de trajet en direct avec contacts de confiance</w:t>
      </w:r>
    </w:p>
    <w:p>
      <w:pPr>
        <w:pStyle w:val="ListParagraph"/>
        <w:numPr>
          <w:ilvl w:val="0"/>
          <w:numId w:val="2"/>
        </w:numPr>
        <w:spacing w:after="80"/>
      </w:pPr>
      <w:r>
        <w:rPr>
          <w:rFonts w:ascii="Arial" w:cs="Arial" w:eastAsia="Arial" w:hAnsi="Arial"/>
          <w:color w:val="333333"/>
          <w:sz w:val="21"/>
          <w:szCs w:val="21"/>
        </w:rPr>
        <w:t xml:space="preserve">Bouton SOS discret (alerte urgence)</w:t>
      </w:r>
    </w:p>
    <w:p>
      <w:pPr>
        <w:pStyle w:val="ListParagraph"/>
        <w:numPr>
          <w:ilvl w:val="0"/>
          <w:numId w:val="2"/>
        </w:numPr>
        <w:spacing w:after="80"/>
      </w:pPr>
      <w:r>
        <w:rPr>
          <w:rFonts w:ascii="Arial" w:cs="Arial" w:eastAsia="Arial" w:hAnsi="Arial"/>
          <w:color w:val="333333"/>
          <w:sz w:val="21"/>
          <w:szCs w:val="21"/>
        </w:rPr>
        <w:t xml:space="preserve">Historique complet des trajets et livraisons</w:t>
      </w:r>
    </w:p>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3. Personas &amp; Cas d'Usage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26"/>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Profil</w:t>
            </w:r>
          </w:p>
        </w:tc>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Besoins principaux</w:t>
            </w:r>
          </w:p>
        </w:tc>
        <w:tc>
          <w:tcPr>
            <w:tcW w:type="dxa" w:w="26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Cas d'usage types</w:t>
            </w:r>
          </w:p>
        </w:tc>
      </w:tr>
      <w:tr>
        <w:tc>
          <w:tcPr>
            <w:tcW w:type="dxa" w:w="18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Kadidia, 28 ans</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Employée de bureau, urbaine</w:t>
            </w:r>
          </w:p>
        </w:tc>
        <w:tc>
          <w:tcPr>
            <w:tcW w:type="dxa" w:w="26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Transport domicile-bureau fiable</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Taxi quotidien + réservation planifiée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Marc, 35 ans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Entrepreneur</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Livraison colis clients + taxi VIP</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Livraison pro + taxi confort</w:t>
            </w:r>
          </w:p>
        </w:tc>
      </w:tr>
      <w:tr>
        <w:tc>
          <w:tcPr>
            <w:tcW w:type="dxa" w:w="18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Awa, 42 ans</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Mère de famille</w:t>
            </w:r>
          </w:p>
        </w:tc>
        <w:tc>
          <w:tcPr>
            <w:tcW w:type="dxa" w:w="26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Courses + livraison repas</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Livraison repas + courses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Ibra, 24 ans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Chauffeur partenaire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Maximiser ses revenus</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Application chauffeur, suivi gains</w:t>
            </w:r>
          </w:p>
        </w:tc>
      </w:tr>
      <w:tr>
        <w:tc>
          <w:tcPr>
            <w:tcW w:type="dxa" w:w="18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Sophie, 31 ans</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Touriste/expatriée</w:t>
            </w:r>
          </w:p>
        </w:tc>
        <w:tc>
          <w:tcPr>
            <w:tcW w:type="dxa" w:w="26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Location voiture + taxi aéroport</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Location sans chauffeur + taxi VIP</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4. Architecture Technique</w:t>
      </w:r>
    </w:p>
    <w:p>
      <w:pPr>
        <w:pStyle w:val="Heading2"/>
        <w:spacing w:after="140" w:before="280"/>
      </w:pPr>
      <w:r>
        <w:rPr>
          <w:rFonts w:ascii="Arial" w:cs="Arial" w:eastAsia="Arial" w:hAnsi="Arial"/>
          <w:b/>
          <w:bCs/>
          <w:color w:val="6C63FF"/>
          <w:sz w:val="26"/>
          <w:szCs w:val="26"/>
        </w:rPr>
        <w:t xml:space="preserve">4.1 Stack technologique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35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App mobile</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React Native (Expo)</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Codebase unique iOS/Android, performance native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Web PWA</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Next.js 14</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SSR, SEO, performance</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Backend API</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Node.js + NestJS</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Scalable, TypeScript, microservices-ready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Base de données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PostgreSQL + Redis</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Données relationnelles + cache temps réel</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Temps réel</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Socket.io / WebSocket</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Suivi GPS et statut en temps réel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Cartographie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Mapbox GL / Google Maps API</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Routing, géocodage, affichage carte</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Paiement</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Stripe + Orange Money + Wave</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Multi-devises, mobile money Afrique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Notifications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Firebase Cloud Messaging</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Push iOS &amp; Android</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SMS/OTP</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Twilio / Africa's Talking</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Couverture africaine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Stockage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AWS S3 / Cloudinary</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Photos, documents KYC, vidéos</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Infrastructure</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AWS / Docker / Kubernetes</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Haute disponibilité, auto-scaling</w:t>
            </w:r>
          </w:p>
        </w:tc>
      </w:tr>
    </w:tbl>
    <w:p>
      <w:pPr>
        <w:pStyle w:val="Heading2"/>
        <w:spacing w:after="140" w:before="280"/>
      </w:pPr>
      <w:r>
        <w:rPr>
          <w:rFonts w:ascii="Arial" w:cs="Arial" w:eastAsia="Arial" w:hAnsi="Arial"/>
          <w:b/>
          <w:bCs/>
          <w:color w:val="6C63FF"/>
          <w:sz w:val="26"/>
          <w:szCs w:val="26"/>
        </w:rPr>
        <w:t xml:space="preserve">4.2 Modules principaux</w:t>
      </w:r>
    </w:p>
    <w:p>
      <w:pPr>
        <w:pStyle w:val="ListParagraph"/>
        <w:numPr>
          <w:ilvl w:val="0"/>
          <w:numId w:val="2"/>
        </w:numPr>
        <w:spacing w:after="80"/>
      </w:pPr>
      <w:r>
        <w:rPr>
          <w:rFonts w:ascii="Arial" w:cs="Arial" w:eastAsia="Arial" w:hAnsi="Arial"/>
          <w:color w:val="333333"/>
          <w:sz w:val="21"/>
          <w:szCs w:val="21"/>
        </w:rPr>
        <w:t xml:space="preserve">Module Auth : inscription, connexion, vérification identité (KYC), gestion sessions</w:t>
      </w:r>
    </w:p>
    <w:p>
      <w:pPr>
        <w:pStyle w:val="ListParagraph"/>
        <w:numPr>
          <w:ilvl w:val="0"/>
          <w:numId w:val="2"/>
        </w:numPr>
        <w:spacing w:after="80"/>
      </w:pPr>
      <w:r>
        <w:rPr>
          <w:rFonts w:ascii="Arial" w:cs="Arial" w:eastAsia="Arial" w:hAnsi="Arial"/>
          <w:color w:val="333333"/>
          <w:sz w:val="21"/>
          <w:szCs w:val="21"/>
        </w:rPr>
        <w:t xml:space="preserve">Module Commande : création, matching chauffeur, suivi, annulation, facturation</w:t>
      </w:r>
    </w:p>
    <w:p>
      <w:pPr>
        <w:pStyle w:val="ListParagraph"/>
        <w:numPr>
          <w:ilvl w:val="0"/>
          <w:numId w:val="2"/>
        </w:numPr>
        <w:spacing w:after="80"/>
      </w:pPr>
      <w:r>
        <w:rPr>
          <w:rFonts w:ascii="Arial" w:cs="Arial" w:eastAsia="Arial" w:hAnsi="Arial"/>
          <w:color w:val="333333"/>
          <w:sz w:val="21"/>
          <w:szCs w:val="21"/>
        </w:rPr>
        <w:t xml:space="preserve">Module GPS &amp; Routing : géolocalisation, calcul d'itinéraire, ETA, traffic</w:t>
      </w:r>
    </w:p>
    <w:p>
      <w:pPr>
        <w:pStyle w:val="ListParagraph"/>
        <w:numPr>
          <w:ilvl w:val="0"/>
          <w:numId w:val="2"/>
        </w:numPr>
        <w:spacing w:after="80"/>
      </w:pPr>
      <w:r>
        <w:rPr>
          <w:rFonts w:ascii="Arial" w:cs="Arial" w:eastAsia="Arial" w:hAnsi="Arial"/>
          <w:color w:val="333333"/>
          <w:sz w:val="21"/>
          <w:szCs w:val="21"/>
        </w:rPr>
        <w:t xml:space="preserve">Module Paiement : wallet, transactions, remboursements, rapports financiers</w:t>
      </w:r>
    </w:p>
    <w:p>
      <w:pPr>
        <w:pStyle w:val="ListParagraph"/>
        <w:numPr>
          <w:ilvl w:val="0"/>
          <w:numId w:val="2"/>
        </w:numPr>
        <w:spacing w:after="80"/>
      </w:pPr>
      <w:r>
        <w:rPr>
          <w:rFonts w:ascii="Arial" w:cs="Arial" w:eastAsia="Arial" w:hAnsi="Arial"/>
          <w:color w:val="333333"/>
          <w:sz w:val="21"/>
          <w:szCs w:val="21"/>
        </w:rPr>
        <w:t xml:space="preserve">Module Notifications : push, SMS, email, in-app</w:t>
      </w:r>
    </w:p>
    <w:p>
      <w:pPr>
        <w:pStyle w:val="ListParagraph"/>
        <w:numPr>
          <w:ilvl w:val="0"/>
          <w:numId w:val="2"/>
        </w:numPr>
        <w:spacing w:after="80"/>
      </w:pPr>
      <w:r>
        <w:rPr>
          <w:rFonts w:ascii="Arial" w:cs="Arial" w:eastAsia="Arial" w:hAnsi="Arial"/>
          <w:color w:val="333333"/>
          <w:sz w:val="21"/>
          <w:szCs w:val="21"/>
        </w:rPr>
        <w:t xml:space="preserve">Module Chauffeur : statut disponibilité, acceptation courses, navigation, revenus</w:t>
      </w:r>
    </w:p>
    <w:p>
      <w:pPr>
        <w:pStyle w:val="ListParagraph"/>
        <w:numPr>
          <w:ilvl w:val="0"/>
          <w:numId w:val="2"/>
        </w:numPr>
        <w:spacing w:after="80"/>
      </w:pPr>
      <w:r>
        <w:rPr>
          <w:rFonts w:ascii="Arial" w:cs="Arial" w:eastAsia="Arial" w:hAnsi="Arial"/>
          <w:color w:val="333333"/>
          <w:sz w:val="21"/>
          <w:szCs w:val="21"/>
        </w:rPr>
        <w:t xml:space="preserve">Module Admin : tableau de bord, gestion utilisateurs, litiges, analytics</w:t>
      </w:r>
    </w:p>
    <w:p>
      <w:pPr>
        <w:pStyle w:val="Heading2"/>
        <w:spacing w:after="140" w:before="280"/>
      </w:pPr>
      <w:r>
        <w:rPr>
          <w:rFonts w:ascii="Arial" w:cs="Arial" w:eastAsia="Arial" w:hAnsi="Arial"/>
          <w:b/>
          <w:bCs/>
          <w:color w:val="6C63FF"/>
          <w:sz w:val="26"/>
          <w:szCs w:val="26"/>
        </w:rPr>
        <w:t xml:space="preserve">4.3 Sécurité &amp; conformité</w:t>
      </w:r>
    </w:p>
    <w:p>
      <w:pPr>
        <w:pStyle w:val="ListParagraph"/>
        <w:numPr>
          <w:ilvl w:val="0"/>
          <w:numId w:val="2"/>
        </w:numPr>
        <w:spacing w:after="80"/>
      </w:pPr>
      <w:r>
        <w:rPr>
          <w:rFonts w:ascii="Arial" w:cs="Arial" w:eastAsia="Arial" w:hAnsi="Arial"/>
          <w:color w:val="333333"/>
          <w:sz w:val="21"/>
          <w:szCs w:val="21"/>
        </w:rPr>
        <w:t xml:space="preserve">Chiffrement TLS 1.3 pour toutes les communications</w:t>
      </w:r>
    </w:p>
    <w:p>
      <w:pPr>
        <w:pStyle w:val="ListParagraph"/>
        <w:numPr>
          <w:ilvl w:val="0"/>
          <w:numId w:val="2"/>
        </w:numPr>
        <w:spacing w:after="80"/>
      </w:pPr>
      <w:r>
        <w:rPr>
          <w:rFonts w:ascii="Arial" w:cs="Arial" w:eastAsia="Arial" w:hAnsi="Arial"/>
          <w:color w:val="333333"/>
          <w:sz w:val="21"/>
          <w:szCs w:val="21"/>
        </w:rPr>
        <w:t xml:space="preserve">Stockage sécurisé des données sensibles (AES-256)</w:t>
      </w:r>
    </w:p>
    <w:p>
      <w:pPr>
        <w:pStyle w:val="ListParagraph"/>
        <w:numPr>
          <w:ilvl w:val="0"/>
          <w:numId w:val="2"/>
        </w:numPr>
        <w:spacing w:after="80"/>
      </w:pPr>
      <w:r>
        <w:rPr>
          <w:rFonts w:ascii="Arial" w:cs="Arial" w:eastAsia="Arial" w:hAnsi="Arial"/>
          <w:color w:val="333333"/>
          <w:sz w:val="21"/>
          <w:szCs w:val="21"/>
        </w:rPr>
        <w:t xml:space="preserve">Conformité RGPD (marchés européens) et lois locales de protection des données</w:t>
      </w:r>
    </w:p>
    <w:p>
      <w:pPr>
        <w:pStyle w:val="ListParagraph"/>
        <w:numPr>
          <w:ilvl w:val="0"/>
          <w:numId w:val="2"/>
        </w:numPr>
        <w:spacing w:after="80"/>
      </w:pPr>
      <w:r>
        <w:rPr>
          <w:rFonts w:ascii="Arial" w:cs="Arial" w:eastAsia="Arial" w:hAnsi="Arial"/>
          <w:color w:val="333333"/>
          <w:sz w:val="21"/>
          <w:szCs w:val="21"/>
        </w:rPr>
        <w:t xml:space="preserve">Audit de sécurité trimestriel</w:t>
      </w:r>
    </w:p>
    <w:p>
      <w:pPr>
        <w:pStyle w:val="ListParagraph"/>
        <w:numPr>
          <w:ilvl w:val="0"/>
          <w:numId w:val="2"/>
        </w:numPr>
        <w:spacing w:after="80"/>
      </w:pPr>
      <w:r>
        <w:rPr>
          <w:rFonts w:ascii="Arial" w:cs="Arial" w:eastAsia="Arial" w:hAnsi="Arial"/>
          <w:color w:val="333333"/>
          <w:sz w:val="21"/>
          <w:szCs w:val="21"/>
        </w:rPr>
        <w:t xml:space="preserve">Anonymisation des données pour analytics</w:t>
      </w:r>
    </w:p>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5.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Indicateur</w:t>
            </w:r>
          </w:p>
        </w:tc>
        <w:tc>
          <w:tcPr>
            <w:tcW w:type="dxa" w:w="43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Cible</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Performance</w:t>
            </w:r>
          </w:p>
        </w:tc>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Temps de chargement app</w:t>
            </w:r>
          </w:p>
        </w:tc>
        <w:tc>
          <w:tcPr>
            <w:tcW w:type="dxa" w:w="43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&lt; 2 secondes (3G)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Performance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Latence suivi GPS</w:t>
            </w:r>
          </w:p>
        </w:tc>
        <w:tc>
          <w:tcPr>
            <w:tcW w:type="dxa" w:w="43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&lt; 3 secondes de délai</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Disponibilité</w:t>
            </w:r>
          </w:p>
        </w:tc>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Uptime SLA</w:t>
            </w:r>
          </w:p>
        </w:tc>
        <w:tc>
          <w:tcPr>
            <w:tcW w:type="dxa" w:w="43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99.9% (&lt; 8h downtime/an)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Scalabilité</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Utilisateurs simultanés</w:t>
            </w:r>
          </w:p>
        </w:tc>
        <w:tc>
          <w:tcPr>
            <w:tcW w:type="dxa" w:w="43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100 000 sessions concurrentes</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Sécurité</w:t>
            </w:r>
          </w:p>
        </w:tc>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Vulnérabilités critiques</w:t>
            </w:r>
          </w:p>
        </w:tc>
        <w:tc>
          <w:tcPr>
            <w:tcW w:type="dxa" w:w="43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Zéro tolérance (OWASP Top 10)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Accessibilité</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Standard</w:t>
            </w:r>
          </w:p>
        </w:tc>
        <w:tc>
          <w:tcPr>
            <w:tcW w:type="dxa" w:w="43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WCAG 2.1 AA</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Offline</w:t>
            </w:r>
          </w:p>
        </w:tc>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Mode hors ligne</w:t>
            </w:r>
          </w:p>
        </w:tc>
        <w:tc>
          <w:tcPr>
            <w:tcW w:type="dxa" w:w="43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Consultation historique &amp; trajets sauvegardés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Internationalisation</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Langues supportées</w:t>
            </w:r>
          </w:p>
        </w:tc>
        <w:tc>
          <w:tcPr>
            <w:tcW w:type="dxa" w:w="43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Français, Anglais, Arabe (V2)</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6. Planning &amp; Jalons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26"/>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Durée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Livrables</w:t>
            </w:r>
          </w:p>
        </w:tc>
        <w:tc>
          <w:tcPr>
            <w:tcW w:type="dxa" w:w="26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Jalons clés</w:t>
            </w:r>
          </w:p>
        </w:tc>
      </w:tr>
      <w:tr>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Phase 0</w:t>
            </w:r>
          </w:p>
        </w:tc>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4 semaines</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Architecture, Design System, API Design</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Validation architecture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Phase 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12 semaines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MVP : Taxi + Auth + Paiement basique</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Beta privée (500 users)</w:t>
            </w:r>
          </w:p>
        </w:tc>
      </w:tr>
      <w:tr>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Phase 2</w:t>
            </w:r>
          </w:p>
        </w:tc>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8 semaines</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Livraison colis &amp; repas, Wallet</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Lancement public V1</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Phase 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8 semaines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Location véhicules, Covoiturage</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V2.0 — expansion géo</w:t>
            </w:r>
          </w:p>
        </w:tc>
      </w:tr>
      <w:tr>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Phase 4</w:t>
            </w:r>
          </w:p>
        </w:tc>
        <w:tc>
          <w:tcPr>
            <w:tcW w:type="dxa" w:w="2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Continu</w:t>
            </w:r>
          </w:p>
        </w:tc>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Analytics avancés, IA matching, V3</w:t>
            </w:r>
          </w:p>
        </w:tc>
        <w:tc>
          <w:tcPr>
            <w:tcW w:type="dxa" w:w="26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Levée de fonds Série A</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7. Estimation Budgétaire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Estimation (USD)</w:t>
            </w:r>
          </w:p>
        </w:tc>
        <w:tc>
          <w:tcPr>
            <w:tcW w:type="dxa" w:w="35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Développement mobile (iOS + Android)</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80 000 – 120 000</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React Native, 6 devs × 6 mois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Développement backend &amp; APIs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60 000 – 90 000</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Node.js, microservices</w:t>
            </w:r>
          </w:p>
        </w:tc>
      </w:tr>
      <w:tr>
        <w:tc>
          <w:tcPr>
            <w:tcW w:type="dxa" w:w="3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Design UX/UI</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20 000 – 35 000</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2 designers × 4 mois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Infrastructure cloud (an 1)</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15 000 – 25 000</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AWS, scaling progressif</w:t>
            </w:r>
          </w:p>
        </w:tc>
      </w:tr>
      <w:tr>
        <w:tc>
          <w:tcPr>
            <w:tcW w:type="dxa" w:w="3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Cartographie &amp; APIs tierces (an 1)</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10 000 – 18 000</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Google Maps / Mapbox</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Sécurité &amp; audit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8 000 – 15 000</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Pentest, certifications</w:t>
            </w:r>
          </w:p>
        </w:tc>
      </w:tr>
      <w:tr>
        <w:tc>
          <w:tcPr>
            <w:tcW w:type="dxa" w:w="3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Marketing lancement</w:t>
            </w:r>
          </w:p>
        </w:tc>
        <w:tc>
          <w:tcPr>
            <w:tcW w:type="dxa" w:w="2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25 000 – 50 000</w:t>
            </w:r>
          </w:p>
        </w:tc>
        <w:tc>
          <w:tcPr>
            <w:tcW w:type="dxa" w:w="35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Digital, terrain, influenceurs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Total estimé</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218 000 – 353 000</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Fourchette projet complet Phase 1-2</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8. Modèle Économique</w:t>
      </w:r>
    </w:p>
    <w:p>
      <w:pPr>
        <w:pStyle w:val="Heading2"/>
        <w:spacing w:after="140" w:before="280"/>
      </w:pPr>
      <w:r>
        <w:rPr>
          <w:rFonts w:ascii="Arial" w:cs="Arial" w:eastAsia="Arial" w:hAnsi="Arial"/>
          <w:b/>
          <w:bCs/>
          <w:color w:val="6C63FF"/>
          <w:sz w:val="26"/>
          <w:szCs w:val="26"/>
        </w:rPr>
        <w:t xml:space="preserve">8.1 Sources de revenus</w:t>
      </w:r>
    </w:p>
    <w:p>
      <w:pPr>
        <w:pStyle w:val="ListParagraph"/>
        <w:numPr>
          <w:ilvl w:val="0"/>
          <w:numId w:val="2"/>
        </w:numPr>
        <w:spacing w:after="80"/>
      </w:pPr>
      <w:r>
        <w:rPr>
          <w:rFonts w:ascii="Arial" w:cs="Arial" w:eastAsia="Arial" w:hAnsi="Arial"/>
          <w:color w:val="333333"/>
          <w:sz w:val="21"/>
          <w:szCs w:val="21"/>
        </w:rPr>
        <w:t xml:space="preserve">Commission par trajet : 15-20% sur chaque course taxi/moto</w:t>
      </w:r>
    </w:p>
    <w:p>
      <w:pPr>
        <w:pStyle w:val="ListParagraph"/>
        <w:numPr>
          <w:ilvl w:val="0"/>
          <w:numId w:val="2"/>
        </w:numPr>
        <w:spacing w:after="80"/>
      </w:pPr>
      <w:r>
        <w:rPr>
          <w:rFonts w:ascii="Arial" w:cs="Arial" w:eastAsia="Arial" w:hAnsi="Arial"/>
          <w:color w:val="333333"/>
          <w:sz w:val="21"/>
          <w:szCs w:val="21"/>
        </w:rPr>
        <w:t xml:space="preserve">Commission livraison : 18-25% sur chaque livraison</w:t>
      </w:r>
    </w:p>
    <w:p>
      <w:pPr>
        <w:pStyle w:val="ListParagraph"/>
        <w:numPr>
          <w:ilvl w:val="0"/>
          <w:numId w:val="2"/>
        </w:numPr>
        <w:spacing w:after="80"/>
      </w:pPr>
      <w:r>
        <w:rPr>
          <w:rFonts w:ascii="Arial" w:cs="Arial" w:eastAsia="Arial" w:hAnsi="Arial"/>
          <w:color w:val="333333"/>
          <w:sz w:val="21"/>
          <w:szCs w:val="21"/>
        </w:rPr>
        <w:t xml:space="preserve">Commission location : 12-15% sur chaque location</w:t>
      </w:r>
    </w:p>
    <w:p>
      <w:pPr>
        <w:pStyle w:val="ListParagraph"/>
        <w:numPr>
          <w:ilvl w:val="0"/>
          <w:numId w:val="2"/>
        </w:numPr>
        <w:spacing w:after="80"/>
      </w:pPr>
      <w:r>
        <w:rPr>
          <w:rFonts w:ascii="Arial" w:cs="Arial" w:eastAsia="Arial" w:hAnsi="Arial"/>
          <w:color w:val="333333"/>
          <w:sz w:val="21"/>
          <w:szCs w:val="21"/>
        </w:rPr>
        <w:t xml:space="preserve">Abonnement chauffeur Premium : 15-25 USD/mois (visibilité accrue, assurance)</w:t>
      </w:r>
    </w:p>
    <w:p>
      <w:pPr>
        <w:pStyle w:val="ListParagraph"/>
        <w:numPr>
          <w:ilvl w:val="0"/>
          <w:numId w:val="2"/>
        </w:numPr>
        <w:spacing w:after="80"/>
      </w:pPr>
      <w:r>
        <w:rPr>
          <w:rFonts w:ascii="Arial" w:cs="Arial" w:eastAsia="Arial" w:hAnsi="Arial"/>
          <w:color w:val="333333"/>
          <w:sz w:val="21"/>
          <w:szCs w:val="21"/>
        </w:rPr>
        <w:t xml:space="preserve">Abonnement passager MOVA+ : 5-10 USD/mois (tarifs réduits, priorité matching)</w:t>
      </w:r>
    </w:p>
    <w:p>
      <w:pPr>
        <w:pStyle w:val="ListParagraph"/>
        <w:numPr>
          <w:ilvl w:val="0"/>
          <w:numId w:val="2"/>
        </w:numPr>
        <w:spacing w:after="80"/>
      </w:pPr>
      <w:r>
        <w:rPr>
          <w:rFonts w:ascii="Arial" w:cs="Arial" w:eastAsia="Arial" w:hAnsi="Arial"/>
          <w:color w:val="333333"/>
          <w:sz w:val="21"/>
          <w:szCs w:val="21"/>
        </w:rPr>
        <w:t xml:space="preserve">Publicité géolocalisée pour partenaires (restaurants, commerces)</w:t>
      </w:r>
    </w:p>
    <w:p>
      <w:pPr>
        <w:pStyle w:val="ListParagraph"/>
        <w:numPr>
          <w:ilvl w:val="0"/>
          <w:numId w:val="2"/>
        </w:numPr>
        <w:spacing w:after="80"/>
      </w:pPr>
      <w:r>
        <w:rPr>
          <w:rFonts w:ascii="Arial" w:cs="Arial" w:eastAsia="Arial" w:hAnsi="Arial"/>
          <w:color w:val="333333"/>
          <w:sz w:val="21"/>
          <w:szCs w:val="21"/>
        </w:rPr>
        <w:t xml:space="preserve">Services B2B : forfaits entreprises pour déplacements salariés</w:t>
      </w:r>
    </w:p>
    <w:p>
      <w:pPr>
        <w:pStyle w:val="Heading2"/>
        <w:spacing w:after="140" w:before="280"/>
      </w:pPr>
      <w:r>
        <w:rPr>
          <w:rFonts w:ascii="Arial" w:cs="Arial" w:eastAsia="Arial" w:hAnsi="Arial"/>
          <w:b/>
          <w:bCs/>
          <w:color w:val="6C63FF"/>
          <w:sz w:val="26"/>
          <w:szCs w:val="26"/>
        </w:rPr>
        <w:t xml:space="preserve">8.2 Indicateurs de succès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Mois 6</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Mois 12</w:t>
            </w:r>
          </w:p>
        </w:tc>
        <w:tc>
          <w:tcPr>
            <w:tcW w:type="dxa" w:w="30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Mois 18</w:t>
            </w:r>
          </w:p>
        </w:tc>
      </w:tr>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Utilisateurs actifs mensuels</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50 000</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200 000</w:t>
            </w:r>
          </w:p>
        </w:tc>
        <w:tc>
          <w:tcPr>
            <w:tcW w:type="dxa" w:w="3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500 000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Chauffeurs/livreurs partenaires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500</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3 000</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8 000</w:t>
            </w:r>
          </w:p>
        </w:tc>
      </w:tr>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Trajets/livraisons par jour</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2 000</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12 000</w:t>
            </w:r>
          </w:p>
        </w:tc>
        <w:tc>
          <w:tcPr>
            <w:tcW w:type="dxa" w:w="3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35 000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GMV mensuel (USD)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60 000</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480 000</w:t>
            </w:r>
          </w:p>
        </w:tc>
        <w:tc>
          <w:tcPr>
            <w:tcW w:type="dxa" w:w="30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1 800 000</w:t>
            </w:r>
          </w:p>
        </w:tc>
      </w:tr>
      <w:tr>
        <w:tc>
          <w:tcPr>
            <w:tcW w:type="dxa" w:w="30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Note app stores</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4.2+</w:t>
            </w:r>
          </w:p>
        </w:tc>
        <w:tc>
          <w:tcPr>
            <w:tcW w:type="dxa" w:w="1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4.4+</w:t>
            </w:r>
          </w:p>
        </w:tc>
        <w:tc>
          <w:tcPr>
            <w:tcW w:type="dxa" w:w="30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4.5+</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9. 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126"/>
      </w:tblGrid>
      <w:t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Risque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Probabilité</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1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Concurrence (Uber, Bolt, InDrive)</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Élevée</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Élevé</w:t>
            </w:r>
          </w:p>
        </w:tc>
        <w:tc>
          <w:tcPr>
            <w:tcW w:type="dxa" w:w="41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Différenciation locale, services exclusifs, pricing adapté</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Recrutement chauffeurs lent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Moyenne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Élevé</w:t>
            </w:r>
          </w:p>
        </w:tc>
        <w:tc>
          <w:tcPr>
            <w:tcW w:type="dxa" w:w="41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Programme d'incitation, partenariats associations chauffeurs</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Fraude paiement mobile</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Moyenne</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Élevé</w:t>
            </w:r>
          </w:p>
        </w:tc>
        <w:tc>
          <w:tcPr>
            <w:tcW w:type="dxa" w:w="41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IA anti-fraude, vérification KYC renforcée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Instabilité réseau (zones rurales)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Élevée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Moyen</w:t>
            </w:r>
          </w:p>
        </w:tc>
        <w:tc>
          <w:tcPr>
            <w:tcW w:type="dxa" w:w="41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Mode offline, compression données GPS</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Réglementation transport</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Faible</w:t>
            </w:r>
          </w:p>
        </w:tc>
        <w:tc>
          <w:tcPr>
            <w:tcW w:type="dxa" w:w="1200"/>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Élevé</w:t>
            </w:r>
          </w:p>
        </w:tc>
        <w:tc>
          <w:tcPr>
            <w:tcW w:type="dxa" w:w="4126"/>
            <w:tcBorders>
              <w:top w:val="single" w:color="DDDDDD" w:sz="1"/>
              <w:left w:val="single" w:color="DDDDDD" w:sz="1"/>
              <w:bottom w:val="single" w:color="DDDDDD" w:sz="1"/>
              <w:right w:val="single" w:color="DDDDDD" w:sz="1"/>
            </w:tcBorders>
            <w:shd w:fill="F5F4FF" w:val="clear"/>
            <w:tcMar>
              <w:top w:type="dxa" w:w="60"/>
              <w:left w:type="dxa" w:w="120"/>
              <w:bottom w:type="dxa" w:w="60"/>
              <w:right w:type="dxa" w:w="120"/>
            </w:tcMar>
          </w:tcPr>
          <w:p>
            <w:r>
              <w:rPr>
                <w:rFonts w:ascii="Arial" w:cs="Arial" w:eastAsia="Arial" w:hAnsi="Arial"/>
                <w:color w:val="333333"/>
                <w:sz w:val="19"/>
                <w:szCs w:val="19"/>
              </w:rPr>
              <w:t xml:space="preserve">Veille juridique, partenariats institutionnels</w:t>
            </w:r>
          </w:p>
        </w:tc>
      </w:tr>
    </w:tbl>
    <w:p>
      <w:pPr>
        <w:spacing w:after="80"/>
      </w:pPr>
      <w:r>
        <w:t xml:space="preserve"/>
      </w:r>
    </w:p>
    <w:p>
      <w:r>
        <w:br w:type="page"/>
      </w:r>
    </w:p>
    <w:p>
      <w:pPr>
        <w:pStyle w:val="Heading1"/>
        <w:spacing w:after="180" w:before="360"/>
      </w:pPr>
      <w:r>
        <w:rPr>
          <w:rFonts w:ascii="Arial" w:cs="Arial" w:eastAsia="Arial" w:hAnsi="Arial"/>
          <w:b/>
          <w:bCs/>
          <w:color w:val="1A1A2E"/>
          <w:sz w:val="32"/>
          <w:szCs w:val="32"/>
        </w:rPr>
        <w:t xml:space="preserve">10. Glossaire &amp; Annexes</w:t>
      </w:r>
    </w:p>
    <w:p>
      <w:pPr>
        <w:pStyle w:val="Heading2"/>
        <w:spacing w:after="140" w:before="280"/>
      </w:pPr>
      <w:r>
        <w:rPr>
          <w:rFonts w:ascii="Arial" w:cs="Arial" w:eastAsia="Arial" w:hAnsi="Arial"/>
          <w:b/>
          <w:bCs/>
          <w:color w:val="6C63FF"/>
          <w:sz w:val="26"/>
          <w:szCs w:val="26"/>
        </w:rPr>
        <w:t xml:space="preserve">10.1 Glossaire</w:t>
      </w:r>
    </w:p>
    <w:p>
      <w:pPr>
        <w:pStyle w:val="ListParagraph"/>
        <w:numPr>
          <w:ilvl w:val="0"/>
          <w:numId w:val="2"/>
        </w:numPr>
        <w:spacing w:after="80"/>
      </w:pPr>
      <w:r>
        <w:rPr>
          <w:rFonts w:ascii="Arial" w:cs="Arial" w:eastAsia="Arial" w:hAnsi="Arial"/>
          <w:color w:val="333333"/>
          <w:sz w:val="21"/>
          <w:szCs w:val="21"/>
        </w:rPr>
        <w:t xml:space="preserve">MVP : Minimum Viable Product — version minimale fonctionnelle</w:t>
      </w:r>
    </w:p>
    <w:p>
      <w:pPr>
        <w:pStyle w:val="ListParagraph"/>
        <w:numPr>
          <w:ilvl w:val="0"/>
          <w:numId w:val="2"/>
        </w:numPr>
        <w:spacing w:after="80"/>
      </w:pPr>
      <w:r>
        <w:rPr>
          <w:rFonts w:ascii="Arial" w:cs="Arial" w:eastAsia="Arial" w:hAnsi="Arial"/>
          <w:color w:val="333333"/>
          <w:sz w:val="21"/>
          <w:szCs w:val="21"/>
        </w:rPr>
        <w:t xml:space="preserve">GMV : Gross Merchandise Value — valeur totale des transactions</w:t>
      </w:r>
    </w:p>
    <w:p>
      <w:pPr>
        <w:pStyle w:val="ListParagraph"/>
        <w:numPr>
          <w:ilvl w:val="0"/>
          <w:numId w:val="2"/>
        </w:numPr>
        <w:spacing w:after="80"/>
      </w:pPr>
      <w:r>
        <w:rPr>
          <w:rFonts w:ascii="Arial" w:cs="Arial" w:eastAsia="Arial" w:hAnsi="Arial"/>
          <w:color w:val="333333"/>
          <w:sz w:val="21"/>
          <w:szCs w:val="21"/>
        </w:rPr>
        <w:t xml:space="preserve">KYC : Know Your Customer — vérification d'identité réglementaire</w:t>
      </w:r>
    </w:p>
    <w:p>
      <w:pPr>
        <w:pStyle w:val="ListParagraph"/>
        <w:numPr>
          <w:ilvl w:val="0"/>
          <w:numId w:val="2"/>
        </w:numPr>
        <w:spacing w:after="80"/>
      </w:pPr>
      <w:r>
        <w:rPr>
          <w:rFonts w:ascii="Arial" w:cs="Arial" w:eastAsia="Arial" w:hAnsi="Arial"/>
          <w:color w:val="333333"/>
          <w:sz w:val="21"/>
          <w:szCs w:val="21"/>
        </w:rPr>
        <w:t xml:space="preserve">ETA : Estimated Time of Arrival — temps d'arrivée estimé</w:t>
      </w:r>
    </w:p>
    <w:p>
      <w:pPr>
        <w:pStyle w:val="ListParagraph"/>
        <w:numPr>
          <w:ilvl w:val="0"/>
          <w:numId w:val="2"/>
        </w:numPr>
        <w:spacing w:after="80"/>
      </w:pPr>
      <w:r>
        <w:rPr>
          <w:rFonts w:ascii="Arial" w:cs="Arial" w:eastAsia="Arial" w:hAnsi="Arial"/>
          <w:color w:val="333333"/>
          <w:sz w:val="21"/>
          <w:szCs w:val="21"/>
        </w:rPr>
        <w:t xml:space="preserve">PWA : Progressive Web App — application web installable</w:t>
      </w:r>
    </w:p>
    <w:p>
      <w:pPr>
        <w:pStyle w:val="ListParagraph"/>
        <w:numPr>
          <w:ilvl w:val="0"/>
          <w:numId w:val="2"/>
        </w:numPr>
        <w:spacing w:after="80"/>
      </w:pPr>
      <w:r>
        <w:rPr>
          <w:rFonts w:ascii="Arial" w:cs="Arial" w:eastAsia="Arial" w:hAnsi="Arial"/>
          <w:color w:val="333333"/>
          <w:sz w:val="21"/>
          <w:szCs w:val="21"/>
        </w:rPr>
        <w:t xml:space="preserve">SLA : Service Level Agreement — accord de niveau de service</w:t>
      </w:r>
    </w:p>
    <w:p>
      <w:pPr>
        <w:pStyle w:val="ListParagraph"/>
        <w:numPr>
          <w:ilvl w:val="0"/>
          <w:numId w:val="2"/>
        </w:numPr>
        <w:spacing w:after="80"/>
      </w:pPr>
      <w:r>
        <w:rPr>
          <w:rFonts w:ascii="Arial" w:cs="Arial" w:eastAsia="Arial" w:hAnsi="Arial"/>
          <w:color w:val="333333"/>
          <w:sz w:val="21"/>
          <w:szCs w:val="21"/>
        </w:rPr>
        <w:t xml:space="preserve">KPI : Key Performance Indicator — indicateur clé de performance</w:t>
      </w:r>
    </w:p>
    <w:p>
      <w:pPr>
        <w:pStyle w:val="Heading2"/>
        <w:spacing w:after="140" w:before="280"/>
      </w:pPr>
      <w:r>
        <w:rPr>
          <w:rFonts w:ascii="Arial" w:cs="Arial" w:eastAsia="Arial" w:hAnsi="Arial"/>
          <w:b/>
          <w:bCs/>
          <w:color w:val="6C63FF"/>
          <w:sz w:val="26"/>
          <w:szCs w:val="26"/>
        </w:rPr>
        <w:t xml:space="preserve">10.2 Documents associés</w:t>
      </w:r>
    </w:p>
    <w:p>
      <w:pPr>
        <w:pStyle w:val="ListParagraph"/>
        <w:numPr>
          <w:ilvl w:val="0"/>
          <w:numId w:val="2"/>
        </w:numPr>
        <w:spacing w:after="80"/>
      </w:pPr>
      <w:r>
        <w:rPr>
          <w:rFonts w:ascii="Arial" w:cs="Arial" w:eastAsia="Arial" w:hAnsi="Arial"/>
          <w:color w:val="333333"/>
          <w:sz w:val="21"/>
          <w:szCs w:val="21"/>
        </w:rPr>
        <w:t xml:space="preserve">MOVA_PRD_v1.0.docx — Product Requirements Document détaillé</w:t>
      </w:r>
    </w:p>
    <w:p>
      <w:pPr>
        <w:pStyle w:val="ListParagraph"/>
        <w:numPr>
          <w:ilvl w:val="0"/>
          <w:numId w:val="2"/>
        </w:numPr>
        <w:spacing w:after="80"/>
      </w:pPr>
      <w:r>
        <w:rPr>
          <w:rFonts w:ascii="Arial" w:cs="Arial" w:eastAsia="Arial" w:hAnsi="Arial"/>
          <w:color w:val="333333"/>
          <w:sz w:val="21"/>
          <w:szCs w:val="21"/>
        </w:rPr>
        <w:t xml:space="preserve">MOVA_Branding_Guide_v1.0.docx — Charte graphique complète</w:t>
      </w:r>
    </w:p>
    <w:p>
      <w:pPr>
        <w:pStyle w:val="ListParagraph"/>
        <w:numPr>
          <w:ilvl w:val="0"/>
          <w:numId w:val="2"/>
        </w:numPr>
        <w:spacing w:after="80"/>
      </w:pPr>
      <w:r>
        <w:rPr>
          <w:rFonts w:ascii="Arial" w:cs="Arial" w:eastAsia="Arial" w:hAnsi="Arial"/>
          <w:color w:val="333333"/>
          <w:sz w:val="21"/>
          <w:szCs w:val="21"/>
        </w:rPr>
        <w:t xml:space="preserve">MOVA_API_Spec_v1.0.pdf — Documentation technique des APIs</w:t>
      </w:r>
    </w:p>
    <w:p>
      <w:pPr>
        <w:pStyle w:val="ListParagraph"/>
        <w:numPr>
          <w:ilvl w:val="0"/>
          <w:numId w:val="2"/>
        </w:numPr>
        <w:spacing w:after="80"/>
      </w:pPr>
      <w:r>
        <w:rPr>
          <w:rFonts w:ascii="Arial" w:cs="Arial" w:eastAsia="Arial" w:hAnsi="Arial"/>
          <w:color w:val="333333"/>
          <w:sz w:val="21"/>
          <w:szCs w:val="21"/>
        </w:rPr>
        <w:t xml:space="preserve">MOVA_Prototype_Figma — Maquettes interactives (lien Figma)</w:t>
      </w:r>
    </w:p>
    <w:p>
      <w:pPr>
        <w:spacing w:after="80"/>
      </w:pPr>
      <w:r>
        <w:t xml:space="preserve"/>
      </w:r>
    </w:p>
    <w:p>
      <w:pPr>
        <w:spacing w:after="120"/>
      </w:pPr>
      <w:r>
        <w:rPr>
          <w:rFonts w:ascii="Arial" w:cs="Arial" w:eastAsia="Arial" w:hAnsi="Arial"/>
          <w:i/>
          <w:iCs/>
          <w:color w:val="888888"/>
          <w:sz w:val="22"/>
          <w:szCs w:val="22"/>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6C63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2026-06-12T06:37:51.866Z</dcterms:created>
  <dcterms:modified xsi:type="dcterms:W3CDTF">2026-06-12T06:37:51.866Z</dcterms:modified>
</cp:coreProperties>
</file>

<file path=docProps/custom.xml><?xml version="1.0" encoding="utf-8"?>
<Properties xmlns="http://schemas.openxmlformats.org/officeDocument/2006/custom-properties" xmlns:vt="http://schemas.openxmlformats.org/officeDocument/2006/docPropsVTypes"/>
</file>