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Malgun Gothic" w:cs="Malgun Gothic" w:eastAsia="맑은 고딕" w:hAnsi="Malgun Gothic"/>
          <w:b/>
          <w:bCs/>
          <w:color w:val="0F766E"/>
          <w:sz w:val="22"/>
          <w:szCs w:val="22"/>
        </w:rPr>
        <w:t xml:space="preserve">RhoBench</w:t>
      </w:r>
      <w:r>
        <w:rPr>
          <w:rFonts w:ascii="Malgun Gothic" w:cs="Malgun Gothic" w:eastAsia="맑은 고딕" w:hAnsi="Malgun Gothic"/>
          <w:color w:val="898781"/>
          <w:sz w:val="20"/>
          <w:szCs w:val="20"/>
        </w:rPr>
        <w:t xml:space="preserve">   분자 물성 · DFT 워크벤치</w:t>
      </w:r>
    </w:p>
    <w:p>
      <w:pPr>
        <w:pBdr>
          <w:bottom w:val="single" w:color="0F766E" w:sz="12" w:space="10"/>
        </w:pBdr>
        <w:spacing w:after="0" w:before="260"/>
      </w:pPr>
      <w:r>
        <w:rPr>
          <w:rFonts w:ascii="Malgun Gothic" w:cs="Malgun Gothic" w:eastAsia="맑은 고딕" w:hAnsi="Malgun Gothic"/>
          <w:b/>
          <w:bCs/>
          <w:color w:val="171716"/>
          <w:sz w:val="56"/>
          <w:szCs w:val="56"/>
        </w:rPr>
        <w:t xml:space="preserve">기술정의서</w:t>
      </w:r>
    </w:p>
    <w:p>
      <w:pPr>
        <w:spacing w:after="60" w:before="300"/>
      </w:pPr>
      <w:r>
        <w:rPr>
          <w:rFonts w:ascii="Malgun Gothic" w:cs="Malgun Gothic" w:eastAsia="맑은 고딕" w:hAnsi="Malgun Gothic"/>
          <w:b/>
          <w:bCs/>
          <w:color w:val="171716"/>
          <w:sz w:val="28"/>
          <w:szCs w:val="28"/>
        </w:rPr>
        <w:t xml:space="preserve">RhoBench 계산 엔진 · 시스템 정의</w:t>
      </w:r>
    </w:p>
    <w:p>
      <w:pPr>
        <w:spacing w:after="7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무엇을, 어떤 방법으로, 어느 정확도로 계산하는가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000"/>
        <w:gridCol w:w="7740"/>
      </w:tblGrid>
      <w:tr>
        <w:trPr>
          <w:tblHeader/>
        </w:trPr>
        <w:tc>
          <w:tcPr>
            <w:tcW w:type="dxa" w:w="2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항목</w:t>
            </w:r>
          </w:p>
        </w:tc>
        <w:tc>
          <w:tcPr>
            <w:tcW w:type="dxa" w:w="7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계산 파이프라인 · 산출 물성 · API · 보안 · 한계를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용어 설명과 함께 정의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대상 독자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연구자 · 인수인계자 · 계산 결과를 인용하려는 사람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9"/>
                <w:szCs w:val="19"/>
              </w:rPr>
              <w:t xml:space="preserve">읽는 방법</w:t>
            </w:r>
          </w:p>
        </w:tc>
        <w:tc>
          <w:tcPr>
            <w:tcW w:type="dxa" w:w="7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9"/>
                <w:szCs w:val="19"/>
              </w:rPr>
              <w:t xml:space="preserve">각 절 앞의 «쉽게 말하면» 상자만 읽어도 전체 흐름을 이해할 수 있음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rFonts w:ascii="Malgun Gothic" w:cs="Malgun Gothic" w:eastAsia="맑은 고딕" w:hAnsi="Malgun Gothic"/>
          <w:color w:val="898781"/>
          <w:sz w:val="17"/>
          <w:szCs w:val="17"/>
        </w:rPr>
        <w:t xml:space="preserve">※ 목차의 쪽 번호는 Word에서 [Ctrl+A] → [F9] 를 누르면 갱신됩니다.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1. 시스템 정의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1.1 한 줄 정의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RhoBench는 SMILES 또는 물질명으로 입력된 분자에 대해 PySCF 기반 밀도범함수이론(DFT) 계산을 수행하고, 배터리 소재 스크리닝에 필요한 전자·열역학·전기화학 기술자를 산출해 웹 화면으로 제공하는 단일 서버 애플리케이션이다.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1.2 구성 요소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500"/>
        <w:gridCol w:w="2400"/>
        <w:gridCol w:w="5840"/>
      </w:tblGrid>
      <w:tr>
        <w:trPr>
          <w:tblHeader/>
        </w:trPr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모듈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파일</w:t>
            </w:r>
          </w:p>
        </w:tc>
        <w:tc>
          <w:tcPr>
            <w:tcW w:type="dxa" w:w="5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API 서버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server/main.py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HTTP 엔드포인트, 인증 게이트, 정적 파일 서빙, 자원 상한 검사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프리셋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server/presets.py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용매 SMD 파라미터, 소재, 정확도 프리셋, 범함수, 절대 전극 전위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구조 생성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server/geometry.py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SMILES → 3D 구조, 올리고머화, 클러스터 조립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계산 엔진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server/engine.py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DFT 파이프라인 전체 — 최적화·SCF·진동수·전위·BDE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기술자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server/descriptors.py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개념 DFT 지표, MEP, TDDFT, 전자밀도 구름, 표면 모델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조회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server/lookup.py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RDKit 로컬 기술자 + PubChem + Materials Project 조회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작업 큐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server/worker.py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백그라운드 계산 워커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저장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server/store.py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작업 생성·조회·상태 전이 (data/jobs.json)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접속 통제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server/auth.py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공유 비밀번호 해시 검증, 세션 토큰 관리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web/index.html, web/app.js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화면, 차트, 3D 뷰어, 상태 폴링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1.3 작업(Job) 생애주기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600"/>
        <w:gridCol w:w="5500"/>
        <w:gridCol w:w="2640"/>
      </w:tblGrid>
      <w:tr>
        <w:trPr>
          <w:tblHeader/>
        </w:trPr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상태</w:t>
            </w:r>
          </w:p>
        </w:tc>
        <w:tc>
          <w:tcPr>
            <w:tcW w:type="dxa" w:w="5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의미</w:t>
            </w:r>
          </w:p>
        </w:tc>
        <w:tc>
          <w:tcPr>
            <w:tcW w:type="dxa" w:w="26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다음 상태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QUEUED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제출됨 — 워커가 잡을 때까지 대기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RUNNING · FAILED(취소)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RUNNING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계산 진행 중 — 진행률(%)이 화면에 갱신됨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PUBLISHED · FAILED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PUBLISHED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계산 성공 — 결과 조회·비교·내보내기 가능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(종료)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/>
                <w:bCs/>
                <w:color w:val="52514E"/>
                <w:sz w:val="18"/>
                <w:szCs w:val="18"/>
              </w:rPr>
              <w:t xml:space="preserve">FAILED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실패 — 사유가 로그에 남고 «재시도» 버튼 제공</w:t>
            </w:r>
          </w:p>
        </w:tc>
        <w:tc>
          <w:tcPr>
            <w:tcW w:type="dxa" w:w="2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QUEUED(재시도)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서버가 재시작되면 QUEUED·RUNNING 상태로 남아 있던 작업은 FAILED로 정리되어, 영원히 «진행 중»으로 남는 유령 작업이 생기지 않는다.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2. 계산 파이프라인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쉽게 말하면 — 7단계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1) 분자의 3차원 모양을 만든다 → 2) 가장 안정한 모양으로 다듬는다 → 3) 전자 분포를 푼다 →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4) 물성 값을 뽑는다 → 5) 진동을 계산해 온도 효과를 넣는다 → 6) 용매 효과를 뺀다 →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7) 전자를 넣고 빼 보며 전압 한계를 구한다.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2.1 단계별 정의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300"/>
        <w:gridCol w:w="3100"/>
        <w:gridCol w:w="1500"/>
        <w:gridCol w:w="3840"/>
      </w:tblGrid>
      <w:tr>
        <w:trPr>
          <w:tblHeader/>
        </w:trPr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단계</w:t>
            </w:r>
          </w:p>
        </w:tc>
        <w:tc>
          <w:tcPr>
            <w:tcW w:type="dxa" w:w="3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내용</w:t>
            </w:r>
          </w:p>
        </w:tc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사용 기술</w:t>
            </w:r>
          </w:p>
        </w:tc>
        <w:tc>
          <w:tcPr>
            <w:tcW w:type="dxa" w:w="38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쉬운 설명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1. 구조 생성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RDKit ETKDGv3로 conformer 앙상블 생성 → MMFF94(폴백 UFF) 최적화 →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상위 후보를 DFT 단일점으로 재순위화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RDKit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같은 분자도 접히는 모양이 여러 가지라, 여러 개를 만들어 보고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가장 안정한 것을 고른다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2. 구조 최적화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정확도 «표준» 이상에서 DFT 기체상 최적화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(geomeTRIC, 미설치 시 pyberny)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PySCF + 최적화기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원자 위치를 조금씩 옮겨 가며 에너지가 가장 낮은 배치를 찾는다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3. 단일점 SCF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밀도 피팅 RKS/UKS + D3(BJ) 분산 보정 + SMD 암시적 용매화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PySCF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확정된 구조에서 전자 분포를 정밀하게 푼다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4. 전자 기술자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전자 에너지, HOMO/LUMO/갭, 쌍극자 모멘트, Mulliken 전하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PySCF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전자 분포에서 바로 읽어낼 수 있는 값들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5. 열역학 보정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해석적 Hessian → 진동수 → ZPE·엔탈피·엔트로피·깁스 자유에너지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(설정 온도 반영), 허수 진동수 검출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PySCF Hessian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분자는 절대영도에서도 떨고 있다. 그 떨림을 계산해 실제 온도의 값으로 바꾼다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6. 용매화 에너지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동일 구조 기체상 SCF 대비 ΔE, SMD CDS 항 별도 보고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PySCF solvent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«용매 안에 있을 때가 진공일 때보다 얼마나 더 안정한가»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7. 산화/환원 전위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수직 IP/EA(비평형 용매화) + 단열 IP/EA(이온 상태 재최적화) +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ΔG 기반 전위 → 기준 전극 절대 전위 차감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PySCF</w:t>
            </w:r>
          </w:p>
        </w:tc>
        <w:tc>
          <w:tcPr>
            <w:tcW w:type="dxa" w:w="38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전자를 하나 빼거나 넣어 보고 그 에너지 차이를 전압으로 환산한다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2.2 기준 전극 환산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IP/EA(eV)를 전압(V)으로 바꿀 때 기준 전극의 절대 전위를 뺀다. 배터리 분야 관례에 따라 Li/Li+ 기준을 기본값으로 쓴다.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600"/>
        <w:gridCol w:w="1800"/>
        <w:gridCol w:w="5340"/>
      </w:tblGrid>
      <w:tr>
        <w:trPr>
          <w:tblHeader/>
        </w:trPr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기준 전극</w:t>
            </w:r>
          </w:p>
        </w:tc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절대 전위</w:t>
            </w:r>
          </w:p>
        </w:tc>
        <w:tc>
          <w:tcPr>
            <w:tcW w:type="dxa" w:w="5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출처 · 관계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SHE (표준 수소 전극)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4.44 V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Trasatti 권장값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Li/Li+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1.44 V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SHE − 3.04 V (리튬 표준 환원 전위)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없음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—</w:t>
            </w:r>
          </w:p>
        </w:tc>
        <w:tc>
          <w:tcPr>
            <w:tcW w:type="dxa" w:w="5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차감하지 않고 IP/EA만 보고</w:t>
            </w:r>
          </w:p>
        </w:tc>
      </w:tr>
    </w:tbl>
    <w:p>
      <w:pPr>
        <w:pBdr>
          <w:left w:val="single" w:color="E5E5E0" w:sz="12" w:space="8"/>
        </w:pBdr>
        <w:shd w:fill="F5F5F3" w:val="clear"/>
        <w:spacing w:after="140" w:before="60" w:line="260"/>
        <w:ind w:left="160" w:right="160"/>
      </w:pPr>
      <w:r>
        <w:rPr>
          <w:rFonts w:ascii="Consolas" w:cs="Consolas" w:eastAsia="맑은 고딕" w:hAnsi="Consolas"/>
          <w:color w:val="171716"/>
          <w:sz w:val="17"/>
          <w:szCs w:val="17"/>
        </w:rPr>
        <w:t xml:space="preserve">산화 전위(V) = IP(eV) − 절대 전위(V)
환원 전위(V) = EA(eV) − 절대 전위(V)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3. 환경 설정이 계산에 반영되는 방식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왜 중요한가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화면에서 «용매: EC/DMC», «온도: 298 K»를 고르는 것이 단순 메모가 아니라, 실제 계산식에 들어간다는 점이 이 프로그램의 핵심입니다.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다만 항목마다 반영 정도가 다르므로 아래 표를 정확히 이해하고 시연해야 합니다.</w:t>
            </w:r>
          </w:p>
        </w:tc>
      </w:tr>
    </w:tbl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900"/>
        <w:gridCol w:w="1500"/>
        <w:gridCol w:w="6340"/>
      </w:tblGrid>
      <w:tr>
        <w:trPr>
          <w:tblHeader/>
        </w:trPr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설정 항목</w:t>
            </w:r>
          </w:p>
        </w:tc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계산 반영 여부</w:t>
            </w:r>
          </w:p>
        </w:tc>
        <w:tc>
          <w:tcPr>
            <w:tcW w:type="dxa" w:w="6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반영 방식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용매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완전 반영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SMD 파라미터(유전상수·굴절률·표면장력·Abraham 수소결합 파라미터)가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해밀토니안에 직접 들어감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온도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조건부 반영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열역학 보정이 켜진 프리셋(«표준» 이상)에서 엔탈피·엔트로피·깁스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자유에너지 산출에 반영. 열보정을 끄면 기록용 메타데이터로만 남음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기준 전극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완전 반영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IP/EA에서 해당 절대 전위를 차감해 전압으로 환산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명시적 주변 분자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완전 반영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지정한 분자·개수를 겹치지 않게 배치·역장 이완한 클러스터 전체를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DFT 계산하고 조각 분해 상호작용 에너지를 보고 (총 10분자 한도)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분위기(불활성/대기)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기록만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분자 DFT 해밀토니안에는 미반영. 대기 반응성은 명시적 주변 분자에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O2 등을 배치해 근사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구조(모노머/2량체/3량체)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완전 반영</w:t>
            </w:r>
          </w:p>
        </w:tc>
        <w:tc>
          <w:tcPr>
            <w:tcW w:type="dxa" w:w="6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해당 올리고머 SMILES로 구조를 생성해 계산</w:t>
            </w:r>
          </w:p>
        </w:tc>
      </w:tr>
    </w:tbl>
    <w:p>
      <w:pPr>
        <w:spacing w:after="200" w:before="70"/>
      </w:pPr>
      <w:r>
        <w:rPr>
          <w:rFonts w:ascii="Malgun Gothic" w:cs="Malgun Gothic" w:eastAsia="맑은 고딕" w:hAnsi="Malgun Gothic"/>
          <w:i/>
          <w:iCs/>
          <w:color w:val="898781"/>
          <w:sz w:val="17"/>
          <w:szCs w:val="17"/>
        </w:rPr>
        <w:t xml:space="preserve">표 3-1. 환경 설정 반영 매트릭스 — 시연 시 «분위기는 기록용»임을 명확히 밝힐 것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3.1 용매 라이브러리 (SMD 파라미터)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EC·DMC·EMC·NMP는 Minnesota SMD 기본 DB에 없어 문헌 물성으로 구성한 커스텀 항목이며, server/presets.py에 정의되어 있다.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3000"/>
        <w:gridCol w:w="1600"/>
        <w:gridCol w:w="5140"/>
      </w:tblGrid>
      <w:tr>
        <w:trPr>
          <w:tblHeader/>
        </w:trPr>
        <w:tc>
          <w:tcPr>
            <w:tcW w:type="dxa" w:w="3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용매</w:t>
            </w:r>
          </w:p>
        </w:tc>
        <w:tc>
          <w:tcPr>
            <w:tcW w:type="dxa" w:w="1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유전상수 ε</w:t>
            </w:r>
          </w:p>
        </w:tc>
        <w:tc>
          <w:tcPr>
            <w:tcW w:type="dxa" w:w="5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Ethylene carbonate (EC)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89.78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카보네이트계 전해액 (40°C 액상 기준)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Dimethyl carbonate (DMC)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3.107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저점도 선형 카보네이트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Ethyl methyl carbonate (EMC)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2.958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저점도 선형 카보네이트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Water (H2O)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78.36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수계 바인더 공정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N-Methyl-2-pyrrolidone (NMP)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32.2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PVDF 등 유기계 공정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EC/DMC 1:1 (혼합)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46.44</w:t>
            </w:r>
          </w:p>
        </w:tc>
        <w:tc>
          <w:tcPr>
            <w:tcW w:type="dxa" w:w="5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표준 전해액 베이스 — 부피분율 가중 평균 유효 매질 근사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EC/DMC 1:1 혼합은 두 성분의 파라미터를 부피분율로 가중 평균한 «단일 유효 매질»로 취급한다. 이는 관례적 근사이며 결과 노트에 명시된다.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3.2 명시적 주변 분자 (cluster-continuum)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암시적 용매(SMD)만으로는 리튬 이온 배위나 수소결합 같은 «특정 분자 하나와의 직접 상호작용»을 잡아내지 못한다. 이때 용질 주위에 실제 용매 분자를 몇 개 놓고 함께 계산하는 방식이 cluster-continuum이다.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배치는 여러 방향으로 게스트를 놓고 호스트 원자를 고정한 역장 이완을 거쳐 가장 안정한 것을 선택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클러스터에서는 열보정·단열 전위 대신 수직 전위를 사용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35원자를 넘으면 DFT 구조 최적화는 자동 생략 (계산 시간 보호)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4. 산출 물성 정의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결과 화면과 CSV 내보내기에 나타나는 전체 기술자 목록이다. 목적 설정에 따라 산출 범위가 달라진다.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4.1 기본 전자구조 (모든 목적에서 산출)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700"/>
        <w:gridCol w:w="2100"/>
        <w:gridCol w:w="800"/>
        <w:gridCol w:w="4140"/>
      </w:tblGrid>
      <w:tr>
        <w:trPr>
          <w:tblHeader/>
        </w:trPr>
        <w:tc>
          <w:tcPr>
            <w:tcW w:type="dxa" w:w="2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키</w:t>
            </w:r>
          </w:p>
        </w:tc>
        <w:tc>
          <w:tcPr>
            <w:tcW w:type="dxa" w:w="2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표시명</w:t>
            </w:r>
          </w:p>
        </w:tc>
        <w:tc>
          <w:tcPr>
            <w:tcW w:type="dxa" w:w="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단위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정의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total_energy_hartree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전자 에너지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Ha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SCF 총 에너지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homo_ev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HOMO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eV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최고 점유 분자 궤도 에너지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lumo_ev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LUMO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eV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최저 비점유 분자 궤도 에너지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gap_ev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HOMO–LUMO 갭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eV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LUMO − HOMO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dipole_debye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쌍극자 모멘트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D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전하 분포의 1차 모멘트 크기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4.2 열역학 (열보정 활성 시)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3100"/>
        <w:gridCol w:w="1900"/>
        <w:gridCol w:w="1100"/>
        <w:gridCol w:w="3640"/>
      </w:tblGrid>
      <w:tr>
        <w:trPr>
          <w:tblHeader/>
        </w:trPr>
        <w:tc>
          <w:tcPr>
            <w:tcW w:type="dxa" w:w="3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키</w:t>
            </w:r>
          </w:p>
        </w:tc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표시명</w:t>
            </w:r>
          </w:p>
        </w:tc>
        <w:tc>
          <w:tcPr>
            <w:tcW w:type="dxa" w:w="1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단위</w:t>
            </w:r>
          </w:p>
        </w:tc>
        <w:tc>
          <w:tcPr>
            <w:tcW w:type="dxa" w:w="36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정의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zpe_kcal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영점 진동 에너지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kcal/mol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Σ(hν/2) — 0 K에서 남는 진동 에너지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gibbs_correction_kcal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깁스 보정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kcal/mol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G − E (기체상, 조화진동자·강체회전·이상기체)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gibbs_energy_hartree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깁스 자유에너지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Ha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 + 깁스 보정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entropy_cal_mol_k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엔트로피 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cal/(mol·K)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병진+회전+진동 엔트로피 합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n_imaginary_freqs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허수 진동수 개수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개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0이면 진짜 극소점, 1 이상이면 안장점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freq_scale_factor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진동수 스케일 인자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조화근사 과대평가 보정 (범함수별 문헌값)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standard_state_corr_kcal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1 atm→1 M 보정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kcal/mol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RT ln(24.46) = +1.89 @298 K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gibbs_energy_solution_hartree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용액상 깁스 (1 M)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Ha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용액 표준상태로 환산한 G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범함수별 진동수 스케일 인자: PBE0-D3(BJ) 0.957 · B3LYP-D3(BJ) 0.961 · PBE-D3(BJ) 0.986 · M06-2X 0.947 · HF 0.899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4.3 전기화학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3200"/>
        <w:gridCol w:w="1800"/>
        <w:gridCol w:w="1100"/>
        <w:gridCol w:w="3640"/>
      </w:tblGrid>
      <w:tr>
        <w:trPr>
          <w:tblHeader/>
        </w:trPr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키</w:t>
            </w:r>
          </w:p>
        </w:tc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표시명</w:t>
            </w:r>
          </w:p>
        </w:tc>
        <w:tc>
          <w:tcPr>
            <w:tcW w:type="dxa" w:w="1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단위</w:t>
            </w:r>
          </w:p>
        </w:tc>
        <w:tc>
          <w:tcPr>
            <w:tcW w:type="dxa" w:w="36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정의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ip_vertical_ev / ea_vertical_ev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수직 IP / EA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eV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구조 고정 상태에서의 이온화 에너지·전자 친화도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ip_adiabatic_ev / ea_adiabatic_ev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단열 IP / EA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eV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이온 상태 구조를 재최적화한 값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ip_gibbs_ev / ea_gibbs_ev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ΔG 기반 IP / EA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eV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자유에너지 차이 기반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oxidation_potential_v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산화 전위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V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IP − 기준 전극 절대 전위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reduction_potential_v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환원 전위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V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EA − 기준 전극 절대 전위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solvation_energy_kcal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용매화 에너지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kcal/mol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E(용매) − E(기체), 동일 구조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smd_cds_kcal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SMD CDS 항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kcal/mol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공동 형성·분산·구조 항 (비정전기 기여)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4.4 반응성 · 상호작용 (물성 지문 목적)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3200"/>
        <w:gridCol w:w="1900"/>
        <w:gridCol w:w="1100"/>
        <w:gridCol w:w="3540"/>
      </w:tblGrid>
      <w:tr>
        <w:trPr>
          <w:tblHeader/>
        </w:trPr>
        <w:tc>
          <w:tcPr>
            <w:tcW w:type="dxa" w:w="3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키</w:t>
            </w:r>
          </w:p>
        </w:tc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표시명</w:t>
            </w:r>
          </w:p>
        </w:tc>
        <w:tc>
          <w:tcPr>
            <w:tcW w:type="dxa" w:w="1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단위</w:t>
            </w:r>
          </w:p>
        </w:tc>
        <w:tc>
          <w:tcPr>
            <w:tcW w:type="dxa" w:w="35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계산 방식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chemical_hardness_ev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화학적 경도 η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eV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(IP − EA)/2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chemical_potential_ev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화학적 퍼텐셜 μ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eV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−(IP + EA)/2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electrophilicity_ev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친전자성 지수 ω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eV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μ²/(2η)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softness_inv_ev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화학적 연성 S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1/eV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1/(2η)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mep_max_kcal / mep_min_kcal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MEP 최대/최소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kcal/mol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vdW 표면(1.4배) 격자에서 V(r) 직접 적분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li_binding_kj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Li+ 결합 에너지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kJ/mol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MEP 최소점에 Li+ 배치 후 ΔE, BSSE 보정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dimer_binding_kj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이량체 결합 에너지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kJ/mol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동일 분자 2개 접촉 이완 후 ΔE, BSSE 보정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interaction_energy_kcal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클러스터 상호작용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kcal/mol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클러스터 − 조각 합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bde_min_kj / bde_min_298_kj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최약 결합 BDE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kJ/mol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0 K 전자에너지 / 298 K (문헌 비교용)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uvvis_lambda_max_nm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UV-Vis λmax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nm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TDDFT 수직 여기 중 가장 밝은 전이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6"/>
                <w:szCs w:val="16"/>
              </w:rPr>
              <w:t xml:space="preserve">uvvis_osc_strength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진동자 세기 f</w:t>
            </w:r>
          </w:p>
        </w:tc>
        <w:tc>
          <w:tcPr>
            <w:tcW w:type="dxa" w:w="1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—</w:t>
            </w:r>
          </w:p>
        </w:tc>
        <w:tc>
          <w:tcPr>
            <w:tcW w:type="dxa" w:w="3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6"/>
                <w:szCs w:val="16"/>
              </w:rPr>
              <w:t xml:space="preserve">해당 전이의 세기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4.5 표면 흡착 모델</w:t>
      </w:r>
    </w:p>
    <w:tbl>
      <w:tblPr>
        <w:tblW w:type="dxa" w:w="9740"/>
        <w:tblBorders>
          <w:top w:val="single" w:color="FDF6EC" w:sz="2"/>
          <w:left w:val="single" w:color="D97706" w:sz="18"/>
          <w:bottom w:val="single" w:color="FDF6EC" w:sz="2"/>
          <w:right w:val="single" w:color="FDF6EC" w:sz="2"/>
          <w:insideH w:val="none" w:color="FDF6EC" w:sz="0"/>
          <w:insideV w:val="none" w:color="FDF6EC" w:sz="0"/>
        </w:tblBorders>
      </w:tblPr>
      <w:tblGrid>
        <w:gridCol w:w="9740"/>
      </w:tblGrid>
      <w:tr>
        <w:tc>
          <w:tcPr>
            <w:tcW w:type="dxa" w:w="9740"/>
            <w:shd w:fill="FDF6E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D97706"/>
                <w:sz w:val="19"/>
                <w:szCs w:val="19"/>
              </w:rPr>
              <w:t xml:space="preserve">반드시 밝혀야 할 한계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표면 흡착 에너지는 실제 결정 표면(슬랩)이 아니라 «대용 클러스터»로 계산합니다.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따라서 절대값은 신뢰할 수 없고, 같은 모델끼리의 상대 경향 비교에만 유효합니다.</w:t>
            </w:r>
          </w:p>
        </w:tc>
      </w:tr>
    </w:tbl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800"/>
        <w:gridCol w:w="3400"/>
        <w:gridCol w:w="4540"/>
      </w:tblGrid>
      <w:tr>
        <w:trPr>
          <w:tblHeader/>
        </w:trPr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활물질</w:t>
            </w:r>
          </w:p>
        </w:tc>
        <w:tc>
          <w:tcPr>
            <w:tcW w:type="dxa" w:w="3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대용 클러스터</w:t>
            </w:r>
          </w:p>
        </w:tc>
        <w:tc>
          <w:tcPr>
            <w:tcW w:type="dxa" w:w="45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Graphite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나프탈렌 (c1ccc2ccccc2c1)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흑연 π 표면의 국소 조각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Si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Si2H6 ([SiH3][SiH3])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수소 종단 Si–Si 사이트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NCM811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Li2O ([Li]O[Li])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층상 산화물의 리튬 산화물 사이트 근사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LFP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Li3PO4 ([Li]OP(=O)(O[Li])O[Li])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인산철 양극의 인산 리튬 사이트 근사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5. 정확도 프리셋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000"/>
        <w:gridCol w:w="1300"/>
        <w:gridCol w:w="1700"/>
        <w:gridCol w:w="800"/>
        <w:gridCol w:w="1500"/>
        <w:gridCol w:w="1800"/>
        <w:gridCol w:w="1640"/>
      </w:tblGrid>
      <w:tr>
        <w:trPr>
          <w:tblHeader/>
        </w:trPr>
        <w:tc>
          <w:tcPr>
            <w:tcW w:type="dxa" w:w="1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프리셋</w:t>
            </w:r>
          </w:p>
        </w:tc>
        <w:tc>
          <w:tcPr>
            <w:tcW w:type="dxa" w:w="13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conformer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(DFT 재순위)</w:t>
            </w:r>
          </w:p>
        </w:tc>
        <w:tc>
          <w:tcPr>
            <w:tcW w:type="dxa" w:w="17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구조 최적화</w:t>
            </w:r>
          </w:p>
        </w:tc>
        <w:tc>
          <w:tcPr>
            <w:tcW w:type="dxa" w:w="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열보정</w:t>
            </w:r>
          </w:p>
        </w:tc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최종 기저함수</w:t>
            </w:r>
          </w:p>
        </w:tc>
        <w:tc>
          <w:tcPr>
            <w:tcW w:type="dxa" w:w="18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예상 소요</w:t>
            </w:r>
          </w:p>
        </w:tc>
        <w:tc>
          <w:tcPr>
            <w:tcW w:type="dxa" w:w="16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용도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빠름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5 (1)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MMFF만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def2-SVP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분자당 수십 초</w:t>
            </w:r>
          </w:p>
        </w:tc>
        <w:tc>
          <w:tcPr>
            <w:tcW w:type="dxa" w:w="1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사전 스크리닝 · 시연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표준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15 (3)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DFT (def2-SVP)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def2-TZVP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분자당 수 분~수십 분</w:t>
            </w:r>
          </w:p>
        </w:tc>
        <w:tc>
          <w:tcPr>
            <w:tcW w:type="dxa" w:w="1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연구용 권장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정밀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30 (5)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DFT (def2-TZVP)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✓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def2-TZVP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분자당 수십 분 이상</w:t>
            </w:r>
          </w:p>
        </w:tc>
        <w:tc>
          <w:tcPr>
            <w:tcW w:type="dxa" w:w="1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최종 확인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«정밀»에서는 Boltzmann conformer 앙상블 가중이 기본 활성되어, 유의(≥5%) conformer 각각을 최적화·단일점 계산한 뒤 전자 기술자를 가중 평균한다 (최대 4개).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5.1 범함수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200"/>
        <w:gridCol w:w="1500"/>
        <w:gridCol w:w="1500"/>
        <w:gridCol w:w="4540"/>
      </w:tblGrid>
      <w:tr>
        <w:trPr>
          <w:tblHeader/>
        </w:trPr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범함수</w:t>
            </w:r>
          </w:p>
        </w:tc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PySCF xc</w:t>
            </w:r>
          </w:p>
        </w:tc>
        <w:tc>
          <w:tcPr>
            <w:tcW w:type="dxa" w:w="15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분산 보정</w:t>
            </w:r>
          </w:p>
        </w:tc>
        <w:tc>
          <w:tcPr>
            <w:tcW w:type="dxa" w:w="45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PBE0-D3(BJ)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pbe0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D3(BJ)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기본값 — 균형 잡힌 하이브리드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B3LYP-D3(BJ)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b3lyp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D3(BJ)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가장 널리 쓰이는 범함수, 문헌 비교용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PBE-D3(BJ)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pbe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D3(BJ)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GGA — 빠르지만 갭을 과소평가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M06-2X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m062x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—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비공유 상호작용·열화학에 강함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HF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hf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—</w:t>
            </w:r>
          </w:p>
        </w:tc>
        <w:tc>
          <w:tcPr>
            <w:tcW w:type="dxa" w:w="45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참조용 (전자 상관 미포함)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여러 범함수를 골라 제출하면 범함수마다 별도 작업이 생성되어 «물질 비교» 화면에서 나란히 대조할 수 있다. 검증 결과 BDE 평균오차는 M06-2X 8.2 · PBE0 9.6 · B3LYP 19.3 kJ/mol 이었다.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5.2 전문가 설정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프리셋 값을 개별적으로 덮어쓸 수 있다. 값을 지정하지 않으면 프리셋을 따른다.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600"/>
        <w:gridCol w:w="2400"/>
        <w:gridCol w:w="4740"/>
      </w:tblGrid>
      <w:tr>
        <w:trPr>
          <w:tblHeader/>
        </w:trPr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항목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기본</w:t>
            </w:r>
          </w:p>
        </w:tc>
        <w:tc>
          <w:tcPr>
            <w:tcW w:type="dxa" w:w="47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의미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charge / multiplicity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0 / 1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전하와 스핀 다중도 (라디칼·이온 계산 시 변경)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functional / basis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PBE0-D3(BJ) / 프리셋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범함수와 기저함수 직접 지정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nConformers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프리셋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생성할 conformer 개수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optimizeGeometry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프리셋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DFT 구조 최적화 수행 여부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thermochemistry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프리셋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진동수 계산 기반 열보정 수행 여부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redoxAdiabatic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구조 최적화 여부 따름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단열 전위 사용 여부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nonequilibriumSolvation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용매+수직 전위 시 자동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비평형 용매화(동결 반응장) 적용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boltzmannEnsemble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프리셋 («정밀»에서 활성)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conformer 앙상블 가중 평균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freqScale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범함수별 문헌값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진동수 스케일 인자 직접 지정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scfTol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1e-8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SCF 수렴 임계값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6. 신뢰성 · 재현성 장치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6.1 안장점 자동 교정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쉽게 말하면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구조 최적화는 «에너지가 낮은 곳»을 찾는 작업인데, 골짜기 바닥(안정)이 아니라 산등성이(불안정한 전이 지점)에 멈추는 경우가 있습니다.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이때 진동수 계산에서 «허수 진동수»가 나옵니다 — 물리적으로 존재할 수 없는 진동이라는 신호입니다.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허수 모드가 검출되면 그 모드 방향으로 구조를 변위시켜 재최적화(최대 2회)하고, 구조가 바뀌면 최종 단일점과 전자 기술자를 다시 계산한다.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검증: 일부러 직선으로 만든 물 분자(허수 모드 2개)를 입력하면 굽은 구조로 교정되어 허수 모드 0개, 굽힘 진동 1643 cm⁻¹(실측 1595 cm⁻¹)를 얻었다.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6.2 BSSE counterpoise 보정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쉽게 말하면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두 분자를 가까이 두고 계산하면, 서로의 «계산용 함수»를 빌려 쓰게 되어 실제보다 더 안정해 보이는 착시가 생깁니다. 이것이 BSSE(기저함수 겹침 오차)입니다.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해결책은 «고스트 원자» — 원자핵과 전자는 없고 계산용 함수만 남긴 가짜 원자를 놓고 각 조각을 다시 계산해 그 차이만큼 빼 주는 것입니다.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모든 결합·흡착·상호작용 에너지에 적용된다. 보정 효과는 다음과 같이 컸다.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600"/>
        <w:gridCol w:w="2400"/>
        <w:gridCol w:w="2400"/>
        <w:gridCol w:w="2340"/>
      </w:tblGrid>
      <w:tr>
        <w:trPr>
          <w:tblHeader/>
        </w:trPr>
        <w:tc>
          <w:tcPr>
            <w:tcW w:type="dxa" w:w="2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대상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보정 전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보정 후</w:t>
            </w:r>
          </w:p>
        </w:tc>
        <w:tc>
          <w:tcPr>
            <w:tcW w:type="dxa" w:w="2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차이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Li+ 결합 에너지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−225.4 kJ/mol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−134.2 kJ/mol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40% 과대평가 제거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표면 흡착 에너지 범위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−0.9 ~ −74.8 kJ/mol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−4.1 ~ −10.1 kJ/mol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−74.8은 순전히 BSSE 인공산물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6.3 SCF 수렴 자동 복구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SCF가 수렴하지 않으면 아래 순서로 재시도하며, 모두 실패해야 작업을 실패 처리한다.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감쇠(damping) + 준위 이동(level shift) 적용 후 재시도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감쇠·준위 이동을 완화한 상태로 이어서 수렴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2차 수렴법(SOSCF, mf.newton()) 적용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6.4 ZPE · 298 K 열보정 (BDE)</w:t>
      </w:r>
    </w:p>
    <w:tbl>
      <w:tblPr>
        <w:tblW w:type="dxa" w:w="9740"/>
        <w:tblBorders>
          <w:top w:val="single" w:color="F2F7F6" w:sz="2"/>
          <w:left w:val="single" w:color="0F766E" w:sz="18"/>
          <w:bottom w:val="single" w:color="F2F7F6" w:sz="2"/>
          <w:right w:val="single" w:color="F2F7F6" w:sz="2"/>
          <w:insideH w:val="none" w:color="F2F7F6" w:sz="0"/>
          <w:insideV w:val="none" w:color="F2F7F6" w:sz="0"/>
        </w:tblBorders>
      </w:tblPr>
      <w:tblGrid>
        <w:gridCol w:w="9740"/>
      </w:tblGrid>
      <w:tr>
        <w:tc>
          <w:tcPr>
            <w:tcW w:type="dxa" w:w="9740"/>
            <w:shd w:fill="F2F7F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0F766E"/>
                <w:sz w:val="19"/>
                <w:szCs w:val="19"/>
              </w:rPr>
              <w:t xml:space="preserve">ZPE란 무엇인가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양자역학에서는 절대영도(−273.15 °C)에서도 분자가 완전히 멈추지 않고 최소한의 진동을 합니다. 그 최소 진동 에너지가 ZPE(영점 진동 에너지)입니다.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결합을 끊으면 그 결합의 진동이 사라지므로 ZPE가 줄어듭니다. 이 차이를 빼 주지 않으면 결합 해리에너지를 실제보다 크게 계산하게 됩니다.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결합 해리에너지(BDE) 계산 정확도가 단계적으로 개선된 과정 (C–C 결합, 문헌값 약 370 kJ/mol):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4000"/>
        <w:gridCol w:w="2400"/>
        <w:gridCol w:w="3340"/>
      </w:tblGrid>
      <w:tr>
        <w:trPr>
          <w:tblHeader/>
        </w:trPr>
        <w:tc>
          <w:tcPr>
            <w:tcW w:type="dxa" w:w="40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BDE</w:t>
            </w:r>
          </w:p>
        </w:tc>
        <w:tc>
          <w:tcPr>
            <w:tcW w:type="dxa" w:w="33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8"/>
                <w:szCs w:val="18"/>
              </w:rPr>
              <w:t xml:space="preserve">문헌값 대비 오차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조각 구조 고정 (초기 구현)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453.3 kJ/mol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+83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라디칼 조각 재최적화 추가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390.6 kJ/mol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+21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8"/>
                <w:szCs w:val="18"/>
              </w:rPr>
              <w:t xml:space="preserve">ZPE + 298 K 엔탈피 보정 추가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365.6 kJ/mol</w:t>
            </w:r>
          </w:p>
        </w:tc>
        <w:tc>
          <w:tcPr>
            <w:tcW w:type="dxa" w:w="3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8"/>
                <w:szCs w:val="18"/>
              </w:rPr>
              <w:t xml:space="preserve">−4</w:t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문헌 BDE와 직접 비교할 값은 298 K 열보정 값이다. 결과 화면에는 결합별로 298 K · 0 K · ZPE 보정 · 고정 구조 · 완화 에너지를 모두 표시한다.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6.5 비평형 용매화 · 표준 상태 보정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비평형 용매화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전자를 순간적으로 떼어낼 때 용매 분자들은 그 속도를 따라가지 못한다. 이를 중성 상태 밀도로 동결한 반응장으로 근사해 수직 전위에 적용한다. (광학 유전 완화는 미포함 — 상한 추정이며 결과 노트에 명시)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1 atm → 1 M 표준 상태 보정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기체상 계산의 표준상태(1 atm)와 용액 화학의 표준상태(1 M)가 다르므로 RT ln(24.46) = +1.89 kcal/mol(298 K)을 더해 보고한다.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6.6 재현성 기록 (provenance)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결과마다 아래 항목이 함께 저장되어, 시간이 지난 뒤에도 동일 조건으로 재현할 수 있다.</w:t>
      </w:r>
    </w:p>
    <w:p>
      <w:pPr>
        <w:spacing w:after="120" w:before="0" w:line="300"/>
      </w:pPr>
      <w:r>
        <w:rPr>
          <w:rFonts w:ascii="Consolas" w:cs="Consolas" w:eastAsia="맑은 고딕" w:hAnsi="Consolas"/>
          <w:color w:val="52514E"/>
          <w:sz w:val="17"/>
          <w:szCs w:val="17"/>
        </w:rPr>
        <w:t xml:space="preserve">engine(PySCF 버전) · rdkit 버전 · Python 버전 · basis_singlepoint · scf_conv_tol · freq_scale_factor · geometry_optimizer · solvent_model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7. API 정의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모든 API는 접속(로그인) 필수이다. 인증되지 않은 요청은 401을 받는다.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900"/>
        <w:gridCol w:w="3600"/>
        <w:gridCol w:w="3240"/>
      </w:tblGrid>
      <w:tr>
        <w:trPr>
          <w:tblHeader/>
        </w:trPr>
        <w:tc>
          <w:tcPr>
            <w:tcW w:type="dxa" w:w="2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메서드 · 경로</w:t>
            </w:r>
          </w:p>
        </w:tc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기능</w:t>
            </w:r>
          </w:p>
        </w:tc>
        <w:tc>
          <w:tcPr>
            <w:tcW w:type="dxa" w:w="32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POST /api/login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공유 비밀번호 검증 후 세션 쿠키 발급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HttpOnly, SameSite=Lax, 12시간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POST /api/logout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세션 무효화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GET /api/me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현재 접속 상태 조회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GET /api/presets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용매·소재·정확도·범함수·자원 상한 목록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화면 초기화용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POST /api/lookup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물질 조회 (RDKit + PubChem + MP)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이름 · CAS · SMILES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POST /api/jobs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계산 작업 제출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원자 수·동시 작업 수 상한 검사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GET /api/jobs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작업 목록 조회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공유 작업 공간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GET /api/jobs/{id}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작업 상세 조회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진행률·로그·결과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POST /api/jobs/{id}/retry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실패한 작업 재시도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POST /api/jobs/{id}/cancel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대기·실행 중 작업 취소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DELETE /api/jobs/{id}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작업 삭제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GET /api/export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결과 내보내기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?format=csv|json &amp;ids=...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GET /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프론트엔드 정적 파일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7.1 내보내기 형식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CSV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Excel 호환 BOM 포함. 모든 수치 기술자를 열로 전개해 스프레드시트에서 바로 정렬·필터 가능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b/>
          <w:bCs/>
          <w:color w:val="171716"/>
          <w:sz w:val="20"/>
          <w:szCs w:val="20"/>
        </w:rPr>
        <w:t xml:space="preserve">JSON</w:t>
      </w: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 — 구조·로그·provenance를 포함한 원본 전체</w:t>
      </w:r>
    </w:p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8. 보안 · 자원 정의</w:t>
      </w: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8.1 접속 통제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2100"/>
        <w:gridCol w:w="7640"/>
      </w:tblGrid>
      <w:tr>
        <w:trPr>
          <w:tblHeader/>
        </w:trPr>
        <w:tc>
          <w:tcPr>
            <w:tcW w:type="dxa" w:w="21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항목</w:t>
            </w:r>
          </w:p>
        </w:tc>
        <w:tc>
          <w:tcPr>
            <w:tcW w:type="dxa" w:w="76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정의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방식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공유 비밀번호 1개 — 개별 계정 없음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비밀번호 설정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환경변수 RHOBENCH_ACCESS_PASSWORD (미지정 시 최초 1회 무작위 발급 후 콘솔 출력)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저장 방식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PBKDF2-HMAC-SHA256, 랜덤 솔트 + 200,000회 반복. data/access.json (권한 0600)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평문 저장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비밀번호 변경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새 값으로 서버 재실행 → 즉시 적용 + 기존 세션 전원 무효화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세션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서버 메모리의 무작위 토큰 (32바이트), HttpOnly 쿠키, 12시간 TTL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서버 재시작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전원 로그아웃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7"/>
                <w:szCs w:val="17"/>
              </w:rPr>
              <w:t xml:space="preserve">작업 공간</w:t>
            </w:r>
          </w:p>
        </w:tc>
        <w:tc>
          <w:tcPr>
            <w:tcW w:type="dxa" w:w="76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7"/>
                <w:szCs w:val="17"/>
              </w:rPr>
              <w:t xml:space="preserve">접속자 전원이 하나의 공유 작업 공간 사용 (물질 보관함·용매 라이브러리는 브라우저별 로컬 보관)</w:t>
            </w:r>
          </w:p>
        </w:tc>
      </w:tr>
    </w:tbl>
    <w:tbl>
      <w:tblPr>
        <w:tblW w:type="dxa" w:w="9740"/>
        <w:tblBorders>
          <w:top w:val="single" w:color="FDF6EC" w:sz="2"/>
          <w:left w:val="single" w:color="D97706" w:sz="18"/>
          <w:bottom w:val="single" w:color="FDF6EC" w:sz="2"/>
          <w:right w:val="single" w:color="FDF6EC" w:sz="2"/>
          <w:insideH w:val="none" w:color="FDF6EC" w:sz="0"/>
          <w:insideV w:val="none" w:color="FDF6EC" w:sz="0"/>
        </w:tblBorders>
      </w:tblPr>
      <w:tblGrid>
        <w:gridCol w:w="9740"/>
      </w:tblGrid>
      <w:tr>
        <w:tc>
          <w:tcPr>
            <w:tcW w:type="dxa" w:w="9740"/>
            <w:shd w:fill="FDF6E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맑은 고딕" w:hAnsi="Malgun Gothic"/>
                <w:b/>
                <w:bCs/>
                <w:color w:val="D97706"/>
                <w:sz w:val="19"/>
                <w:szCs w:val="19"/>
              </w:rPr>
              <w:t xml:space="preserve">네트워크 주의</w:t>
            </w:r>
          </w:p>
          <w:p>
            <w:pPr>
              <w:spacing w:after="9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현재 세션 쿠키는 평문 HTTP로도 전송되므로 사내망 전용을 권장합니다.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맑은 고딕" w:hAnsi="Malgun Gothic"/>
                <w:color w:val="52514E"/>
                <w:sz w:val="19"/>
                <w:szCs w:val="19"/>
              </w:rPr>
              <w:t xml:space="preserve">인터넷에 공개하려면 HTTPS 리버스 프록시를 반드시 앞에 두어야 합니다.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8.2 환경변수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3400"/>
        <w:gridCol w:w="2200"/>
        <w:gridCol w:w="4140"/>
      </w:tblGrid>
      <w:tr>
        <w:trPr>
          <w:tblHeader/>
        </w:trPr>
        <w:tc>
          <w:tcPr>
            <w:tcW w:type="dxa" w:w="34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환경변수</w:t>
            </w:r>
          </w:p>
        </w:tc>
        <w:tc>
          <w:tcPr>
            <w:tcW w:type="dxa" w:w="22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기본값</w:t>
            </w:r>
          </w:p>
        </w:tc>
        <w:tc>
          <w:tcPr>
            <w:tcW w:type="dxa" w:w="41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7"/>
                <w:szCs w:val="17"/>
              </w:rPr>
              <w:t xml:space="preserve">의미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RHOBENCH_ACCESS_PASSWORD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최초 실행 시 무작위 발급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공유 접속 비밀번호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RHOBENCH_WORKERS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1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동시 계산 워커 수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RHOBENCH_MAX_ATOMS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60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분자 + 명시적 주변 분자 원자 수 상한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RHOBENCH_MAX_ACTIVE_JOBS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4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서버 전체 동시 대기·실행 작업 수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color w:val="52514E"/>
                <w:sz w:val="17"/>
                <w:szCs w:val="17"/>
              </w:rPr>
              <w:t xml:space="preserve">MP_API_KEY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(없음)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color w:val="52514E"/>
                <w:sz w:val="17"/>
                <w:szCs w:val="17"/>
              </w:rPr>
              <w:t xml:space="preserve">설정 시 Materials Project 분자 DB 조회 활성화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6"/>
        </w:pBdr>
        <w:spacing w:after="160" w:before="360"/>
      </w:pPr>
      <w:r>
        <w:rPr>
          <w:rFonts w:ascii="Malgun Gothic" w:cs="Malgun Gothic" w:eastAsia="맑은 고딕" w:hAnsi="Malgun Gothic"/>
          <w:b/>
          <w:bCs/>
          <w:color w:val="0F766E"/>
          <w:sz w:val="30"/>
          <w:szCs w:val="30"/>
        </w:rPr>
        <w:t xml:space="preserve">9. 알려진 근사와 한계</w:t>
      </w:r>
    </w:p>
    <w:p>
      <w:pPr>
        <w:spacing w:after="120" w:before="0" w:line="30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결과를 인용하거나 시연에서 질문을 받을 때 정확히 답해야 할 항목이다.</w:t>
      </w:r>
    </w:p>
    <w:tbl>
      <w:tblPr>
        <w:tblW w:type="dxa" w:w="9740"/>
        <w:tblBorders>
          <w:top w:val="single" w:color="E5E5E0" w:sz="4"/>
          <w:left w:val="single" w:color="E5E5E0" w:sz="4"/>
          <w:bottom w:val="single" w:color="E5E5E0" w:sz="4"/>
          <w:right w:val="single" w:color="E5E5E0" w:sz="4"/>
          <w:insideH w:val="single" w:color="E5E5E0" w:sz="2"/>
          <w:insideV w:val="single" w:color="E5E5E0" w:sz="2"/>
        </w:tblBorders>
      </w:tblPr>
      <w:tblGrid>
        <w:gridCol w:w="1900"/>
        <w:gridCol w:w="3600"/>
        <w:gridCol w:w="4240"/>
      </w:tblGrid>
      <w:tr>
        <w:trPr>
          <w:tblHeader/>
        </w:trPr>
        <w:tc>
          <w:tcPr>
            <w:tcW w:type="dxa" w:w="19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항목</w:t>
            </w:r>
          </w:p>
        </w:tc>
        <w:tc>
          <w:tcPr>
            <w:tcW w:type="dxa" w:w="360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근사 내용</w:t>
            </w:r>
          </w:p>
        </w:tc>
        <w:tc>
          <w:tcPr>
            <w:tcW w:type="dxa" w:w="4240"/>
            <w:shd w:fill="E8F0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171716"/>
                <w:sz w:val="16"/>
                <w:szCs w:val="16"/>
              </w:rPr>
              <w:t xml:space="preserve">실무적 의미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전기화학 안정성 판정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열역학 기준만 — SEI/CEI 피막의 동역학적 보호 미포함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«분해될 수 있다»는 뜻이지 «못 쓴다»는 뜻이 아님.</w:t>
            </w:r>
          </w:p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EC가 대표적 반례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표면 흡착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주기적 슬랩이 아닌 대용 클러스터 모델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절대값 신뢰 불가. 같은 모델끼리의 상대 경향만 유효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EC/DMC 혼합 용매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부피분율 가중 평균 단일 유효 매질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성분별 선택적 배위 효과는 반영 안 됨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비평형 용매화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동결 반응장 근사, 광학 유전 완화 미포함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수직 전위의 상한 추정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열역학 보정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기체상 조화진동자·강체회전·이상기체 근사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저진동수 모드가 많은 유연한 분자에서 엔트로피 과대평가 가능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TDDFT λmax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진동 구조·용매 재조직화 미포함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작은 기저함수에서는 특히 부정확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Li+ 결합 · 이량체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착물 전체 재최적화 없이 접촉 이완만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정성적 순위 비교용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52514E"/>
                <w:sz w:val="16"/>
                <w:szCs w:val="16"/>
              </w:rPr>
              <w:t xml:space="preserve">범함수 의존성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BDE 기준 범함수 간 최대 23 kJ/mol 편차</w:t>
            </w:r>
          </w:p>
        </w:tc>
        <w:tc>
          <w:tcPr>
            <w:tcW w:type="dxa" w:w="42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color w:val="52514E"/>
                <w:sz w:val="16"/>
                <w:szCs w:val="16"/>
              </w:rPr>
              <w:t xml:space="preserve">잔여 오차의 주원인은 기저함수가 아니라 범함수 선택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Malgun Gothic" w:cs="Malgun Gothic" w:eastAsia="맑은 고딕" w:hAnsi="Malgun Gothic"/>
          <w:b/>
          <w:bCs/>
          <w:color w:val="171716"/>
          <w:sz w:val="24"/>
          <w:szCs w:val="24"/>
        </w:rPr>
        <w:t xml:space="preserve">검증 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단위 테스트 18건 통과 (실제 SCF 포함, 약 4초)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아크릴로나이트릴 HOMO −8.10 eV — Materials Project 참조값 −8.19 eV와 부합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C–C BDE 365.6 kJ/mol — 문헌값 약 370 kJ/mol 대비 −4 kJ/mol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맑은 고딕" w:hAnsi="Malgun Gothic"/>
          <w:color w:val="52514E"/>
          <w:sz w:val="20"/>
          <w:szCs w:val="20"/>
        </w:rPr>
        <w:t xml:space="preserve">PBE0 · B3LYP · M06-2X 세 범함수 모두 동일한 결합을 가장 약한 결합으로 지목</w:t>
      </w:r>
    </w:p>
    <w:sectPr>
      <w:footerReference w:type="default" r:id="rId7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0" w:sz="2" w:space="8"/>
      </w:pBdr>
      <w:spacing w:before="120"/>
      <w:jc w:val="center"/>
    </w:pP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RhoBench 기술정의서 v1.0   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898781"/>
        <w:sz w:val="16"/>
        <w:szCs w:val="16"/>
      </w:rPr>
      <w:t xml:space="preserve"> / </w:t>
    </w:r>
    <w:r>
      <w:rPr>
        <w:rFonts w:ascii="Malgun Gothic" w:cs="Malgun Gothic" w:eastAsia="맑은 고딕" w:hAnsi="Malgun Gothic"/>
        <w:color w:val="8987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Malgun Gothic" w:cs="Malgun Gothic" w:eastAsia="맑은 고딕" w:hAnsi="Malgun Gothic"/>
        <w:color w:val="0F766E"/>
      </w:rPr>
    </w:lvl>
    <w:lvl w:ilvl="1" w15:tentative="1">
      <w:start w:val="1"/>
      <w:numFmt w:val="bullet"/>
      <w:lvlText w:val="–"/>
      <w:lvlJc w:val="left"/>
      <w:pPr>
        <w:ind w:left="660" w:hanging="200"/>
      </w:pPr>
      <w:rPr>
        <w:rFonts w:ascii="Malgun Gothic" w:cs="Malgun Gothic" w:eastAsia="맑은 고딕" w:hAnsi="Malgun Gothic"/>
        <w:color w:val="8987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rFonts w:ascii="Malgun Gothic" w:cs="Malgun Gothic" w:eastAsia="맑은 고딕" w:hAnsi="Malgun Gothic"/>
        <w:b/>
        <w:bCs/>
        <w:color w:val="0F766E"/>
      </w:rPr>
    </w:lvl>
    <w:lvl w:ilvl="1" w15:tentative="1">
      <w:start w:val="1"/>
      <w:numFmt w:val="lowerLetter"/>
      <w:lvlText w:val="%2)"/>
      <w:lvlJc w:val="left"/>
      <w:pPr>
        <w:ind w:left="700" w:hanging="240"/>
      </w:pPr>
      <w:rPr>
        <w:rFonts w:ascii="Malgun Gothic" w:cs="Malgun Gothic" w:eastAsia="맑은 고딕" w:hAnsi="Malgun Gothic"/>
        <w:color w:val="89878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52514E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algun Gothic" w:cs="Malgun Gothic" w:eastAsia="맑은 고딕" w:hAnsi="Malgun Gothic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맑은 고딕" w:hAnsi="Malgun Gothic"/>
      <w:b/>
      <w:bCs/>
      <w:color w:val="17171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algun Gothic" w:cs="Malgun Gothic" w:eastAsia="맑은 고딕" w:hAnsi="Malgun Gothic"/>
      <w:b/>
      <w:bCs/>
      <w:color w:val="52514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RhoBench 기술정의서 v1.0</dc:title>
  <dc:creator>RhoBench</dc:creator>
  <dc:description>RhoBench 기술정의서 v1.0</dc:description>
  <cp:lastModifiedBy>Un-named</cp:lastModifiedBy>
  <cp:revision>1</cp:revision>
  <dcterms:created xsi:type="dcterms:W3CDTF">2026-08-03T15:19:55.370Z</dcterms:created>
  <dcterms:modified xsi:type="dcterms:W3CDTF">2026-08-03T15:19:55.370Z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