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600" w:line="24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</w:r>
    </w:p>
    <w:p>
      <w:pPr>
        <w:keepNext w:val="0"/>
        <w:spacing w:before="0" w:after="360" w:line="240" w:lineRule="auto"/>
        <w:jc w:val="center"/>
      </w:pPr>
      <w:r>
        <w:rPr>
          <w:rFonts w:ascii="Maple Mono NF CN" w:hAnsi="Maple Mono NF CN" w:eastAsia="Maple Mono NF CN"/>
          <w:b/>
          <w:i w:val="0"/>
          <w:color w:val="7A5A00"/>
          <w:sz w:val="22"/>
        </w:rPr>
        <w:t>独立研究项目白皮书</w:t>
      </w:r>
    </w:p>
    <w:p>
      <w:pPr>
        <w:keepNext w:val="0"/>
        <w:spacing w:before="0" w:after="160" w:line="240" w:lineRule="auto"/>
        <w:jc w:val="center"/>
      </w:pPr>
      <w:r>
        <w:rPr>
          <w:rFonts w:ascii="Maple Mono NF CN" w:hAnsi="Maple Mono NF CN" w:eastAsia="Maple Mono NF CN"/>
          <w:b/>
          <w:i w:val="0"/>
          <w:color w:val="203748"/>
          <w:sz w:val="60"/>
        </w:rPr>
        <w:t>事件合约系统化交易</w:t>
      </w:r>
    </w:p>
    <w:p>
      <w:pPr>
        <w:keepNext w:val="0"/>
        <w:spacing w:before="0" w:after="60" w:line="240" w:lineRule="auto"/>
        <w:jc w:val="center"/>
      </w:pPr>
      <w:r>
        <w:rPr>
          <w:rFonts w:ascii="Maple Mono NF CN" w:hAnsi="Maple Mono NF CN" w:eastAsia="Maple Mono NF CN"/>
          <w:b w:val="0"/>
          <w:i w:val="0"/>
          <w:color w:val="1F4D78"/>
          <w:sz w:val="30"/>
        </w:rPr>
        <w:t>Systematic Event-Contract Trading</w:t>
      </w:r>
    </w:p>
    <w:p>
      <w:pPr>
        <w:keepNext w:val="0"/>
        <w:spacing w:before="0" w:after="600" w:line="276" w:lineRule="auto"/>
        <w:jc w:val="center"/>
      </w:pPr>
      <w:r>
        <w:rPr>
          <w:rFonts w:ascii="Maple Mono NF CN" w:hAnsi="Maple Mono NF CN" w:eastAsia="Maple Mono NF CN"/>
          <w:b w:val="0"/>
          <w:i w:val="0"/>
          <w:color w:val="1F4D78"/>
          <w:sz w:val="26"/>
        </w:rPr>
        <w:t>夫妻小团队的清洁室复刻、研究与小资金验证方案</w:t>
      </w:r>
    </w:p>
    <w:p>
      <w:pPr>
        <w:keepNext w:val="0"/>
        <w:spacing w:before="0" w:after="160" w:line="240" w:lineRule="auto"/>
        <w:jc w:val="center"/>
      </w:pPr>
      <w:r>
        <w:rPr>
          <w:rFonts w:ascii="Maple Mono NF CN" w:hAnsi="Maple Mono NF CN" w:eastAsia="Maple Mono NF CN"/>
          <w:b/>
          <w:i w:val="0"/>
          <w:color w:val="203748"/>
          <w:sz w:val="22"/>
        </w:rPr>
        <w:t>讨论稿 v0.1｜2026年8月17日</w:t>
      </w:r>
    </w:p>
    <w:p>
      <w:pPr>
        <w:keepNext w:val="0"/>
        <w:spacing w:before="0" w:after="1400" w:line="264" w:lineRule="auto"/>
        <w:jc w:val="center"/>
      </w:pPr>
      <w:r>
        <w:rPr>
          <w:rFonts w:ascii="Maple Mono NF CN" w:hAnsi="Maple Mono NF CN" w:eastAsia="Maple Mono NF CN"/>
          <w:b w:val="0"/>
          <w:i/>
          <w:color w:val="565E67"/>
          <w:sz w:val="19"/>
        </w:rPr>
        <w:t>面向：金融研究背景 × 计算机工程背景的家庭自营研究团队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FF8E8"/>
          <w:left w:val="single" w:sz="8" w:space="0" w:color="FFF8E8"/>
          <w:bottom w:val="single" w:sz="8" w:space="0" w:color="FFF8E8"/>
          <w:right w:val="single" w:sz="8" w:space="0" w:color="FFF8E8"/>
          <w:insideH w:val="single" w:sz="8" w:space="0" w:color="FFF8E8"/>
          <w:insideV w:val="single" w:sz="8" w:space="0" w:color="FFF8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0" w:line="288" w:lineRule="auto"/>
              <w:jc w:val="left"/>
            </w:pPr>
            <w:r>
              <w:rPr>
                <w:rFonts w:ascii="Maple Mono NF CN" w:hAnsi="Maple Mono NF CN" w:eastAsia="Maple Mono NF CN"/>
                <w:b/>
                <w:color w:val="7A5A00"/>
                <w:sz w:val="22"/>
              </w:rPr>
              <w:t xml:space="preserve">使用边界  </w:t>
            </w:r>
            <w:r>
              <w:rPr>
                <w:rFonts w:ascii="Maple Mono NF CN" w:hAnsi="Maple Mono NF CN" w:eastAsia="Maple Mono NF CN"/>
                <w:color w:val="203748"/>
                <w:sz w:val="22"/>
              </w:rPr>
              <w:t>本文件用于家庭内部认知对齐、工程规划与研究决策，不构成法律、投资或开户建议。任何实盘前均须完成居住地法律、平台资格、雇主合规及资金路径审查。</w:t>
            </w:r>
          </w:p>
        </w:tc>
      </w:tr>
    </w:tbl>
    <w:p>
      <w:pPr>
        <w:keepNext w:val="0"/>
        <w:spacing w:before="0" w:after="80" w:line="24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</w:r>
    </w:p>
    <w:p>
      <w:pPr>
        <w:keepNext w:val="0"/>
        <w:spacing w:before="320" w:after="0" w:line="288" w:lineRule="auto"/>
        <w:jc w:val="center"/>
      </w:pPr>
      <w:r>
        <w:rPr>
          <w:rFonts w:ascii="Maple Mono NF CN" w:hAnsi="Maple Mono NF CN" w:eastAsia="Maple Mono NF CN"/>
          <w:b/>
          <w:i w:val="0"/>
          <w:color w:val="9B1C1C"/>
          <w:sz w:val="21"/>
        </w:rPr>
        <w:t>核心建议：条件式 GO —— 可以先做公开数据、独立实现和模拟交易；不建议在合规审查、回测与影子交易完成前投入全部 3,000 美元。</w:t>
      </w:r>
    </w:p>
    <w:p>
      <w:r>
        <w:br w:type="page"/>
      </w:r>
    </w:p>
    <w:p>
      <w:pPr>
        <w:pStyle w:val="Heading1"/>
        <w:keepNext/>
      </w:pPr>
      <w:r>
        <w:t>文档定位与决策问题</w:t>
      </w:r>
    </w:p>
    <w:p>
      <w:pPr>
        <w:keepNext w:val="0"/>
        <w:spacing w:before="0" w:after="160" w:line="32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  <w:t>本白皮书讨论的不是是否复制他人的代码或策略，而是能否仅基于公开资料、公开 API 和独立工程，实现一套可验证的事件合约系统化交易能力。项目目标应定义为“能力复刻”，而不是“收益曲线复刻”。前者可通过数据、仿真、执行和风控验收；后者受策略细节、延迟位置、资金路径和运气影响，无法从演示系统直接推导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E8EEF5"/>
          <w:left w:val="single" w:sz="8" w:space="0" w:color="E8EEF5"/>
          <w:bottom w:val="single" w:sz="8" w:space="0" w:color="E8EEF5"/>
          <w:right w:val="single" w:sz="8" w:space="0" w:color="E8EEF5"/>
          <w:insideH w:val="single" w:sz="8" w:space="0" w:color="E8EEF5"/>
          <w:insideV w:val="single" w:sz="8" w:space="0" w:color="E8EEF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  <w:jc w:val="left"/>
            </w:pPr>
            <w:r>
              <w:rPr>
                <w:rFonts w:ascii="Maple Mono NF CN" w:hAnsi="Maple Mono NF CN" w:eastAsia="Maple Mono NF CN"/>
                <w:b/>
                <w:color w:val="1F4D78"/>
                <w:sz w:val="22"/>
              </w:rPr>
              <w:t xml:space="preserve">建议决策  </w:t>
            </w:r>
            <w:r>
              <w:rPr>
                <w:rFonts w:ascii="Maple Mono NF CN" w:hAnsi="Maple Mono NF CN" w:eastAsia="Maple Mono NF CN"/>
                <w:color w:val="203748"/>
                <w:sz w:val="22"/>
              </w:rPr>
              <w:t>批准 6 个月研究立项；阶段 0–2 限于数据、回测和影子交易。只有法律/雇主合规、账户资格、样本外收益和执行偏差四类门槛同时通过，才进入最高 300 美元的首轮实盘。</w:t>
            </w:r>
          </w:p>
        </w:tc>
      </w:tr>
    </w:tbl>
    <w:p>
      <w:pPr>
        <w:keepNext w:val="0"/>
        <w:spacing w:before="0" w:after="80" w:line="24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</w:r>
    </w:p>
    <w:p>
      <w:pPr>
        <w:pStyle w:val="Heading1"/>
        <w:keepNext/>
      </w:pPr>
      <w:r>
        <w:t>执行摘要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赛道名称：建议采用“事件合约系统化交易”（Systematic Event-Contract Trading，SECT）；对外可用“预测市场量化交易”。避免以“二元期权量化”作为主名称。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赛道判断：高速增长、数据开放、市场碎片化、规则复杂、容量有限。2025 年 CFTC 监管预测市场交易量已超过 250 亿美元；第三方数据估计 2026 年 7 月 Kalshi、Polymarket 与 Polymarket US 合计交易量约 506 亿美元，但世界杯等大型事件造成明显周期波动。[S05][S24]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Demo 判断：SignalX 已完成实时采集、ClickHouse 数仓、策略研究、低延迟引擎、账户/KMS、版本化配置、日志监控和实盘 PnL 闭环；其工程真实性较强，但市场数据前端、数据质量、PnL 锁账和回测真实性仍处于早期阶段。[S01][S02]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Alpha 判断：短周期加密事件的现货—事件合约 lead-lag、结构性逻辑套利、尾盘/结算策略、跨平台套利、做市与激励、行为偏差和公开交易者研究均有空间。夫妻店应优先做可离线验证、对极致延迟依赖较低的路线。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工程判断：真正难点不是下单 API，而是市场主数据、订单簿重建、事件驱动回测、延迟/排队/部分成交仿真、不可修改账本、风控与调账。MVP 约需 500–900 人小时；稳定运行通常需要 6–12 个月。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资金判断：3,000 美元适合作为最终风险资本上限，不适合第一天全部入金。建议按 0 → 100 → 300 → 1,000 → 3,000 美元递进；研究基础设施预算应单列。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最大阻断项：中国大陆的虚拟货币、境外平台和网络竞猜法律风险，以及配偶所在量化公司的个人交易/副业/IP 规定。没有书面或专业确认前，只做研究、数据和模拟。</w:t>
      </w:r>
    </w:p>
    <w:p>
      <w:pPr>
        <w:pStyle w:val="Heading2"/>
        <w:keepNext/>
      </w:pPr>
      <w:r>
        <w:t>阅读路线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E1"/>
          <w:left w:val="single" w:sz="6" w:space="0" w:color="D6DAE1"/>
          <w:bottom w:val="single" w:sz="6" w:space="0" w:color="D6DAE1"/>
          <w:right w:val="single" w:sz="6" w:space="0" w:color="D6DAE1"/>
          <w:insideH w:val="single" w:sz="6" w:space="0" w:color="D6DAE1"/>
          <w:insideV w:val="single" w:sz="6" w:space="0" w:color="D6DAE1"/>
        </w:tblBorders>
      </w:tblPr>
      <w:tblGrid>
        <w:gridCol w:w="1100"/>
        <w:gridCol w:w="5060"/>
        <w:gridCol w:w="3200"/>
      </w:tblGrid>
      <w:tr>
        <w:trPr>
          <w:tblHeader w:val="true"/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8"/>
              </w:rPr>
              <w:t>章节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8"/>
              </w:rPr>
              <w:t>回答的问题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8"/>
              </w:rPr>
              <w:t>建议讨论人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0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这条赛道叫什么，与股票量化差别在哪里？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双方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1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哪些是已观察事实，哪些只是宣传或待验证？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双方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2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可研究的 Alpha 有哪些，优先级如何？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量化研究侧牵头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3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系统全貌、回测要求、设备与云成本是什么？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工程侧牵头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4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夫妻店如何分工、用多少钱、如何分阶段？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双方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5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哪些风险会让项目立即停止？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双方＋外部合规</w:t>
            </w:r>
          </w:p>
        </w:tc>
      </w:tr>
    </w:tbl>
    <w:p>
      <w:pPr>
        <w:keepNext w:val="0"/>
        <w:spacing w:before="0" w:after="80" w:line="24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</w:r>
    </w:p>
    <w:p>
      <w:pPr>
        <w:pStyle w:val="Heading1"/>
        <w:keepNext/>
      </w:pPr>
      <w:r>
        <w:t>0. 赛道定义、特征与命名</w:t>
      </w:r>
    </w:p>
    <w:p>
      <w:pPr>
        <w:pStyle w:val="Heading2"/>
        <w:keepNext/>
      </w:pPr>
      <w:r>
        <w:t>0.1 推荐名称</w:t>
      </w:r>
    </w:p>
    <w:p>
      <w:pPr>
        <w:keepNext w:val="0"/>
        <w:spacing w:before="0" w:after="160" w:line="32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  <w:t>推荐正式名称为“事件合约系统化交易”（SECT）。它强调交易对象是由未来事件结果结算的合约，方法是系统化研究、执行与风险控制。若突出行业，可称“预测市场量化交易”；若突出当前研究重点，可称“预测市场微观结构与低延迟交易”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E1"/>
          <w:left w:val="single" w:sz="6" w:space="0" w:color="D6DAE1"/>
          <w:bottom w:val="single" w:sz="6" w:space="0" w:color="D6DAE1"/>
          <w:right w:val="single" w:sz="6" w:space="0" w:color="D6DAE1"/>
          <w:insideH w:val="single" w:sz="6" w:space="0" w:color="D6DAE1"/>
          <w:insideV w:val="single" w:sz="6" w:space="0" w:color="D6DAE1"/>
        </w:tblBorders>
      </w:tblPr>
      <w:tblGrid>
        <w:gridCol w:w="2300"/>
        <w:gridCol w:w="3100"/>
        <w:gridCol w:w="3960"/>
      </w:tblGrid>
      <w:tr>
        <w:trPr>
          <w:tblHeader w:val="true"/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8"/>
              </w:rPr>
              <w:t>名称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8"/>
              </w:rPr>
              <w:t>适用场景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8"/>
              </w:rPr>
              <w:t>评价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事件合约系统化交易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白皮书、内部项目、正式研究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最准确；兼容受监管与链上平台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预测市场量化交易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对外沟通、行业研究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通俗，但容易被理解为只做观点预测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事件驱动高频交易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强调低延迟时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容易和股票新闻事件交易混淆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二元期权量化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不建议作为主名称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在中国语境下可能指庄家式押涨跌平台，法律与声誉风险高</w:t>
            </w:r>
          </w:p>
        </w:tc>
      </w:tr>
    </w:tbl>
    <w:p>
      <w:pPr>
        <w:keepNext w:val="0"/>
        <w:spacing w:before="0" w:after="80" w:line="24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</w:r>
    </w:p>
    <w:p>
      <w:pPr>
        <w:pStyle w:val="Heading2"/>
        <w:keepNext/>
      </w:pPr>
      <w:r>
        <w:t>0.2 与股票量化赛道的本质区别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E1"/>
          <w:left w:val="single" w:sz="6" w:space="0" w:color="D6DAE1"/>
          <w:bottom w:val="single" w:sz="6" w:space="0" w:color="D6DAE1"/>
          <w:right w:val="single" w:sz="6" w:space="0" w:color="D6DAE1"/>
          <w:insideH w:val="single" w:sz="6" w:space="0" w:color="D6DAE1"/>
          <w:insideV w:val="single" w:sz="6" w:space="0" w:color="D6DAE1"/>
        </w:tblBorders>
      </w:tblPr>
      <w:tblGrid>
        <w:gridCol w:w="1700"/>
        <w:gridCol w:w="3830"/>
        <w:gridCol w:w="3830"/>
      </w:tblGrid>
      <w:tr>
        <w:trPr>
          <w:tblHeader w:val="true"/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7"/>
              </w:rPr>
              <w:t>维度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7"/>
              </w:rPr>
              <w:t>事件合约/预测市场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7"/>
              </w:rPr>
              <w:t>股票/期货量化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收益结构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0/1 或有限离散结果；可能本金归零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连续价格变化，通常可动态退出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标的寿命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大量一次性、短寿命市场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证券主数据相对稳定、长期存在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规则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标题不足以定义资产；结算来源、截止时间、边界条款属于定价核心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交易所规则重要，但单个证券通常不因自然语言规则而改变结算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风险分布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高胜率与罕见全损并存；尾部风险显著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可呈多种分布，但不天然二元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数据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公开 API、链上成交和地址活动较丰富；撤单/报价生命周期可能缺失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专业逐笔数据昂贵，但结构和时间戳规范较成熟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市场结构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平台碎片化、订单簿较薄、结算机制各异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主流交易所深度更高，规则与基础设施更标准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Alpha 半衰期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事件与平台特定，迁移性弱，容量小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部分因子跨标的可复用，容量相对更大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合规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金融、博彩、虚拟货币、地域限制交叉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证券/期货监管路径相对清晰</w:t>
            </w:r>
          </w:p>
        </w:tc>
      </w:tr>
    </w:tbl>
    <w:p>
      <w:pPr>
        <w:keepNext w:val="0"/>
        <w:spacing w:before="0" w:after="80" w:line="24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FF8E8"/>
          <w:left w:val="single" w:sz="8" w:space="0" w:color="FFF8E8"/>
          <w:bottom w:val="single" w:sz="8" w:space="0" w:color="FFF8E8"/>
          <w:right w:val="single" w:sz="8" w:space="0" w:color="FFF8E8"/>
          <w:insideH w:val="single" w:sz="8" w:space="0" w:color="FFF8E8"/>
          <w:insideV w:val="single" w:sz="8" w:space="0" w:color="FFF8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0" w:line="288" w:lineRule="auto"/>
              <w:jc w:val="left"/>
            </w:pPr>
            <w:r>
              <w:rPr>
                <w:rFonts w:ascii="Maple Mono NF CN" w:hAnsi="Maple Mono NF CN" w:eastAsia="Maple Mono NF CN"/>
                <w:b/>
                <w:color w:val="7A5A00"/>
                <w:sz w:val="22"/>
              </w:rPr>
              <w:t xml:space="preserve">赛道共性  </w:t>
            </w:r>
            <w:r>
              <w:rPr>
                <w:rFonts w:ascii="Maple Mono NF CN" w:hAnsi="Maple Mono NF CN" w:eastAsia="Maple Mono NF CN"/>
                <w:color w:val="203748"/>
                <w:sz w:val="22"/>
              </w:rPr>
              <w:t>定价不是单纯预测事件，而是同时预测：真实世界结果、平台采用的结算定义、订单簿如何反应，以及自己的订单能否在价格失效前成交。</w:t>
            </w:r>
          </w:p>
        </w:tc>
      </w:tr>
    </w:tbl>
    <w:p>
      <w:pPr>
        <w:keepNext w:val="0"/>
        <w:spacing w:before="0" w:after="80" w:line="24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</w:r>
    </w:p>
    <w:p>
      <w:pPr>
        <w:pStyle w:val="Heading1"/>
        <w:keepNext/>
      </w:pPr>
      <w:r>
        <w:t>1. 已知事实、背景事实与已验证点</w:t>
      </w:r>
    </w:p>
    <w:p>
      <w:pPr>
        <w:pStyle w:val="Heading2"/>
        <w:keepNext/>
      </w:pPr>
      <w:r>
        <w:t>1.1 SignalX Demo 的可观察事实</w:t>
      </w:r>
    </w:p>
    <w:p>
      <w:pPr>
        <w:keepNext w:val="0"/>
        <w:spacing w:before="0" w:after="160" w:line="32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  <w:t>以下数据来自 2026 年 8 月 17 日对 SignalX 控制台和项目介绍的只读检查。它们可证明系统在运行，但不能代替平台对账单、链上地址、资金流水或第三方审计。[S01][S02]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E1"/>
          <w:left w:val="single" w:sz="6" w:space="0" w:color="D6DAE1"/>
          <w:bottom w:val="single" w:sz="6" w:space="0" w:color="D6DAE1"/>
          <w:right w:val="single" w:sz="6" w:space="0" w:color="D6DAE1"/>
          <w:insideH w:val="single" w:sz="6" w:space="0" w:color="D6DAE1"/>
          <w:insideV w:val="single" w:sz="6" w:space="0" w:color="D6DAE1"/>
        </w:tblBorders>
      </w:tblPr>
      <w:tblGrid>
        <w:gridCol w:w="1300"/>
        <w:gridCol w:w="2500"/>
        <w:gridCol w:w="2700"/>
        <w:gridCol w:w="2860"/>
      </w:tblGrid>
      <w:tr>
        <w:trPr>
          <w:tblHeader w:val="true"/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6"/>
              </w:rPr>
              <w:t>维度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6"/>
              </w:rPr>
              <w:t>观察值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6"/>
              </w:rPr>
              <w:t>可得结论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6"/>
              </w:rPr>
              <w:t>限制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数仓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约 148.1 亿行；386GB 压缩；磁盘使用 2.5TB；43 张表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已存在持续采集与查询体系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统计口径和历史完整性未独立复核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实时性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最新分片更新到当晚约 19:16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采集在持续运行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覆盖率监控查询因旧表名报错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Agent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17 个登记进程，5 个在线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存在多地域/多用途守护进程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其余进程是停用、备用还是故障未知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配置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10 个启用配置；TOML 不可变版本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配置治理思路较专业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版本审批和回滚 SLA 未知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PnL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8 月 +$915.17；1,270 条已结算；12 盈利日/5 亏损日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短样本内已产生实盘盈利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未核对手续费、返佣、存取款、未结算仓位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资金集中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Predict.fun 主账户贡献约 93.5% 月度盈利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当前优势高度集中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不能据此证明跨平台能力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日志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实时出现订阅、信号、下单、撤单、结算方向和订单 ID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不是静态 PPT 系统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存在 stale market、重连与状态机警告</w:t>
            </w:r>
          </w:p>
        </w:tc>
      </w:tr>
    </w:tbl>
    <w:p>
      <w:pPr>
        <w:keepNext w:val="0"/>
        <w:spacing w:before="0" w:after="80" w:line="24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</w:r>
    </w:p>
    <w:p>
      <w:pPr>
        <w:pStyle w:val="Heading2"/>
        <w:keepNext/>
      </w:pPr>
      <w:r>
        <w:t>1.2 已跑通的验证点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公开和平台行情可以被稳定采集、压缩和关联查询。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短周期加密事件合约可以与 Binance/Chainlink 等参考价格连接。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策略信号可以经过账户授权、预交易约束、下单、成交追踪和结算进入统一 PnL。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在当前平台和短样本期内，Winner/Tail Sweep 类策略至少产生过正的已结算 PnL。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多机房部署、连接预热和低延迟工程对结算附近的竞争具有实际价值。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版本化配置、KMS、日志和控制台是长期运行所必需，而不是额外包装。</w:t>
      </w:r>
    </w:p>
    <w:p>
      <w:pPr>
        <w:pStyle w:val="Heading2"/>
        <w:keepNext/>
      </w:pPr>
      <w:r>
        <w:t>1.3 尚未验证或存在反证的点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color w:val="9B1C1C"/>
          <w:sz w:val="22"/>
        </w:rPr>
        <w:t>长期稳健性：观察期只有约三周；8 月 1 日单日盈利占月度盈利约 53%。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color w:val="9B1C1C"/>
          <w:sz w:val="22"/>
        </w:rPr>
        <w:t>资本可扩展性：盘口深度、对手行为和平台限额可能使收益无法线性放大。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color w:val="9B1C1C"/>
          <w:sz w:val="22"/>
        </w:rPr>
        <w:t>回测真实性：项目材料自己把“拟合真实订单簿与订单流延迟”列为未来任务。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color w:val="9B1C1C"/>
          <w:sz w:val="22"/>
        </w:rPr>
        <w:t>PnL 可审计性：早期截图与当前控制台的多日历史数值发生修订，至 8 月 6 日累计差约 $34.41。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color w:val="9B1C1C"/>
          <w:sz w:val="22"/>
        </w:rPr>
        <w:t>8–9ms 优势：可以测量，但“快于 99.999% 对手”缺少公开样本、测量边界和对照组。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color w:val="9B1C1C"/>
          <w:sz w:val="22"/>
        </w:rPr>
        <w:t>跨平台能力：当前月度盈利全部来自 Predict.fun，其他账户为 0 或停用。</w:t>
      </w:r>
    </w:p>
    <w:p>
      <w:pPr>
        <w:pStyle w:val="Heading2"/>
        <w:keepNext/>
      </w:pPr>
      <w:r>
        <w:t>1.4 行业与平台背景</w:t>
      </w:r>
    </w:p>
    <w:p>
      <w:pPr>
        <w:keepNext w:val="0"/>
        <w:spacing w:before="0" w:after="160" w:line="32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  <w:t>CFTC 将预测市场产品称为 event contracts，通常以二元或多结果形式结算，用于投机、信息聚合或风险对冲。2026 年美国仍处于快速规则演进期，监管机构同时强调市场创新、市场操纵、内幕信息、合同规则和交易所自律义务。[S03][S04][S05]</w:t>
      </w:r>
    </w:p>
    <w:p>
      <w:pPr>
        <w:keepNext w:val="0"/>
        <w:spacing w:before="0" w:after="160" w:line="32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  <w:t>主流平台形成两类架构：一类是 Kalshi 等受监管交易所；另一类是 Polymarket 等以中心化订单簿撮合、链上持仓与结算为特点的平台。Polymarket 的公共接口提供订单簿、成交、用户活动、持仓与解析事件；交易状态还经历 MATCHED、MINED、CONFIRMED、RETRYING 或 FAILED，因此“看到成交”不一定等于最终确认。[S06][S07][S10]</w:t>
      </w:r>
    </w:p>
    <w:p>
      <w:pPr>
        <w:keepNext w:val="0"/>
        <w:spacing w:before="0" w:after="160" w:line="32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  <w:t>行业规模已足以支持专业参与者，但仍小于成熟期货市场。CFTC 文件称 2025 年受监管预测市场交易量超过 250 亿美元；第三方数据估计 2026 年 7 月三大平台合计约 506 亿美元，其中世界杯造成显著放量。规模增长不等于策略容量增长，尤其是单一短周期盘口。[S05][S24]</w:t>
      </w:r>
    </w:p>
    <w:p>
      <w:pPr>
        <w:pStyle w:val="Heading2"/>
        <w:keepNext/>
      </w:pPr>
      <w:r>
        <w:t>1.5 公开数据的价值与盲区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E1"/>
          <w:left w:val="single" w:sz="6" w:space="0" w:color="D6DAE1"/>
          <w:bottom w:val="single" w:sz="6" w:space="0" w:color="D6DAE1"/>
          <w:right w:val="single" w:sz="6" w:space="0" w:color="D6DAE1"/>
          <w:insideH w:val="single" w:sz="6" w:space="0" w:color="D6DAE1"/>
          <w:insideV w:val="single" w:sz="6" w:space="0" w:color="D6DAE1"/>
        </w:tblBorders>
      </w:tblPr>
      <w:tblGrid>
        <w:gridCol w:w="2200"/>
        <w:gridCol w:w="3200"/>
        <w:gridCol w:w="396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7"/>
              </w:rPr>
              <w:t>可获得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7"/>
              </w:rPr>
              <w:t>研究用途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7"/>
              </w:rPr>
              <w:t>关键盲区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市场规则、截止时间、结果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市场主数据、规则解析、结算研究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规则可能补充或争议；标题不等于规则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L2 订单簿和价格变更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重建盘口、价差、深度、短期反应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聚合价位不一定包含精确队列位置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成交和链上地址活动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交易者画像、资金流、持仓与已实现收益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公开成交缺少私人信号和完整决策过程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自己的订单/成交 WebSocket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OMS、状态机、调账和执行质量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需要安全保存凭证，且存在重试/最终性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参考现货与预言机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lead-lag、公允概率和结算源对齐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平台采用的价格源、采样窗口和精度必须逐市场确认</w:t>
            </w:r>
          </w:p>
        </w:tc>
      </w:tr>
    </w:tbl>
    <w:p>
      <w:pPr>
        <w:keepNext w:val="0"/>
        <w:spacing w:before="0" w:after="80" w:line="24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</w:r>
    </w:p>
    <w:p>
      <w:pPr>
        <w:keepNext w:val="0"/>
        <w:spacing w:before="0" w:after="160" w:line="32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  <w:t>2026 年两项 Polymarket 微观结构研究给出重要警告：仅凭公开报价流推断买卖方向，和链上真实成交方向的一致度可能只有约 59%；同时，链下订单放置和撤单生命周期无法从链上地址完整恢复，因此从成交记录“复制别人策略”存在结构性不可识别问题。[S15][S16]</w:t>
      </w:r>
    </w:p>
    <w:p>
      <w:pPr>
        <w:pStyle w:val="Heading1"/>
        <w:keepNext/>
      </w:pPr>
      <w:r>
        <w:t>2. Alpha 路线：现有路线与可拓展方向</w:t>
      </w:r>
    </w:p>
    <w:p>
      <w:pPr>
        <w:pStyle w:val="Heading2"/>
        <w:keepNext/>
      </w:pPr>
      <w:r>
        <w:t>2.1 Alpha 分类框架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E1"/>
          <w:left w:val="single" w:sz="6" w:space="0" w:color="D6DAE1"/>
          <w:bottom w:val="single" w:sz="6" w:space="0" w:color="D6DAE1"/>
          <w:right w:val="single" w:sz="6" w:space="0" w:color="D6DAE1"/>
          <w:insideH w:val="single" w:sz="6" w:space="0" w:color="D6DAE1"/>
          <w:insideV w:val="single" w:sz="6" w:space="0" w:color="D6DAE1"/>
        </w:tblBorders>
      </w:tblPr>
      <w:tblGrid>
        <w:gridCol w:w="1900"/>
        <w:gridCol w:w="2500"/>
        <w:gridCol w:w="2200"/>
        <w:gridCol w:w="1100"/>
        <w:gridCol w:w="1660"/>
      </w:tblGrid>
      <w:tr>
        <w:trPr>
          <w:tblHeader w:val="true"/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6"/>
              </w:rPr>
              <w:t>路线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6"/>
              </w:rPr>
              <w:t>经济来源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6"/>
              </w:rPr>
              <w:t>工程依赖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6"/>
              </w:rPr>
              <w:t>适合夫妻店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6"/>
              </w:rPr>
              <w:t>建议阶段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现货—事件合约 Lead-Lag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参考现货先动，事件盘口后反应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高质量时间戳、实时行情、成本模型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高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第一优先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逻辑/结构套利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YES/NO 或互斥结果的总价格异常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市场规则图谱、原子或容错执行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高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第一优先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结算/Tail Sweep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结果趋明但订单簿未完全收敛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极低延迟、精确结算源、强风控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中低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第二阶段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跨平台套利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同一经济事件跨所定价偏差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双账户、资本分仓、规则映射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中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第二阶段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做市/激励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点差、返佣与流动性奖励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库存模型、撤单可靠性、队列仿真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中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第二阶段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行为与校准偏差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散户概率误判、长赔偏差、热门事件偏差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大样本、严格样本外检验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高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研究并行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公开交易者行为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识别高水平交易者或条件策略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地址聚类、交易重建、因果辨识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中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研究并行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新闻/LLM 事件定价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文本信息转概率快于市场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信息源、评测集、低幻觉输出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中低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后期</w:t>
            </w:r>
          </w:p>
        </w:tc>
      </w:tr>
    </w:tbl>
    <w:p>
      <w:pPr>
        <w:keepNext w:val="0"/>
        <w:spacing w:before="0" w:after="80" w:line="24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</w:r>
    </w:p>
    <w:p>
      <w:pPr>
        <w:pStyle w:val="Heading2"/>
        <w:keepNext/>
      </w:pPr>
      <w:r>
        <w:t>2.2 现货—事件合约 Lead-Lag</w:t>
      </w:r>
    </w:p>
    <w:p>
      <w:pPr>
        <w:keepNext w:val="0"/>
        <w:spacing w:before="0" w:after="160" w:line="32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  <w:t>这是最适合独立复刻的基准路线。对 BTC/ETH/BNB 的 5 分钟、15 分钟涨跌合约，使用多个现货源、指数或预言机计算在剩余期限内收于阈值上方的概率，并测量事件盘口相对现货的响应延迟。它既可以形成 taker 信号，也可以形成 maker 报价。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输入：现货逐笔、BBO、事件盘口、波动率、剩余时间、平台结算源。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最小模型：数字期权概率 + 短时波动率 + 盘口深度；复杂模型可加入跳跃、微观价格和多源延迟。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验收：在样本外、扣除费用和最坏合理滑点后，按事件日分层仍为正；收益不由少数结算窗口贡献。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风险：对手使用不同模型不代表错误；现货价格先动也可能只是噪声。</w:t>
      </w:r>
    </w:p>
    <w:p>
      <w:pPr>
        <w:pStyle w:val="Heading2"/>
        <w:keepNext/>
      </w:pPr>
      <w:r>
        <w:t>2.3 逻辑与结构套利</w:t>
      </w:r>
    </w:p>
    <w:p>
      <w:pPr>
        <w:keepNext w:val="0"/>
        <w:spacing w:before="0" w:after="160" w:line="32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  <w:t>二元合约天然存在概率约束，例如同一条件下 YES 与 NO 的可执行价格之和、互斥且完备结果集合的价格之和、嵌套事件的单调性。偏离并不自动等于无风险套利：手续费、深度、部分成交、持仓铸造/合并和结算规则差异都会破坏理论利润。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E8EEF5"/>
          <w:left w:val="single" w:sz="8" w:space="0" w:color="E8EEF5"/>
          <w:bottom w:val="single" w:sz="8" w:space="0" w:color="E8EEF5"/>
          <w:right w:val="single" w:sz="8" w:space="0" w:color="E8EEF5"/>
          <w:insideH w:val="single" w:sz="8" w:space="0" w:color="E8EEF5"/>
          <w:insideV w:val="single" w:sz="8" w:space="0" w:color="E8EEF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  <w:jc w:val="left"/>
            </w:pPr>
            <w:r>
              <w:rPr>
                <w:rFonts w:ascii="Maple Mono NF CN" w:hAnsi="Maple Mono NF CN" w:eastAsia="Maple Mono NF CN"/>
                <w:b/>
                <w:color w:val="1F4D78"/>
                <w:sz w:val="22"/>
              </w:rPr>
              <w:t xml:space="preserve">优点  </w:t>
            </w:r>
            <w:r>
              <w:rPr>
                <w:rFonts w:ascii="Maple Mono NF CN" w:hAnsi="Maple Mono NF CN" w:eastAsia="Maple Mono NF CN"/>
                <w:color w:val="203748"/>
                <w:sz w:val="22"/>
              </w:rPr>
              <w:t>信号解释清楚、容易离线验证、适合构建回测基线；即使最终不能盈利，也能检验市场主数据、规则解析、订单簿和执行系统。</w:t>
            </w:r>
          </w:p>
        </w:tc>
      </w:tr>
    </w:tbl>
    <w:p>
      <w:pPr>
        <w:keepNext w:val="0"/>
        <w:spacing w:before="0" w:after="80" w:line="24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</w:r>
    </w:p>
    <w:p>
      <w:pPr>
        <w:pStyle w:val="Heading2"/>
        <w:keepNext/>
      </w:pPr>
      <w:r>
        <w:t>2.4 结算与 Tail Sweep</w:t>
      </w:r>
    </w:p>
    <w:p>
      <w:pPr>
        <w:keepNext w:val="0"/>
        <w:spacing w:before="0" w:after="160" w:line="32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  <w:t>Demo 的主策略是在结果即将确定或已经可以从参考源推断时，以接近 1 的价格买入胜出方向。其表面胜率很高，但风险收益高度非对称：以 0.99 买入，正常一次只赚约 0.01；一次完整判断错误，理论上可抵消约 99 次正常利润，尚未计费用、重复下单和平台故障。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color w:val="9B1C1C"/>
          <w:sz w:val="22"/>
        </w:rPr>
        <w:t>必须独立维护平台的结算源、采样窗口、精度、时区和争议规则。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color w:val="9B1C1C"/>
          <w:sz w:val="22"/>
        </w:rPr>
        <w:t>信号要分为“方向推断”“官方可确认”“平台已解析”，不同阶段采用不同限额。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color w:val="9B1C1C"/>
          <w:sz w:val="22"/>
        </w:rPr>
        <w:t>任何数据停滞、时钟偏移、价格源分叉、规则不确定都必须 fail closed。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color w:val="9B1C1C"/>
          <w:sz w:val="22"/>
        </w:rPr>
        <w:t>3,000 美元账户不得照搬 Demo 中单市场 50–700 美元的名义风险。</w:t>
      </w:r>
    </w:p>
    <w:p>
      <w:pPr>
        <w:pStyle w:val="Heading2"/>
        <w:keepNext/>
      </w:pPr>
      <w:r>
        <w:t>2.5 跨平台套利</w:t>
      </w:r>
    </w:p>
    <w:p>
      <w:pPr>
        <w:keepNext w:val="0"/>
        <w:spacing w:before="0" w:after="160" w:line="32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  <w:t>跨平台价差来自参与者结构、规则、结算资产和网络位置差异。真正的工程问题是“同一经济事件”不一定是“同一法律与结算合约”。需要把每个市场映射为规范化事件、结果集合、结算来源和截止条件，并设置规则相似度阈值。</w:t>
      </w:r>
    </w:p>
    <w:p>
      <w:pPr>
        <w:keepNext w:val="0"/>
        <w:spacing w:before="0" w:after="160" w:line="32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  <w:t>对 3,000 美元资本，跨所会把资金分散到多个账户，降低每边可用深度，同时增加 KYC、出入金和资金冻结风险。更适合作为数据研究与告警工具，待单平台策略和对账稳定后再实盘。</w:t>
      </w:r>
    </w:p>
    <w:p>
      <w:pPr>
        <w:pStyle w:val="Heading2"/>
        <w:keepNext/>
      </w:pPr>
      <w:r>
        <w:t>2.6 做市与激励</w:t>
      </w:r>
    </w:p>
    <w:p>
      <w:pPr>
        <w:keepNext w:val="0"/>
        <w:spacing w:before="0" w:after="160" w:line="32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  <w:t>Polymarket 对多类市场收取 taker 费用并将部分费用以 maker rebate 返还；Kalshi 也存在流动性和做市激励。激励是 Alpha 的组成部分，但规则可随时变化，不能成为策略的唯一利润来源。[S08][S09][S12]</w:t>
      </w:r>
    </w:p>
    <w:p>
      <w:pPr>
        <w:keepNext w:val="0"/>
        <w:spacing w:before="0" w:after="160" w:line="32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  <w:t>做市回测必须模拟排队位置、订单存活时间、部分成交、撤单在途和毒性流。管理科学关于限价单的研究强调，队列位置本身具有不确定性；把“盘口触价”当作自己成交，会系统性夸大收益。[S18]</w:t>
      </w:r>
    </w:p>
    <w:p>
      <w:pPr>
        <w:pStyle w:val="Heading2"/>
        <w:keepNext/>
      </w:pPr>
      <w:r>
        <w:t>2.7 行为偏差与公开交易者研究</w:t>
      </w:r>
    </w:p>
    <w:p>
      <w:pPr>
        <w:keepNext w:val="0"/>
        <w:spacing w:before="0" w:after="160" w:line="32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  <w:t>长期存在的候选异常包括 favourite–longshot bias，即低概率结果被高估、高概率结果被低估，但其方向和强度随市场结构变化，且交易成本可能吞噬优势。[S14] 对公开交易者，更合理的目标是识别行为类型和条件信号，而不是逐笔复制。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可做：按持仓周期、市场类别、成交频率、价格区间、结果校准和回撤构建交易者画像。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不可直接做：把公开地址的下一笔成交视为可同步执行的信号；可见时往往已经过时。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需防止：幸存者偏差、地址拆分、资金转移、复制者挤压和排行榜的已实现/未实现口径差异。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LLM 用途：提出可编码假设、生成特征说明、审查实验日志；不负责决定是否上线。</w:t>
      </w:r>
    </w:p>
    <w:p>
      <w:pPr>
        <w:pStyle w:val="Heading2"/>
        <w:keepNext/>
      </w:pPr>
      <w:r>
        <w:t>2.8 研究优先级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E1"/>
          <w:left w:val="single" w:sz="6" w:space="0" w:color="D6DAE1"/>
          <w:bottom w:val="single" w:sz="6" w:space="0" w:color="D6DAE1"/>
          <w:right w:val="single" w:sz="6" w:space="0" w:color="D6DAE1"/>
          <w:insideH w:val="single" w:sz="6" w:space="0" w:color="D6DAE1"/>
          <w:insideV w:val="single" w:sz="6" w:space="0" w:color="D6DAE1"/>
        </w:tblBorders>
      </w:tblPr>
      <w:tblGrid>
        <w:gridCol w:w="1000"/>
        <w:gridCol w:w="2800"/>
        <w:gridCol w:w="3300"/>
        <w:gridCol w:w="2260"/>
      </w:tblGrid>
      <w:tr>
        <w:trPr>
          <w:tblHeader w:val="true"/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7"/>
              </w:rPr>
              <w:t>优先级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7"/>
              </w:rPr>
              <w:t>首批实验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7"/>
              </w:rPr>
              <w:t>成功标准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7"/>
              </w:rPr>
              <w:t>失败也能沉淀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P0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现货—事件盘口响应曲线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样本外净 edge；时间戳与延迟可解释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统一时间轴、行情与盘口重建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P0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YES/NO 与结果集合约束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可执行而非中间价套利；部分成交可控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市场主数据与规则图谱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P1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Tail Sweep 离线复盘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极端错误率、结算分叉和断流压力测试通过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结算源适配与故障注入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P1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做市/激励影子策略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扣除逆向选择后为正；库存受控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队列模型和 OMS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P2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公开地址行为聚类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稳定的跨期行为类型，而非仅拟合收益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研究数据集和实体解析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P3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LLM 新闻与自动因子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严格冻结评测集；优于简单基线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Agentic 研究平台</w:t>
            </w:r>
          </w:p>
        </w:tc>
      </w:tr>
    </w:tbl>
    <w:p>
      <w:pPr>
        <w:keepNext w:val="0"/>
        <w:spacing w:before="0" w:after="80" w:line="24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</w:r>
    </w:p>
    <w:p>
      <w:pPr>
        <w:pStyle w:val="Heading1"/>
        <w:keepNext/>
      </w:pPr>
      <w:r>
        <w:t>3. 工程难度与 IT 投入估算</w:t>
      </w:r>
    </w:p>
    <w:p>
      <w:pPr>
        <w:pStyle w:val="Heading2"/>
        <w:keepNext/>
      </w:pPr>
      <w:r>
        <w:t>3.1 推测的完整系统全貌</w:t>
      </w:r>
    </w:p>
    <w:p>
      <w:pPr>
        <w:keepNext w:val="0"/>
        <w:spacing w:before="0" w:after="160" w:line="32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  <w:t>根据 Demo 页面、Agent 日志、数据表与配置治理，可推测其系统并非一个交易脚本，而是由研究面、交易面和共享控制面组成。独立复刻不需要一开始达到 Demo 的 148 亿行与多机房规模，但系统边界应从第一天设计正确。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E1"/>
          <w:left w:val="single" w:sz="6" w:space="0" w:color="D6DAE1"/>
          <w:bottom w:val="single" w:sz="6" w:space="0" w:color="D6DAE1"/>
          <w:right w:val="single" w:sz="6" w:space="0" w:color="D6DAE1"/>
          <w:insideH w:val="single" w:sz="6" w:space="0" w:color="D6DAE1"/>
          <w:insideV w:val="single" w:sz="6" w:space="0" w:color="D6DAE1"/>
        </w:tblBorders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7"/>
              </w:rPr>
              <w:t>系统层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7"/>
              </w:rPr>
              <w:t>最低要求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数据接入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预测市场 L2/成交/市场状态；Binance/指数/预言机；时间同步与断线恢复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不可修改原始层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原始 WebSocket/REST 消息、接收时间、源时间、序列号，按对象存储分区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标准化数仓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市场主数据、订单簿快照/增量、成交、参考价格、规则与解析结果；ClickHouse/Parquet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研究与特征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Notebook/批任务、实验注册、特征版本、标签、样本切分与结果归档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事件驱动回测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历史回放、订单簿重建、网络延迟、队列、部分成交、费用、结算与故障注入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实时策略引擎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同一策略接口支持 backtest/paper/live；只读信号与交易执行解耦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OMS/EMS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订单状态机、幂等、重试、撤单、成交最终性、持仓和账户适配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风险引擎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下单前限额、市场/策略/账户敞口、每日止损、断流 kill switch、人工总开关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账本与调账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成交、费用、返佣、铸造/合并、赎回、存取款和 NAV；每日不可修改快照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控制与运维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KMS、配置版本、部署、指标、日志、告警、故障演练、审计记录</w:t>
            </w:r>
          </w:p>
        </w:tc>
      </w:tr>
    </w:tbl>
    <w:p>
      <w:pPr>
        <w:keepNext w:val="0"/>
        <w:spacing w:before="0" w:after="80" w:line="24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</w:r>
    </w:p>
    <w:p>
      <w:pPr>
        <w:pStyle w:val="Heading2"/>
        <w:keepNext/>
      </w:pPr>
      <w:r>
        <w:t>3.2 回测系统的专业门槛</w:t>
      </w:r>
    </w:p>
    <w:p>
      <w:pPr>
        <w:keepNext w:val="0"/>
        <w:spacing w:before="0" w:after="160" w:line="32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  <w:t>股票日频回测框架不能直接移植。事件合约的策略收益往往集中在秒级或结算边界，任何“按中间价立即成交”的假设都会严重失真。金融回测研究也表明，大量尝试后选择最好结果容易产生统计幻觉，应记录全部试验并评估回测过拟合概率。[S17]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E1"/>
          <w:left w:val="single" w:sz="6" w:space="0" w:color="D6DAE1"/>
          <w:bottom w:val="single" w:sz="6" w:space="0" w:color="D6DAE1"/>
          <w:right w:val="single" w:sz="6" w:space="0" w:color="D6DAE1"/>
          <w:insideH w:val="single" w:sz="6" w:space="0" w:color="D6DAE1"/>
          <w:insideV w:val="single" w:sz="6" w:space="0" w:color="D6DAE1"/>
        </w:tblBorders>
      </w:tblPr>
      <w:tblGrid>
        <w:gridCol w:w="1500"/>
        <w:gridCol w:w="3900"/>
        <w:gridCol w:w="3960"/>
      </w:tblGrid>
      <w:tr>
        <w:trPr>
          <w:tblHeader w:val="true"/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7"/>
              </w:rPr>
              <w:t>模块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7"/>
              </w:rPr>
              <w:t>必须模拟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7"/>
              </w:rPr>
              <w:t>常见错误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市场时间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源时间、接收时间、处理时间、下单/确认时间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使用单一时间戳；未来数据泄漏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订单簿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快照＋增量、序列缺口、跨价、最小 tick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只用 OHLC 或 BBO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成交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队列位置、部分成交、FOK/FAK、撤单在途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触价即全额成交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费用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taker fee、maker rebate、Gas/桥接、入金成本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使用静态统一费率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结算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规则版本、参考源、争议、延迟、0/0.5/1 等结果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只按标题或现货终值判断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样本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按事件/日期 purging、walk-forward、冻结样本外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随机 K-fold；参数反复看测试集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风险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并发市场、重复订单、源分叉、平台宕机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单笔独立、无故障的理想仿真</w:t>
            </w:r>
          </w:p>
        </w:tc>
      </w:tr>
    </w:tbl>
    <w:p>
      <w:pPr>
        <w:keepNext w:val="0"/>
        <w:spacing w:before="0" w:after="80" w:line="24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E8EEF5"/>
          <w:left w:val="single" w:sz="8" w:space="0" w:color="E8EEF5"/>
          <w:bottom w:val="single" w:sz="8" w:space="0" w:color="E8EEF5"/>
          <w:right w:val="single" w:sz="8" w:space="0" w:color="E8EEF5"/>
          <w:insideH w:val="single" w:sz="8" w:space="0" w:color="E8EEF5"/>
          <w:insideV w:val="single" w:sz="8" w:space="0" w:color="E8EEF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  <w:jc w:val="left"/>
            </w:pPr>
            <w:r>
              <w:rPr>
                <w:rFonts w:ascii="Maple Mono NF CN" w:hAnsi="Maple Mono NF CN" w:eastAsia="Maple Mono NF CN"/>
                <w:b/>
                <w:color w:val="1F4D78"/>
                <w:sz w:val="22"/>
              </w:rPr>
              <w:t xml:space="preserve">最低回测标准  </w:t>
            </w:r>
            <w:r>
              <w:rPr>
                <w:rFonts w:ascii="Maple Mono NF CN" w:hAnsi="Maple Mono NF CN" w:eastAsia="Maple Mono NF CN"/>
                <w:color w:val="203748"/>
                <w:sz w:val="22"/>
              </w:rPr>
              <w:t>同一份策略代码或同一策略 DSL 同时运行于历史回放、实时影子和小资金实盘；差异只能来自明确的环境适配层。</w:t>
            </w:r>
          </w:p>
        </w:tc>
      </w:tr>
    </w:tbl>
    <w:p>
      <w:pPr>
        <w:keepNext w:val="0"/>
        <w:spacing w:before="0" w:after="80" w:line="24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</w:r>
    </w:p>
    <w:p>
      <w:pPr>
        <w:pStyle w:val="Heading2"/>
        <w:keepNext/>
      </w:pPr>
      <w:r>
        <w:t>3.3 与量化公司常见系统的对齐清单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Security/Market Master：事件、结果、平台合约、结算规则和版本化映射。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Market Data Plant：多源接入、序列校验、时间同步、原始消息留存和质量监控。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Research Platform：数据集版本、特征库、实验注册、参数搜索和样本外冻结。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Exchange Simulator：订单簿、延迟、队列、费用、部分成交与故障模型。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OMS/EMS：订单生命周期、幂等、重试、撤单、成交最终性和账户适配。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Risk/PMS：预交易限额、持仓、相关敞口、日内风险、压力测试和 kill switch。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Ledger/Reconciliation：平台账单、链上交易、内部账本和 NAV 对账。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SRE/Security：KMS、密钥轮换、部署审批、日志指标、值班和灾备。</w:t>
      </w:r>
    </w:p>
    <w:p>
      <w:pPr>
        <w:keepNext w:val="0"/>
        <w:spacing w:before="0" w:after="160" w:line="32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  <w:t>与对象沟通时，应讨论这些系统的通用验收原则，而不是其雇主的具体实现、代码、参数、架构图或策略。</w:t>
      </w:r>
    </w:p>
    <w:p>
      <w:pPr>
        <w:pStyle w:val="Heading2"/>
        <w:keepNext/>
      </w:pPr>
      <w:r>
        <w:t>3.4 工程难度与人时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E1"/>
          <w:left w:val="single" w:sz="6" w:space="0" w:color="D6DAE1"/>
          <w:bottom w:val="single" w:sz="6" w:space="0" w:color="D6DAE1"/>
          <w:right w:val="single" w:sz="6" w:space="0" w:color="D6DAE1"/>
          <w:insideH w:val="single" w:sz="6" w:space="0" w:color="D6DAE1"/>
          <w:insideV w:val="single" w:sz="6" w:space="0" w:color="D6DAE1"/>
        </w:tblBorders>
      </w:tblPr>
      <w:tblGrid>
        <w:gridCol w:w="1900"/>
        <w:gridCol w:w="1200"/>
        <w:gridCol w:w="1300"/>
        <w:gridCol w:w="1500"/>
        <w:gridCol w:w="3460"/>
      </w:tblGrid>
      <w:tr>
        <w:trPr>
          <w:tblHeader w:val="true"/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6"/>
              </w:rPr>
              <w:t>工作包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6"/>
              </w:rPr>
              <w:t>难度(1–5)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6"/>
              </w:rPr>
              <w:t>MVP 人时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6"/>
              </w:rPr>
              <w:t>稳定化人时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6"/>
              </w:rPr>
              <w:t>主要失败模式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市场主数据与规则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50–90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80–160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映射错误造成错误结算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行情采集与数仓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80–140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100–220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增量缺口、重连重复、时钟漂移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订单簿回放/回测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120–220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200–400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虚假成交、泄漏、成本漏计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策略与研究工具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80–160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持续投入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实验不可复现、过拟合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执行/OMS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100–180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180–350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重复订单、状态机分叉、撤单失败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风险/账本/对账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80–150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160–300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PnL 漂移、敞口失真、无法审计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部署/监控/密钥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60–100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100–200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凭证泄露、无告警、恢复失败</w:t>
            </w:r>
          </w:p>
        </w:tc>
      </w:tr>
    </w:tbl>
    <w:p>
      <w:pPr>
        <w:keepNext w:val="0"/>
        <w:spacing w:before="0" w:after="80" w:line="24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</w:r>
    </w:p>
    <w:p>
      <w:pPr>
        <w:keepNext w:val="0"/>
        <w:spacing w:before="0" w:after="160" w:line="32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  <w:t>去重后，夫妻店 MVP 预计 500–900 人小时；稳定化和跨平台通常超过 1,000 人小时。若两人合计每周投入 20–30 小时，形成可信 MVP 约需 4–6 个月；达到可长期无人值守通常需 6–12 个月。</w:t>
      </w:r>
    </w:p>
    <w:p>
      <w:pPr>
        <w:pStyle w:val="Heading2"/>
        <w:keepNext/>
      </w:pPr>
      <w:r>
        <w:t>3.5 IT 设备与云成本</w:t>
      </w:r>
    </w:p>
    <w:p>
      <w:pPr>
        <w:keepNext w:val="0"/>
        <w:spacing w:before="0" w:after="160" w:line="32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  <w:t>成本按 2026 年公开价格和 Demo 量级推算。R2 标准存储约 $0.015/GB/月且公网出口免费；AWS 计算按需按秒计费，东京 c7i.large 的公开价格约 $0.11–0.12/小时量级。实际网络出口、磁盘 IOPS 和多区域流量可能高于计算实例本身。[S19][S20]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E1"/>
          <w:left w:val="single" w:sz="6" w:space="0" w:color="D6DAE1"/>
          <w:bottom w:val="single" w:sz="6" w:space="0" w:color="D6DAE1"/>
          <w:right w:val="single" w:sz="6" w:space="0" w:color="D6DAE1"/>
          <w:insideH w:val="single" w:sz="6" w:space="0" w:color="D6DAE1"/>
          <w:insideV w:val="single" w:sz="6" w:space="0" w:color="D6DAE1"/>
        </w:tblBorders>
      </w:tblPr>
      <w:tblGrid>
        <w:gridCol w:w="1500"/>
        <w:gridCol w:w="2650"/>
        <w:gridCol w:w="1700"/>
        <w:gridCol w:w="1400"/>
        <w:gridCol w:w="2110"/>
      </w:tblGrid>
      <w:tr>
        <w:trPr>
          <w:tblHeader w:val="true"/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6"/>
              </w:rPr>
              <w:t>阶段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6"/>
              </w:rPr>
              <w:t>建议配置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6"/>
              </w:rPr>
              <w:t>一次性投入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6"/>
              </w:rPr>
              <w:t>月度云成本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6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本地研究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16+ 核 CPU；64–128GB RAM；4–8TB NVMe；UPS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已有设备：0；补强约 ¥3k–20k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$10–60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ClickHouse、Parquet、回测与备份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单区域采集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东京或伦敦 2–4 vCPU；100–300GB SSD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$100–250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研究与低频影子交易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单区域小实盘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采集/交易分进程；监控与备用机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$200–500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不含法律、入金和人工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两区域专业化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东京＋伦敦/美国；集中数仓；对象存储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$500–1,500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接近小型专业系统，不必首期建设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Demo 量级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4 地域、多 Agent、TB 级磁盘、控制台/KMS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本地服务器另计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$800–2,500+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仅为推测；没有必要一开始复制规模</w:t>
            </w:r>
          </w:p>
        </w:tc>
      </w:tr>
    </w:tbl>
    <w:p>
      <w:pPr>
        <w:keepNext w:val="0"/>
        <w:spacing w:before="0" w:after="80" w:line="24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FF8E8"/>
          <w:left w:val="single" w:sz="8" w:space="0" w:color="FFF8E8"/>
          <w:bottom w:val="single" w:sz="8" w:space="0" w:color="FFF8E8"/>
          <w:right w:val="single" w:sz="8" w:space="0" w:color="FFF8E8"/>
          <w:insideH w:val="single" w:sz="8" w:space="0" w:color="FFF8E8"/>
          <w:insideV w:val="single" w:sz="8" w:space="0" w:color="FFF8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0" w:line="288" w:lineRule="auto"/>
              <w:jc w:val="left"/>
            </w:pPr>
            <w:r>
              <w:rPr>
                <w:rFonts w:ascii="Maple Mono NF CN" w:hAnsi="Maple Mono NF CN" w:eastAsia="Maple Mono NF CN"/>
                <w:b/>
                <w:color w:val="7A5A00"/>
                <w:sz w:val="22"/>
              </w:rPr>
              <w:t xml:space="preserve">预算原则  </w:t>
            </w:r>
            <w:r>
              <w:rPr>
                <w:rFonts w:ascii="Maple Mono NF CN" w:hAnsi="Maple Mono NF CN" w:eastAsia="Maple Mono NF CN"/>
                <w:color w:val="203748"/>
                <w:sz w:val="22"/>
              </w:rPr>
              <w:t>把 3,000 美元定义为“风险资本”，把设备、云、法律咨询和时间成本单独列账。若 3,000 美元是项目全部现金预算，则前 3–4 个月应只做数据与模拟，不应同时承担专业云成本和实盘风险。</w:t>
            </w:r>
          </w:p>
        </w:tc>
      </w:tr>
    </w:tbl>
    <w:p>
      <w:pPr>
        <w:keepNext w:val="0"/>
        <w:spacing w:before="0" w:after="80" w:line="24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</w:r>
    </w:p>
    <w:p>
      <w:pPr>
        <w:pStyle w:val="Heading1"/>
        <w:keepNext/>
      </w:pPr>
      <w:r>
        <w:t>4. 资金、人力与中短期项目规划</w:t>
      </w:r>
    </w:p>
    <w:p>
      <w:pPr>
        <w:pStyle w:val="Heading2"/>
        <w:keepNext/>
      </w:pPr>
      <w:r>
        <w:t>4.1 夫妻店角色设计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E1"/>
          <w:left w:val="single" w:sz="6" w:space="0" w:color="D6DAE1"/>
          <w:bottom w:val="single" w:sz="6" w:space="0" w:color="D6DAE1"/>
          <w:right w:val="single" w:sz="6" w:space="0" w:color="D6DAE1"/>
          <w:insideH w:val="single" w:sz="6" w:space="0" w:color="D6DAE1"/>
          <w:insideV w:val="single" w:sz="6" w:space="0" w:color="D6DAE1"/>
        </w:tblBorders>
      </w:tblPr>
      <w:tblGrid>
        <w:gridCol w:w="2000"/>
        <w:gridCol w:w="4500"/>
        <w:gridCol w:w="2860"/>
      </w:tblGrid>
      <w:tr>
        <w:trPr>
          <w:tblHeader w:val="true"/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7"/>
              </w:rPr>
              <w:t>角色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7"/>
              </w:rPr>
              <w:t>主要责任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7"/>
              </w:rPr>
              <w:t>不得越界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工程负责人（你）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数据接入、数仓、回测框架、OMS、风险、部署与审计；项目经理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不根据收益曲线随意改策略；不接触对象雇主资产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量化研究负责人（对象）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假设、统计检验、成本模型、组合与风险评审；研究规范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不带出雇主代码、数据、参数、未公开流程或客户信息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共同职责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合规门槛、上线审批、资金拨付、每日复核、停机决策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任何一方均可一票停止实盘</w:t>
            </w:r>
          </w:p>
        </w:tc>
      </w:tr>
    </w:tbl>
    <w:p>
      <w:pPr>
        <w:keepNext w:val="0"/>
        <w:spacing w:before="0" w:after="80" w:line="24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</w:r>
    </w:p>
    <w:p>
      <w:pPr>
        <w:pStyle w:val="Heading2"/>
        <w:keepNext/>
      </w:pPr>
      <w:r>
        <w:t>4.2 六个月阶段计划与闸门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E1"/>
          <w:left w:val="single" w:sz="6" w:space="0" w:color="D6DAE1"/>
          <w:bottom w:val="single" w:sz="6" w:space="0" w:color="D6DAE1"/>
          <w:right w:val="single" w:sz="6" w:space="0" w:color="D6DAE1"/>
          <w:insideH w:val="single" w:sz="6" w:space="0" w:color="D6DAE1"/>
          <w:insideV w:val="single" w:sz="6" w:space="0" w:color="D6DAE1"/>
        </w:tblBorders>
      </w:tblPr>
      <w:tblGrid>
        <w:gridCol w:w="1200"/>
        <w:gridCol w:w="1100"/>
        <w:gridCol w:w="2800"/>
        <w:gridCol w:w="3160"/>
        <w:gridCol w:w="1100"/>
      </w:tblGrid>
      <w:tr>
        <w:trPr>
          <w:tblHeader w:val="true"/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5"/>
              </w:rPr>
              <w:t>阶段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5"/>
              </w:rPr>
              <w:t>时间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5"/>
              </w:rPr>
              <w:t>交付物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5"/>
              </w:rPr>
              <w:t>通过条件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5"/>
              </w:rPr>
              <w:t>资金上限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−1 合规与清洁室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第 1–2 周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法律问题清单、雇主申报、平台资格、IP 边界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无账户代持、无 VPN 绕过、无雇主冲突；律师/合规意见允许继续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$0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0 数据底座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第 3–6 周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单平台＋单参考源；原始消息、主数据、质量仪表盘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覆盖率≥99.9%；可重复重建盘口；时钟误差可测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$0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1 回测与基线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第 7–12 周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事件驱动回测；2 个 P0 策略；实验注册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样本外扣费后为正；无明显泄漏；PnL 可逐笔解释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$0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2 影子交易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第 13–18 周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实时报价但不下单；模拟订单与平台盘口对比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连续 4–6 周；延迟/成交模型误差在阈值内；无 P0 故障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$0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3 接口金丝雀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第 19–20 周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最小金额真实订单、撤单、成交、结算、对账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账户/账本完全一致；故障时能自动停机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$100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4 小资金验证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第 21–26 周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单策略、单平台、受限实盘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≥300 已结算事件；最大回撤和执行偏差合格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$300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5 扩展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6 个月后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第二策略/平台；审计月报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≥90 天稳定；≥1,000 结算记录；无资金/合规事件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$1,000→$3,000</w:t>
            </w:r>
          </w:p>
        </w:tc>
      </w:tr>
    </w:tbl>
    <w:p>
      <w:pPr>
        <w:keepNext w:val="0"/>
        <w:spacing w:before="0" w:after="80" w:line="24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</w:r>
    </w:p>
    <w:p>
      <w:pPr>
        <w:pStyle w:val="Heading2"/>
        <w:keepNext/>
      </w:pPr>
      <w:r>
        <w:t>4.3 3,000 美元资金部署方案</w:t>
      </w:r>
    </w:p>
    <w:p>
      <w:pPr>
        <w:keepNext w:val="0"/>
        <w:spacing w:before="0" w:after="160" w:line="32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  <w:t>3,000 美元应当是最高可损失金额，而不是第一笔入金。未部署资本不应留在交易平台。下面是条件式阶梯，不是收益承诺。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E1"/>
          <w:left w:val="single" w:sz="6" w:space="0" w:color="D6DAE1"/>
          <w:bottom w:val="single" w:sz="6" w:space="0" w:color="D6DAE1"/>
          <w:right w:val="single" w:sz="6" w:space="0" w:color="D6DAE1"/>
          <w:insideH w:val="single" w:sz="6" w:space="0" w:color="D6DAE1"/>
          <w:insideV w:val="single" w:sz="6" w:space="0" w:color="D6DAE1"/>
        </w:tblBorders>
      </w:tblPr>
      <w:tblGrid>
        <w:gridCol w:w="900"/>
        <w:gridCol w:w="2600"/>
        <w:gridCol w:w="1300"/>
        <w:gridCol w:w="1500"/>
        <w:gridCol w:w="1100"/>
        <w:gridCol w:w="1960"/>
      </w:tblGrid>
      <w:tr>
        <w:trPr>
          <w:tblHeader w:val="true"/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6"/>
              </w:rPr>
              <w:t>层级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6"/>
              </w:rPr>
              <w:t>入场条件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6"/>
              </w:rPr>
              <w:t>账户资本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6"/>
              </w:rPr>
              <w:t>单市场风险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6"/>
              </w:rPr>
              <w:t>日止损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6"/>
              </w:rPr>
              <w:t>升级条件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L0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研究/模拟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$0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$0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$0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回测和影子门槛通过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L1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验证 API/账本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$100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$1–5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$10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20+ 完整生命周期无调账差异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L2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小资金金丝雀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$300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$5–15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$15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300+ 结算；至少 30 天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L3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初步实盘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$1,000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$10–30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$30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90 天；压力测试和对账通过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L4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研究资本上限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$3,000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$15–50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$60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6"/>
              </w:rPr>
              <w:t>需双方重新审批；不得自动升级</w:t>
            </w:r>
          </w:p>
        </w:tc>
      </w:tr>
    </w:tbl>
    <w:p>
      <w:pPr>
        <w:keepNext w:val="0"/>
        <w:spacing w:before="0" w:after="80" w:line="24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</w:r>
    </w:p>
    <w:p>
      <w:pPr>
        <w:keepNext w:val="0"/>
        <w:spacing w:before="0" w:after="160" w:line="32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  <w:t>对 0.99 附近的 Tail Sweep，不使用普通胜率作为仓位依据。应以“整笔本金可能损失”的压力场景计入单市场风险，并限制同时开放的结算窗口数量。</w:t>
      </w:r>
    </w:p>
    <w:p>
      <w:pPr>
        <w:pStyle w:val="Heading2"/>
        <w:keepNext/>
      </w:pPr>
      <w:r>
        <w:t>4.4 六个月现金预算（不含人工）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E1"/>
          <w:left w:val="single" w:sz="6" w:space="0" w:color="D6DAE1"/>
          <w:bottom w:val="single" w:sz="6" w:space="0" w:color="D6DAE1"/>
          <w:right w:val="single" w:sz="6" w:space="0" w:color="D6DAE1"/>
          <w:insideH w:val="single" w:sz="6" w:space="0" w:color="D6DAE1"/>
          <w:insideV w:val="single" w:sz="6" w:space="0" w:color="D6DAE1"/>
        </w:tblBorders>
      </w:tblPr>
      <w:tblGrid>
        <w:gridCol w:w="2100"/>
        <w:gridCol w:w="2200"/>
        <w:gridCol w:w="2500"/>
        <w:gridCol w:w="25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7"/>
              </w:rPr>
              <w:t>项目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7"/>
              </w:rPr>
              <w:t>精简方案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7"/>
              </w:rPr>
              <w:t>建议方案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风险资本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$300 起，最高 $3,000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$3,000 预留但分阶段部署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未部署部分不进入平台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本地设备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使用现有设备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NVMe/UPS 补强 ¥3k–10k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不追求 GPU；优先内存、NVMe、UPS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云与存储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$600–1,200 / 6个月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$1,200–3,000 / 6个月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单区域起步；按数据量扩容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域名/监控/备份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$100–300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$300–600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可优先采用开源组件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法律与税务咨询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不得省略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¥5k–20k+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应针对居住地、平台、资金和雇主关系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总现金需求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若只研究：约 $1k–2k＋咨询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含 $3k 风险资本：约 $5k–8k＋咨询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7"/>
              </w:rPr>
              <w:t>设备已有时的量级估算</w:t>
            </w:r>
          </w:p>
        </w:tc>
      </w:tr>
    </w:tbl>
    <w:p>
      <w:pPr>
        <w:keepNext w:val="0"/>
        <w:spacing w:before="0" w:after="80" w:line="24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</w:r>
    </w:p>
    <w:p>
      <w:pPr>
        <w:pStyle w:val="Heading2"/>
        <w:keepNext/>
      </w:pPr>
      <w:r>
        <w:t>4.5 开户、资金与实操风险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平台资格：平台允许注册不等于居住地法律允许交易；平台地理限制也会变化。Polymarket 明确禁止 VPN 绕过限制；Kalshi 对国际用户要求 KYC，并要求用户自行确认当地合法性。[S11][S13]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实名与账户：禁止借用、代持、共用或远程控制另一方账户。交易账户、银行卡/卡片、钱包和税务主体必须一致。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资金路径：链上 USDC、虚拟货币出入金、跨境汇款和银行卡入金分别涉及银行、平台、税务和外汇问题；逐项取得专业意见。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密钥安全：硬件钱包或隔离签名、API 权限最小化、交易与提币权限分离、密钥轮换、应急撤销。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平台风险：冻结、KYC 复核、费率变化、API 变更、限额、结算争议和平台故障都可能让策略与资金同时失效。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记录义务：保存开户条款版本、每次入出金、成交、费用、返佣、链上交易和每日 NAV，以便调账和税务咨询。</w:t>
      </w:r>
    </w:p>
    <w:p>
      <w:pPr>
        <w:pStyle w:val="Heading2"/>
        <w:keepNext/>
      </w:pPr>
      <w:r>
        <w:t>4.6 中国大陆与雇主合规的前置门槛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DECEC"/>
          <w:left w:val="single" w:sz="8" w:space="0" w:color="FDECEC"/>
          <w:bottom w:val="single" w:sz="8" w:space="0" w:color="FDECEC"/>
          <w:right w:val="single" w:sz="8" w:space="0" w:color="FDECEC"/>
          <w:insideH w:val="single" w:sz="8" w:space="0" w:color="FDECEC"/>
          <w:insideV w:val="single" w:sz="8" w:space="0" w:color="FDECE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 w:line="288" w:lineRule="auto"/>
              <w:jc w:val="left"/>
            </w:pPr>
            <w:r>
              <w:rPr>
                <w:rFonts w:ascii="Maple Mono NF CN" w:hAnsi="Maple Mono NF CN" w:eastAsia="Maple Mono NF CN"/>
                <w:b/>
                <w:color w:val="9B1C1C"/>
                <w:sz w:val="22"/>
              </w:rPr>
              <w:t xml:space="preserve">高风险提示  </w:t>
            </w:r>
            <w:r>
              <w:rPr>
                <w:rFonts w:ascii="Maple Mono NF CN" w:hAnsi="Maple Mono NF CN" w:eastAsia="Maple Mono NF CN"/>
                <w:color w:val="203748"/>
                <w:sz w:val="22"/>
              </w:rPr>
              <w:t>人民银行等十部门银发〔2021〕237号目前仍被监管法规库标注为现行有效；其内容涉及虚拟货币、虚拟货币衍生品、境外平台向境内居民提供服务及相关资金活动。最高法也曾明确：庄家式、输者本金归网站的网络“二元期权”可被认定为赌博网站。[S21][S22] 本项目的 CLOB 对手盘结构并不等同于该案例，但不能因此排除适用其他金融、博彩、外汇或网络规定。</w:t>
            </w:r>
          </w:p>
        </w:tc>
      </w:tr>
    </w:tbl>
    <w:p>
      <w:pPr>
        <w:keepNext w:val="0"/>
        <w:spacing w:before="0" w:after="80" w:line="24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</w:r>
    </w:p>
    <w:p>
      <w:pPr>
        <w:keepNext w:val="0"/>
        <w:spacing w:before="0" w:after="160" w:line="32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  <w:t>因此本白皮书不判断某个平台或某种资金路径在中国大陆是否合法。阶段 −1 的产物必须包括：由熟悉虚拟资产、跨境交易与网络博彩边界的律师出具的针对性意见；若无法获得明确意见，则项目永久限制在公开数据研究、模拟和软件工程。</w:t>
      </w:r>
    </w:p>
    <w:p>
      <w:pPr>
        <w:keepNext w:val="0"/>
        <w:spacing w:before="0" w:after="160" w:line="32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  <w:t>对象在量化公司任职还会触发个人账户交易、外部兼职、知识产权、竞业、保密和利益冲突规定。最稳妥做法是提交书面申报，只讨论公开的量化工程原则，并保留清洁室记录。禁止使用雇主电脑、代码、数据、交易账户、云资源或工作时间。</w:t>
      </w:r>
    </w:p>
    <w:p>
      <w:pPr>
        <w:pStyle w:val="Heading1"/>
        <w:keepNext/>
      </w:pPr>
      <w:r>
        <w:t>5. 风险评估、时间评估与最终建议</w:t>
      </w:r>
    </w:p>
    <w:p>
      <w:pPr>
        <w:pStyle w:val="Heading2"/>
        <w:keepNext/>
      </w:pPr>
      <w:r>
        <w:t>5.1 风险矩阵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E1"/>
          <w:left w:val="single" w:sz="6" w:space="0" w:color="D6DAE1"/>
          <w:bottom w:val="single" w:sz="6" w:space="0" w:color="D6DAE1"/>
          <w:right w:val="single" w:sz="6" w:space="0" w:color="D6DAE1"/>
          <w:insideH w:val="single" w:sz="6" w:space="0" w:color="D6DAE1"/>
          <w:insideV w:val="single" w:sz="6" w:space="0" w:color="D6DAE1"/>
        </w:tblBorders>
      </w:tblPr>
      <w:tblGrid>
        <w:gridCol w:w="1700"/>
        <w:gridCol w:w="900"/>
        <w:gridCol w:w="900"/>
        <w:gridCol w:w="3900"/>
        <w:gridCol w:w="1960"/>
      </w:tblGrid>
      <w:tr>
        <w:trPr>
          <w:tblHeader w:val="true"/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5"/>
              </w:rPr>
              <w:t>风险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5"/>
              </w:rPr>
              <w:t>概率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5"/>
              </w:rPr>
              <w:t>影响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5"/>
              </w:rPr>
              <w:t>主要控制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5"/>
              </w:rPr>
              <w:t>触发停机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法律/平台资格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中–高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极高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律师意见、雇主申报、实名账户、禁绕过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任何不确定性升级或平台警告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结算定义错误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中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极高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规则版本、双人复核、模糊市场禁交易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规则源不一致/无法解析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回测过拟合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高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高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冻结样本外、全实验登记、PBO/压力测试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收益集中或样本外反转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延迟/断流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高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高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多源心跳、时钟监控、fail closed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stale feed、时钟偏差超限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重复/错误下单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中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极高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幂等 ID、状态机、单市场限额、总开关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内部账本与平台不一致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平台/链上最终性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中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高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MATCHED≠CONFIRMED；重试与调账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RETRYING/FAILED 累积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尾部全损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中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高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按本金损失计风险、并发窗口限制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单日亏损/异常结算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资金冻结/出金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中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高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小余额、定期出金演练、资金分离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KYC 复核或提现失败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家庭协作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中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中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职责分离、双人审批、固定复盘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争议时默认不交易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时间与倦怠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高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中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限制范围、每周时长、明确 kill criteria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5"/>
              </w:rPr>
              <w:t>连续 4 周无法交付里程碑</w:t>
            </w:r>
          </w:p>
        </w:tc>
      </w:tr>
    </w:tbl>
    <w:p>
      <w:pPr>
        <w:keepNext w:val="0"/>
        <w:spacing w:before="0" w:after="80" w:line="24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</w:r>
    </w:p>
    <w:p>
      <w:pPr>
        <w:pStyle w:val="Heading2"/>
        <w:keepNext/>
      </w:pPr>
      <w:r>
        <w:t>5.2 时间评估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E1"/>
          <w:left w:val="single" w:sz="6" w:space="0" w:color="D6DAE1"/>
          <w:bottom w:val="single" w:sz="6" w:space="0" w:color="D6DAE1"/>
          <w:right w:val="single" w:sz="6" w:space="0" w:color="D6DAE1"/>
          <w:insideH w:val="single" w:sz="6" w:space="0" w:color="D6DAE1"/>
          <w:insideV w:val="single" w:sz="6" w:space="0" w:color="D6DAE1"/>
        </w:tblBorders>
      </w:tblPr>
      <w:tblGrid>
        <w:gridCol w:w="3200"/>
        <w:gridCol w:w="1800"/>
        <w:gridCol w:w="2200"/>
        <w:gridCol w:w="2160"/>
      </w:tblGrid>
      <w:tr>
        <w:trPr>
          <w:tblHeader w:val="true"/>
          <w:cantSplit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8"/>
              </w:rPr>
              <w:t>目标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8"/>
              </w:rPr>
              <w:t>乐观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8"/>
              </w:rPr>
              <w:t>基准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8"/>
              </w:rPr>
              <w:t>保守</w:t>
            </w:r>
          </w:p>
        </w:tc>
      </w:tr>
      <w:tr>
        <w:trPr>
          <w:cantSplit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可靠数据底座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4 周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6–8 周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12 周</w:t>
            </w:r>
          </w:p>
        </w:tc>
      </w:tr>
      <w:tr>
        <w:trPr>
          <w:cantSplit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可审计事件驱动回测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8 周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12–16 周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24 周</w:t>
            </w:r>
          </w:p>
        </w:tc>
      </w:tr>
      <w:tr>
        <w:trPr>
          <w:cantSplit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连续影子交易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第 3 月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第 4–5 月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第 6–8 月</w:t>
            </w:r>
          </w:p>
        </w:tc>
      </w:tr>
      <w:tr>
        <w:trPr>
          <w:cantSplit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首笔受控实盘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第 4 月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第 5–6 月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合规或模型不通过则不做</w:t>
            </w:r>
          </w:p>
        </w:tc>
      </w:tr>
      <w:tr>
        <w:trPr>
          <w:cantSplit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判断策略是否可继续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6 个月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9–12 个月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可能始终无法证明</w:t>
            </w:r>
          </w:p>
        </w:tc>
      </w:tr>
    </w:tbl>
    <w:p>
      <w:pPr>
        <w:keepNext w:val="0"/>
        <w:spacing w:before="0" w:after="80" w:line="24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</w:r>
    </w:p>
    <w:p>
      <w:pPr>
        <w:pStyle w:val="Heading2"/>
        <w:keepNext/>
      </w:pPr>
      <w:r>
        <w:t>5.3 Kill Criteria（停止标准）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color w:val="9B1C1C"/>
          <w:sz w:val="22"/>
        </w:rPr>
        <w:t>无法取得明确的平台资格或居住地法律意见；任何方案依赖 VPN、代持或虚假 KYC。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color w:val="9B1C1C"/>
          <w:sz w:val="22"/>
        </w:rPr>
        <w:t>对象所在公司不允许该类个人交易/外部项目，或无法建立清洁室边界。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color w:val="9B1C1C"/>
          <w:sz w:val="22"/>
        </w:rPr>
        <w:t>连续 8–12 周仍不能实现可重复订单簿重建和逐笔 PnL 调账。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color w:val="9B1C1C"/>
          <w:sz w:val="22"/>
        </w:rPr>
        <w:t>样本外收益扣除费用与最坏合理执行假设后为负，或超过 30% 利润来自单一事件/单日。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color w:val="9B1C1C"/>
          <w:sz w:val="22"/>
        </w:rPr>
        <w:t>影子交易与回测的成交/滑点偏差长期不可解释。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color w:val="9B1C1C"/>
          <w:sz w:val="22"/>
        </w:rPr>
        <w:t>发生密钥泄露、未授权订单、账本不一致、无法撤单或资金出入异常。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color w:val="9B1C1C"/>
          <w:sz w:val="22"/>
        </w:rPr>
        <w:t>任何一方认为家庭财务、工作或关系成本超过研究价值。</w:t>
      </w:r>
    </w:p>
    <w:p>
      <w:pPr>
        <w:pStyle w:val="Heading2"/>
        <w:keepNext/>
      </w:pPr>
      <w:r>
        <w:t>5.4 条件式 GO / NO-GO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E1"/>
          <w:left w:val="single" w:sz="6" w:space="0" w:color="D6DAE1"/>
          <w:bottom w:val="single" w:sz="6" w:space="0" w:color="D6DAE1"/>
          <w:right w:val="single" w:sz="6" w:space="0" w:color="D6DAE1"/>
          <w:insideH w:val="single" w:sz="6" w:space="0" w:color="D6DAE1"/>
          <w:insideV w:val="single" w:sz="6" w:space="0" w:color="D6DAE1"/>
        </w:tblBorders>
      </w:tblPr>
      <w:tblGrid>
        <w:gridCol w:w="2300"/>
        <w:gridCol w:w="1300"/>
        <w:gridCol w:w="5760"/>
      </w:tblGrid>
      <w:tr>
        <w:trPr>
          <w:tblHeader w:val="true"/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8"/>
              </w:rPr>
              <w:t>决策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8"/>
              </w:rPr>
              <w:t>结论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8"/>
              </w:rPr>
              <w:t>理由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是否值得研究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GO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赛道增长、数据开放、系统问题有技术含量，团队能力互补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是否适合清洁室复刻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GO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基于公开 API 和独立代码可形成可验证能力；禁止复制私有资产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是否立即开户实盘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NO-GO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法律、雇主、平台资格和资金路径尚未完成审查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是否首日投入 $3,000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NO-GO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缺少独立回测、影子交易、对账和风险控制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是否以 6 个月为首期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GO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足够验证工程和流程；不承诺产生可持续 Alpha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是否主攻极低延迟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暂缓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8"/>
              </w:rPr>
              <w:t>资本小、运维重；先建立可离线验证的结构/lead-lag 基线</w:t>
            </w:r>
          </w:p>
        </w:tc>
      </w:tr>
    </w:tbl>
    <w:p>
      <w:pPr>
        <w:keepNext w:val="0"/>
        <w:spacing w:before="0" w:after="80" w:line="24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E8EEF5"/>
          <w:left w:val="single" w:sz="8" w:space="0" w:color="E8EEF5"/>
          <w:bottom w:val="single" w:sz="8" w:space="0" w:color="E8EEF5"/>
          <w:right w:val="single" w:sz="8" w:space="0" w:color="E8EEF5"/>
          <w:insideH w:val="single" w:sz="8" w:space="0" w:color="E8EEF5"/>
          <w:insideV w:val="single" w:sz="8" w:space="0" w:color="E8EEF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  <w:jc w:val="left"/>
            </w:pPr>
            <w:r>
              <w:rPr>
                <w:rFonts w:ascii="Maple Mono NF CN" w:hAnsi="Maple Mono NF CN" w:eastAsia="Maple Mono NF CN"/>
                <w:b/>
                <w:color w:val="1F4D78"/>
                <w:sz w:val="22"/>
              </w:rPr>
              <w:t xml:space="preserve">最终建议  </w:t>
            </w:r>
            <w:r>
              <w:rPr>
                <w:rFonts w:ascii="Maple Mono NF CN" w:hAnsi="Maple Mono NF CN" w:eastAsia="Maple Mono NF CN"/>
                <w:color w:val="203748"/>
                <w:sz w:val="22"/>
              </w:rPr>
              <w:t>把项目立项为“六个月、公开数据、清洁室实现、先模拟后实盘”的家庭研究计划。第一阶段成功标准不是赚钱，而是：系统可复现、账目可审计、风险可停止、合规可解释。若这些成立，再讨论 3,000 美元全部部署。</w:t>
            </w:r>
          </w:p>
        </w:tc>
      </w:tr>
    </w:tbl>
    <w:p>
      <w:pPr>
        <w:keepNext w:val="0"/>
        <w:spacing w:before="0" w:after="80" w:line="24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</w:r>
    </w:p>
    <w:p>
      <w:pPr>
        <w:pStyle w:val="Heading1"/>
        <w:keepNext/>
      </w:pPr>
      <w:r>
        <w:t>附录 A：与对象的首次对齐会议议程</w:t>
      </w:r>
    </w:p>
    <w:p>
      <w:pPr>
        <w:numPr>
          <w:ilvl w:val="0"/>
          <w:numId w:val="11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确认项目性质：家庭自营研究，不是公司、不募资、不代客、不使用朋友或雇主的非公开资产。</w:t>
      </w:r>
    </w:p>
    <w:p>
      <w:pPr>
        <w:numPr>
          <w:ilvl w:val="0"/>
          <w:numId w:val="11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逐条阅读对象的劳动合同、个人交易政策、外部兼职/IP/竞业与申报要求。</w:t>
      </w:r>
    </w:p>
    <w:p>
      <w:pPr>
        <w:numPr>
          <w:ilvl w:val="0"/>
          <w:numId w:val="11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讨论量化公司中回测、OMS、风险、调账和上线审批的“验收原则”，不讨论雇主具体实现。</w:t>
      </w:r>
    </w:p>
    <w:p>
      <w:pPr>
        <w:numPr>
          <w:ilvl w:val="0"/>
          <w:numId w:val="11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选择唯一首期平台、唯一参考价格源、唯一市场类别；拒绝同时做多平台、多品类。</w:t>
      </w:r>
    </w:p>
    <w:p>
      <w:pPr>
        <w:numPr>
          <w:ilvl w:val="0"/>
          <w:numId w:val="11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决定 P0 Alpha：现货 lead-lag 与逻辑约束各一个；Tail Sweep 仅复盘。</w:t>
      </w:r>
    </w:p>
    <w:p>
      <w:pPr>
        <w:numPr>
          <w:ilvl w:val="0"/>
          <w:numId w:val="11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确定每周总投入时间、家庭预算、谁拥有一票停机权，以及何时复盘。</w:t>
      </w:r>
    </w:p>
    <w:p>
      <w:pPr>
        <w:numPr>
          <w:ilvl w:val="0"/>
          <w:numId w:val="11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列出必须向律师确认的事实：居住地、国籍/税务、平台、结算资产、入出金方式、自动化程度。</w:t>
      </w:r>
    </w:p>
    <w:p>
      <w:pPr>
        <w:pStyle w:val="Heading1"/>
        <w:keepNext/>
      </w:pPr>
      <w:r>
        <w:t>附录 B：上线前检查清单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□ 法律意见与平台资格已存档；不依赖绕过地理限制。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□ 雇主书面申报/确认完成；清洁室记录建立。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□ 原始数据可回放，增量缺口、时钟和覆盖率有告警。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□ 市场规则版本化，模糊/争议市场默认不交易。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□ 回测包含费用、延迟、队列、部分成交、撤单和结算。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□ 所有实验留痕，测试集冻结，策略通过样本外和压力测试。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□ OMS 幂等；MATCHED/MINED/CONFIRMED/FAILED 状态完整。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□ 单市场、策略、平台、账户和日内限额可由风险层强制执行。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□ 内部账本能与平台和链上逐笔调账；每日 NAV 锁定。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□ 密钥最小权限、备份、轮换和紧急撤销演练完成。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□ 影子交易连续 4–6 周；回测与实时偏差在阈值内。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□ 双方共同签字批准本次资本层级；未部署资本不在平台。</w:t>
      </w:r>
    </w:p>
    <w:p>
      <w:pPr>
        <w:pStyle w:val="Heading1"/>
        <w:keepNext/>
      </w:pPr>
      <w:r>
        <w:t>附录 C：资料来源</w:t>
      </w:r>
    </w:p>
    <w:p>
      <w:pPr>
        <w:keepNext w:val="0"/>
        <w:spacing w:before="0" w:after="160" w:line="320" w:lineRule="auto"/>
        <w:jc w:val="both"/>
      </w:pPr>
      <w:r>
        <w:rPr>
          <w:rFonts w:ascii="Maple Mono NF CN" w:hAnsi="Maple Mono NF CN" w:eastAsia="Maple Mono NF CN"/>
          <w:b w:val="0"/>
          <w:i/>
          <w:color w:val="565E67"/>
          <w:sz w:val="19"/>
        </w:rPr>
        <w:t>资料访问日期：2026 年 8 月 17 日。平台规则、费率、地理限制和监管状态可能变化，实盘前必须重新核对。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E1"/>
          <w:left w:val="single" w:sz="6" w:space="0" w:color="D6DAE1"/>
          <w:bottom w:val="single" w:sz="6" w:space="0" w:color="D6DAE1"/>
          <w:right w:val="single" w:sz="6" w:space="0" w:color="D6DAE1"/>
          <w:insideH w:val="single" w:sz="6" w:space="0" w:color="D6DAE1"/>
          <w:insideV w:val="single" w:sz="6" w:space="0" w:color="D6DAE1"/>
        </w:tblBorders>
      </w:tblPr>
      <w:tblGrid>
        <w:gridCol w:w="900"/>
        <w:gridCol w:w="3850"/>
        <w:gridCol w:w="4610"/>
      </w:tblGrid>
      <w:tr>
        <w:trPr>
          <w:tblHeader w:val="true"/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4"/>
              </w:rPr>
              <w:t>编号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4"/>
              </w:rPr>
              <w:t>来源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b/>
                <w:color w:val="203748"/>
                <w:sz w:val="14"/>
              </w:rPr>
              <w:t>URL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S01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SignalX Console（需授权访问）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https://app.signalx.net/warehouse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S02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SignalX Research — Project Brief / Architecture &amp; Strategies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https://projectbrief.signalx.net/brief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S03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CFTC — Understanding Prediction Markets and Event Contracts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https://www.cftc.gov/LearnandProtect/PredictionMarkets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S04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CFTC Staff Advisory 26-08 — Prediction Markets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https://www.cftc.gov/csl/26-08/download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S05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CFTC 2026 Prediction Markets Rulemaking / Federal Register materials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https://www.cftc.gov/media/14151/NPRM_PredictionMarkets060926/download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S06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Polymarket Docs — Market Data Overview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https://docs.polymarket.com/market-data/overview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S07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Polymarket Docs — WebSocket User Channel / Order and Trade Lifecycle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https://docs.polymarket.com/market-data/websocket/user-channel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S08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Polymarket Docs — Fees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https://docs.polymarket.com/trading/fees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S09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Polymarket Docs — Maker Rebates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https://docs.polymarket.com/market-makers/maker-rebates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S10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Polymarket Docs — Resolution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https://docs.polymarket.com/concepts/resolution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S11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Polymarket Help — Geographic Restrictions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https://help.polymarket.com/en/articles/13364163-geographic-restrictions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S12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Kalshi API — WebSocket Quick Start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https://docs.kalshi.com/getting_started/quick_start_websockets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S13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Kalshi Help — International Access and Individual Signup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https://help.kalshi.com/en/articles/14026044-can-i-trade-on-kalshi-from-outside-the-united-states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S14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Favorite–Longshot Bias research overview / primary literature entry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https://pubs.aeaweb.org/doi/abs/10.1257/mic.2.1.58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S15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The Anatomy of a Decentralized Prediction Market: Microstructure Evidence from the Polymarket Order Book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https://arxiv.org/abs/2604.24366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S16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Fill-Side Non-Retail Trading on Polymarket: Behavioral Tiers and Quote-Attribution Constraints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https://arxiv.org/abs/2605.11640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S17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Bailey &amp; López de Prado — How Backtest Overfitting Leads to False Discoveries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https://escholarship.org/uc/item/9tq3327h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S18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Queuing Uncertainty of Limit Orders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https://pubsonline.informs.org/doi/10.1287/mnsc.2023.03371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S19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Cloudflare R2 Pricing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https://developers.cloudflare.com/r2/pricing/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S20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AWS EC2 Pricing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https://aws.amazon.com/ec2/pricing/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S21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中国人民银行等十部门：银发〔2021〕237号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https://www.pbc.gov.cn/tiaofasi/144941/3581332/4348658/index.html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S22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最高人民法院：网络“二元期权”赌博性质相关典型案例说明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https://www.court.gov.cn/fabu/xiangqing/283901.html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S23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CFTC Prediction Markets Customer Fact Sheet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https://www.cftc.gov/sites/default/files/2026/04/PredictionMarketFactSheet.pdf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S24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The Block — July 2026 Kalshi/Polymarket combined volume estimate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ple Mono NF CN" w:hAnsi="Maple Mono NF CN" w:eastAsia="Maple Mono NF CN"/>
                <w:color w:val="23272C"/>
                <w:sz w:val="14"/>
              </w:rPr>
              <w:t>https://www.theblock.co/amp/post/410382/kalshi-polymarket-volume-july</w:t>
            </w:r>
          </w:p>
        </w:tc>
      </w:tr>
    </w:tbl>
    <w:p>
      <w:pPr>
        <w:keepNext w:val="0"/>
        <w:spacing w:before="0" w:after="80" w:line="240" w:lineRule="auto"/>
        <w:jc w:val="both"/>
      </w:pPr>
      <w:r>
        <w:rPr>
          <w:rFonts w:ascii="Maple Mono NF CN" w:hAnsi="Maple Mono NF CN" w:eastAsia="Maple Mono NF CN"/>
          <w:b w:val="0"/>
          <w:i w:val="0"/>
          <w:sz w:val="22"/>
        </w:rPr>
      </w:r>
    </w:p>
    <w:p>
      <w:pPr>
        <w:pStyle w:val="Heading1"/>
        <w:keepNext/>
      </w:pPr>
      <w:r>
        <w:t>附录 D：关键假设与版本说明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项目为两名自然人的家庭内部研究，不向第三方募集资金、代客交易、销售信号或提供平台服务。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所有实现基于公开资料、公开 API 和自主开发；不复制 SignalX 或任何雇主的代码、配置和私有数据。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IT 成本为量级估算，不包含人工机会成本、税务、法律服务的最终报价和不可预见的平台费用。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3,000 美元为最高风险资本设想，不代表建议投资金额，也不代表项目具备正收益。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aple Mono NF CN" w:hAnsi="Maple Mono NF CN" w:eastAsia="Maple Mono NF CN"/>
          <w:sz w:val="22"/>
        </w:rPr>
        <w:t>v0.1 重点是认知对齐；下一版本应在对象与法律专业人士反馈后更新平台范围、账户路径、P0 Alpha 与验收阈值。</w:t>
      </w:r>
    </w:p>
    <w:p>
      <w:pPr>
        <w:keepNext w:val="0"/>
        <w:spacing w:before="480" w:after="0" w:line="240" w:lineRule="auto"/>
        <w:jc w:val="center"/>
      </w:pPr>
      <w:r>
        <w:rPr>
          <w:rFonts w:ascii="Maple Mono NF CN" w:hAnsi="Maple Mono NF CN" w:eastAsia="Maple Mono NF CN"/>
          <w:b w:val="0"/>
          <w:i/>
          <w:color w:val="565E67"/>
          <w:sz w:val="19"/>
        </w:rPr>
        <w:t>— 文档结束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ple Mono NF CN" w:hAnsi="Maple Mono NF CN" w:eastAsia="Maple Mono NF CN"/>
        <w:color w:val="565E67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Maple Mono NF CN" w:hAnsi="Maple Mono NF CN" w:eastAsia="Maple Mono NF CN"/>
        <w:color w:val="565E67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aple Mono NF CN" w:hAnsi="Maple Mono NF CN" w:eastAsia="Maple Mono NF CN"/>
        <w:color w:val="565E67"/>
        <w:sz w:val="18"/>
      </w:rPr>
      <w:t>事件合约系统化交易｜自营研究白皮书（讨论稿）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suff w:val="tab"/>
      <w:lvlText w:val="•"/>
      <w:lvlJc w:val="left"/>
      <w:pPr>
        <w:tabs>
          <w:tab w:val="num" w:pos="540"/>
        </w:tabs>
        <w:ind w:left="540" w:hanging="279"/>
      </w:pPr>
      <w:rPr>
        <w:rFonts w:ascii="Maple Mono NF CN" w:hAnsi="Maple Mono NF CN" w:eastAsia="Maple Mono NF CN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suff w:val="tab"/>
      <w:lvlText w:val="%1."/>
      <w:lvlJc w:val="left"/>
      <w:pPr>
        <w:tabs>
          <w:tab w:val="num" w:pos="540"/>
        </w:tabs>
        <w:ind w:left="540" w:hanging="279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</w:pPr>
    <w:rPr>
      <w:rFonts w:ascii="Maple Mono NF CN" w:hAnsi="Maple Mono NF CN" w:eastAsia="Maple Mono NF C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ple Mono NF CN" w:hAnsi="Maple Mono NF CN" w:eastAsia="Maple Mono NF C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ple Mono NF CN" w:hAnsi="Maple Mono NF CN" w:eastAsia="Maple Mono NF C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ple Mono NF CN" w:hAnsi="Maple Mono NF CN" w:eastAsia="Maple Mono NF C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事件合约系统化交易白皮书（讨论稿）</dc:title>
  <dc:subject>预测市场与事件合约自营量化研究项目</dc:subject>
  <dc:creator>家庭自营研究团队</dc:creator>
  <cp:keywords>预测市场, 事件合约, 量化交易, 回测, 低延迟, 风险管理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