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2C9C" w14:textId="7DF2205D" w:rsidR="00DC45C7" w:rsidRDefault="00F93F11">
      <w:r>
        <w:t>Connor Taylor</w:t>
      </w:r>
    </w:p>
    <w:p w14:paraId="4CD089EB" w14:textId="02D2994D" w:rsidR="00F93F11" w:rsidRDefault="00F93F11" w:rsidP="00F93F11">
      <w:pPr>
        <w:jc w:val="center"/>
      </w:pPr>
      <w:r>
        <w:t>Project 2 Report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997"/>
        <w:gridCol w:w="1302"/>
        <w:gridCol w:w="1231"/>
        <w:gridCol w:w="1077"/>
      </w:tblGrid>
      <w:tr w:rsidR="00F93F11" w:rsidRPr="00F93F11" w14:paraId="14516102" w14:textId="77777777" w:rsidTr="00F93F11">
        <w:trPr>
          <w:trHeight w:val="290"/>
        </w:trPr>
        <w:tc>
          <w:tcPr>
            <w:tcW w:w="4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02251" w14:textId="77777777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Circle</w:t>
            </w:r>
          </w:p>
        </w:tc>
      </w:tr>
      <w:tr w:rsidR="00F93F11" w:rsidRPr="00F93F11" w14:paraId="11BDCA4B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4C91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0B0D" w14:textId="77777777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Running Time</w:t>
            </w:r>
          </w:p>
        </w:tc>
      </w:tr>
      <w:tr w:rsidR="00F93F11" w:rsidRPr="00F93F11" w14:paraId="48A4B7E8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472F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n*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A8CC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Graham Scan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61F7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Jarvis March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21FD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3F11">
              <w:rPr>
                <w:rFonts w:ascii="Calibri" w:eastAsia="Times New Roman" w:hAnsi="Calibri" w:cs="Calibri"/>
                <w:color w:val="000000"/>
              </w:rPr>
              <w:t>QuickHull</w:t>
            </w:r>
            <w:proofErr w:type="spellEnd"/>
          </w:p>
        </w:tc>
      </w:tr>
      <w:tr w:rsidR="00F93F11" w:rsidRPr="00F93F11" w14:paraId="6D12F9AF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026AE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D487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077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85C7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</w:tr>
      <w:tr w:rsidR="00F93F11" w:rsidRPr="00F93F11" w14:paraId="76913FDB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98FA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5F9A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53E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F27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</w:tr>
      <w:tr w:rsidR="00F93F11" w:rsidRPr="00F93F11" w14:paraId="7710A867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B95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C6A0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AC4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37C8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</w:tr>
      <w:tr w:rsidR="00F93F11" w:rsidRPr="00F93F11" w14:paraId="5FB66918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72D3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E8C9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429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269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0.067</w:t>
            </w:r>
          </w:p>
        </w:tc>
      </w:tr>
      <w:tr w:rsidR="00F93F11" w:rsidRPr="00F93F11" w14:paraId="1A9FC078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948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FC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93AD" w14:textId="47DE79E2" w:rsidR="00F93F11" w:rsidRPr="00F93F11" w:rsidRDefault="00725138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F93F11" w:rsidRPr="00F93F11">
              <w:rPr>
                <w:rFonts w:ascii="Calibri" w:eastAsia="Times New Roman" w:hAnsi="Calibri" w:cs="Calibri"/>
                <w:color w:val="000000"/>
              </w:rPr>
              <w:t>.185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210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0.225</w:t>
            </w:r>
          </w:p>
        </w:tc>
      </w:tr>
      <w:tr w:rsidR="00F93F11" w:rsidRPr="00F93F11" w14:paraId="19747BB4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749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8DA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1.289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A7EB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1.809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A5F4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2.401</w:t>
            </w:r>
          </w:p>
        </w:tc>
      </w:tr>
    </w:tbl>
    <w:p w14:paraId="78894BC5" w14:textId="24BA57D2" w:rsidR="00F93F11" w:rsidRDefault="00F93F11" w:rsidP="00F93F11"/>
    <w:p w14:paraId="1BC7EC4E" w14:textId="52D0074F" w:rsidR="00F93F11" w:rsidRDefault="00F93F11" w:rsidP="00F93F11">
      <w:r>
        <w:rPr>
          <w:noProof/>
        </w:rPr>
        <w:drawing>
          <wp:inline distT="0" distB="0" distL="0" distR="0" wp14:anchorId="735761F5" wp14:editId="1D93BAEE">
            <wp:extent cx="6235700" cy="22796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A06C07-61FF-49AC-A361-15E80C3E6A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997"/>
        <w:gridCol w:w="1302"/>
        <w:gridCol w:w="1231"/>
        <w:gridCol w:w="1077"/>
      </w:tblGrid>
      <w:tr w:rsidR="00F93F11" w:rsidRPr="00F93F11" w14:paraId="69F2256B" w14:textId="77777777" w:rsidTr="00F93F11">
        <w:trPr>
          <w:trHeight w:val="290"/>
        </w:trPr>
        <w:tc>
          <w:tcPr>
            <w:tcW w:w="4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99B28" w14:textId="77777777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On Circle</w:t>
            </w:r>
          </w:p>
        </w:tc>
      </w:tr>
      <w:tr w:rsidR="00F93F11" w:rsidRPr="00F93F11" w14:paraId="2837132F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7C8D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D84E" w14:textId="77777777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Running Time</w:t>
            </w:r>
          </w:p>
        </w:tc>
      </w:tr>
      <w:tr w:rsidR="00F93F11" w:rsidRPr="00F93F11" w14:paraId="18255894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CCA9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n*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6063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Graham Scan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8C81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Jarvis March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2934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3F11">
              <w:rPr>
                <w:rFonts w:ascii="Calibri" w:eastAsia="Times New Roman" w:hAnsi="Calibri" w:cs="Calibri"/>
                <w:color w:val="000000"/>
              </w:rPr>
              <w:t>QuickHull</w:t>
            </w:r>
            <w:proofErr w:type="spellEnd"/>
          </w:p>
        </w:tc>
      </w:tr>
      <w:tr w:rsidR="00F93F11" w:rsidRPr="00F93F11" w14:paraId="4996C264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F171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676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7F4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FB2E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</w:tr>
      <w:tr w:rsidR="00F93F11" w:rsidRPr="00F93F11" w14:paraId="3148E26E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5663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E88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9290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654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F93F11" w:rsidRPr="00F93F11" w14:paraId="723A2D00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720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1943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168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F8C3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</w:tr>
      <w:tr w:rsidR="00F93F11" w:rsidRPr="00F93F11" w14:paraId="4C7FAA64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42E0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582E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29728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0.082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A716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0.092</w:t>
            </w:r>
          </w:p>
        </w:tc>
      </w:tr>
      <w:tr w:rsidR="00F93F11" w:rsidRPr="00F93F11" w14:paraId="76829236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AF6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9EAB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0.204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CBF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0.359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3492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0.396</w:t>
            </w:r>
          </w:p>
        </w:tc>
      </w:tr>
      <w:tr w:rsidR="00F93F11" w:rsidRPr="00F93F11" w14:paraId="56AE6C52" w14:textId="77777777" w:rsidTr="00F93F11">
        <w:trPr>
          <w:trHeight w:val="290"/>
        </w:trPr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254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8116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5.896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0B9A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3.083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C7EB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3.642</w:t>
            </w:r>
          </w:p>
        </w:tc>
      </w:tr>
    </w:tbl>
    <w:p w14:paraId="11B54BF3" w14:textId="7C7E597B" w:rsidR="00F93F11" w:rsidRDefault="00F93F11" w:rsidP="00F93F11"/>
    <w:p w14:paraId="163BBFC5" w14:textId="3F32C79A" w:rsidR="00F93F11" w:rsidRDefault="00F93F11" w:rsidP="00F93F11">
      <w:r>
        <w:rPr>
          <w:noProof/>
        </w:rPr>
        <w:lastRenderedPageBreak/>
        <w:drawing>
          <wp:inline distT="0" distB="0" distL="0" distR="0" wp14:anchorId="4A6C2542" wp14:editId="6557E45B">
            <wp:extent cx="6292850" cy="1936750"/>
            <wp:effectExtent l="0" t="0" r="1270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EC78708-0860-457A-B752-4422CD900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997"/>
        <w:gridCol w:w="1332"/>
        <w:gridCol w:w="1259"/>
        <w:gridCol w:w="1077"/>
      </w:tblGrid>
      <w:tr w:rsidR="00F93F11" w:rsidRPr="00F93F11" w14:paraId="7F2EB117" w14:textId="77777777" w:rsidTr="00F93F11">
        <w:trPr>
          <w:trHeight w:val="290"/>
        </w:trPr>
        <w:tc>
          <w:tcPr>
            <w:tcW w:w="4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BD387" w14:textId="77777777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Rectangle</w:t>
            </w:r>
          </w:p>
        </w:tc>
      </w:tr>
      <w:tr w:rsidR="00F93F11" w:rsidRPr="00F93F11" w14:paraId="6D3E198E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B166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5B37" w14:textId="77777777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Running Time</w:t>
            </w:r>
          </w:p>
        </w:tc>
      </w:tr>
      <w:tr w:rsidR="00F93F11" w:rsidRPr="00F93F11" w14:paraId="512EA37A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4EDB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n*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DB2F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Graham Scan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79B0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Jarvis March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16BA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3F11">
              <w:rPr>
                <w:rFonts w:ascii="Calibri" w:eastAsia="Times New Roman" w:hAnsi="Calibri" w:cs="Calibri"/>
                <w:color w:val="000000"/>
              </w:rPr>
              <w:t>QuickHull</w:t>
            </w:r>
            <w:proofErr w:type="spellEnd"/>
          </w:p>
        </w:tc>
      </w:tr>
      <w:tr w:rsidR="00F93F11" w:rsidRPr="00F93F11" w14:paraId="6C695819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6B39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0C66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82B8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8244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</w:tr>
      <w:tr w:rsidR="00F93F11" w:rsidRPr="00F93F11" w14:paraId="3E34C437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986B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F28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CF1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2E88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</w:tr>
      <w:tr w:rsidR="00F93F11" w:rsidRPr="00F93F11" w14:paraId="55487DB5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3D49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E20E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DFF7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FF5D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</w:tr>
      <w:tr w:rsidR="00F93F11" w:rsidRPr="00F93F11" w14:paraId="71019BCC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6A4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4592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0.068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C8F6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2D7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</w:tr>
      <w:tr w:rsidR="00F93F11" w:rsidRPr="00F93F11" w14:paraId="627B4E11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C716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7912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0.173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9ED4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0.162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E515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0.144</w:t>
            </w:r>
          </w:p>
        </w:tc>
      </w:tr>
      <w:tr w:rsidR="00F93F11" w:rsidRPr="00F93F11" w14:paraId="19DC4DCC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C143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E12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1.279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145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1.238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F5D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0.973</w:t>
            </w:r>
          </w:p>
        </w:tc>
      </w:tr>
    </w:tbl>
    <w:p w14:paraId="1A202B3A" w14:textId="33A14029" w:rsidR="00F93F11" w:rsidRDefault="00F93F11" w:rsidP="00F93F11"/>
    <w:p w14:paraId="4C272F73" w14:textId="703ABC3C" w:rsidR="00F93F11" w:rsidRDefault="00F93F11" w:rsidP="00F93F11">
      <w:r>
        <w:rPr>
          <w:noProof/>
        </w:rPr>
        <w:drawing>
          <wp:inline distT="0" distB="0" distL="0" distR="0" wp14:anchorId="5F068A83" wp14:editId="0CDBF9C1">
            <wp:extent cx="6134100" cy="2082800"/>
            <wp:effectExtent l="0" t="0" r="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0BE743C-B3B9-4441-AF70-89DF8FAF1F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544EB9" w14:textId="4F1E1917" w:rsidR="00F93F11" w:rsidRDefault="00F93F11" w:rsidP="00F93F11"/>
    <w:p w14:paraId="50B570A1" w14:textId="5BAEB232" w:rsidR="00F93F11" w:rsidRDefault="00F93F11" w:rsidP="00F93F11"/>
    <w:p w14:paraId="57F6FC9B" w14:textId="3945BB59" w:rsidR="00F93F11" w:rsidRDefault="00F93F11" w:rsidP="00F93F11"/>
    <w:p w14:paraId="43311488" w14:textId="4CED7F05" w:rsidR="00F93F11" w:rsidRDefault="00F93F11" w:rsidP="00F93F11"/>
    <w:p w14:paraId="4E2EC5F2" w14:textId="736CBAAA" w:rsidR="00F93F11" w:rsidRDefault="00F93F11" w:rsidP="00F93F11"/>
    <w:p w14:paraId="214F1D7B" w14:textId="77777777" w:rsidR="00F93F11" w:rsidRDefault="00F93F11" w:rsidP="00F93F11"/>
    <w:tbl>
      <w:tblPr>
        <w:tblW w:w="4460" w:type="dxa"/>
        <w:tblLook w:val="04A0" w:firstRow="1" w:lastRow="0" w:firstColumn="1" w:lastColumn="0" w:noHBand="0" w:noVBand="1"/>
      </w:tblPr>
      <w:tblGrid>
        <w:gridCol w:w="997"/>
        <w:gridCol w:w="1332"/>
        <w:gridCol w:w="1259"/>
        <w:gridCol w:w="1077"/>
      </w:tblGrid>
      <w:tr w:rsidR="00F93F11" w:rsidRPr="00F93F11" w14:paraId="272D7BF8" w14:textId="77777777" w:rsidTr="00F93F11">
        <w:trPr>
          <w:trHeight w:val="290"/>
        </w:trPr>
        <w:tc>
          <w:tcPr>
            <w:tcW w:w="4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C5C4A" w14:textId="1FBA0C5D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lastRenderedPageBreak/>
              <w:t>Triangle</w:t>
            </w:r>
          </w:p>
        </w:tc>
      </w:tr>
      <w:tr w:rsidR="00F93F11" w:rsidRPr="00F93F11" w14:paraId="024A37C5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A0F4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6B8A" w14:textId="77777777" w:rsidR="00F93F11" w:rsidRPr="00F93F11" w:rsidRDefault="00F93F11" w:rsidP="00F9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Running Time</w:t>
            </w:r>
          </w:p>
        </w:tc>
      </w:tr>
      <w:tr w:rsidR="00F93F11" w:rsidRPr="00F93F11" w14:paraId="5D65CE40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419A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n*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AFC2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Graham Scan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8BE7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Jarvis March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025E" w14:textId="77777777" w:rsidR="00F93F11" w:rsidRPr="00F93F11" w:rsidRDefault="00F93F11" w:rsidP="00F9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3F11">
              <w:rPr>
                <w:rFonts w:ascii="Calibri" w:eastAsia="Times New Roman" w:hAnsi="Calibri" w:cs="Calibri"/>
                <w:color w:val="000000"/>
              </w:rPr>
              <w:t>QuickHull</w:t>
            </w:r>
            <w:proofErr w:type="spellEnd"/>
          </w:p>
        </w:tc>
      </w:tr>
      <w:tr w:rsidR="00F93F11" w:rsidRPr="00F93F11" w14:paraId="2C405630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6211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E077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4192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601F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0.041</w:t>
            </w:r>
          </w:p>
        </w:tc>
      </w:tr>
      <w:tr w:rsidR="00F93F11" w:rsidRPr="00F93F11" w14:paraId="30EDFE36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2982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314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1EFB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4C03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</w:tr>
      <w:tr w:rsidR="00F93F11" w:rsidRPr="00F93F11" w14:paraId="78827223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1F7B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7E90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1BB9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7801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</w:tr>
      <w:tr w:rsidR="00F93F11" w:rsidRPr="00F93F11" w14:paraId="590CE914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9643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5166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0.065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6D5B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F17C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</w:tr>
      <w:tr w:rsidR="00F93F11" w:rsidRPr="00F93F11" w14:paraId="326240A4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8599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168D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0.167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DC24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1E67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0.173</w:t>
            </w:r>
          </w:p>
        </w:tc>
      </w:tr>
      <w:tr w:rsidR="00F93F11" w:rsidRPr="00F93F11" w14:paraId="08C5394B" w14:textId="77777777" w:rsidTr="00F93F11">
        <w:trPr>
          <w:trHeight w:val="290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6AAA4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5854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1.448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26702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0.953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7F0E" w14:textId="77777777" w:rsidR="00F93F11" w:rsidRPr="00F93F11" w:rsidRDefault="00F93F11" w:rsidP="00F9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3F11">
              <w:rPr>
                <w:rFonts w:ascii="Calibri" w:eastAsia="Times New Roman" w:hAnsi="Calibri" w:cs="Calibri"/>
                <w:color w:val="000000"/>
              </w:rPr>
              <w:t>1.408</w:t>
            </w:r>
          </w:p>
        </w:tc>
      </w:tr>
    </w:tbl>
    <w:p w14:paraId="757DA2DA" w14:textId="732ACED3" w:rsidR="00F93F11" w:rsidRDefault="00F93F11" w:rsidP="00F93F11"/>
    <w:p w14:paraId="4C4D5802" w14:textId="29B09789" w:rsidR="00F93F11" w:rsidRDefault="00F93F11" w:rsidP="00F93F11">
      <w:r>
        <w:rPr>
          <w:noProof/>
        </w:rPr>
        <w:drawing>
          <wp:inline distT="0" distB="0" distL="0" distR="0" wp14:anchorId="1770C94A" wp14:editId="5F8919D3">
            <wp:extent cx="6369050" cy="2095500"/>
            <wp:effectExtent l="0" t="0" r="1270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DB310B6-0E75-4484-A1D3-09D1867891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08"/>
        <w:gridCol w:w="1443"/>
        <w:gridCol w:w="1187"/>
      </w:tblGrid>
      <w:tr w:rsidR="00F93F11" w14:paraId="7AF9FF8E" w14:textId="77777777" w:rsidTr="00F93F11">
        <w:tc>
          <w:tcPr>
            <w:tcW w:w="1525" w:type="dxa"/>
          </w:tcPr>
          <w:p w14:paraId="3EA03FEA" w14:textId="77777777" w:rsidR="00F93F11" w:rsidRDefault="00F93F11" w:rsidP="00F93F11"/>
        </w:tc>
        <w:tc>
          <w:tcPr>
            <w:tcW w:w="1508" w:type="dxa"/>
          </w:tcPr>
          <w:p w14:paraId="553B2971" w14:textId="00C70296" w:rsidR="00F93F11" w:rsidRDefault="00F93F11" w:rsidP="00F93F11">
            <w:r>
              <w:t>Graham Scan</w:t>
            </w:r>
          </w:p>
        </w:tc>
        <w:tc>
          <w:tcPr>
            <w:tcW w:w="1443" w:type="dxa"/>
          </w:tcPr>
          <w:p w14:paraId="24C0BE90" w14:textId="00D5C52C" w:rsidR="00F93F11" w:rsidRDefault="00F93F11" w:rsidP="00F93F11">
            <w:r>
              <w:t>Jarvis March</w:t>
            </w:r>
          </w:p>
        </w:tc>
        <w:tc>
          <w:tcPr>
            <w:tcW w:w="1187" w:type="dxa"/>
          </w:tcPr>
          <w:p w14:paraId="115B69E4" w14:textId="567AFEF8" w:rsidR="00F93F11" w:rsidRDefault="00F93F11" w:rsidP="00F93F11">
            <w:proofErr w:type="spellStart"/>
            <w:r>
              <w:t>QuickHull</w:t>
            </w:r>
            <w:proofErr w:type="spellEnd"/>
          </w:p>
        </w:tc>
      </w:tr>
      <w:tr w:rsidR="00F93F11" w14:paraId="331B5314" w14:textId="77777777" w:rsidTr="00F93F11">
        <w:tc>
          <w:tcPr>
            <w:tcW w:w="1525" w:type="dxa"/>
          </w:tcPr>
          <w:p w14:paraId="63CDDF79" w14:textId="1A5FD3F9" w:rsidR="00F93F11" w:rsidRDefault="00F93F11" w:rsidP="00F93F11">
            <w:r>
              <w:t>Best Case</w:t>
            </w:r>
          </w:p>
        </w:tc>
        <w:tc>
          <w:tcPr>
            <w:tcW w:w="1508" w:type="dxa"/>
          </w:tcPr>
          <w:p w14:paraId="12AA9B82" w14:textId="44B756E2" w:rsidR="00F93F11" w:rsidRDefault="00F93F11" w:rsidP="00F93F11">
            <w:r>
              <w:t>O(</w:t>
            </w:r>
            <w:proofErr w:type="spellStart"/>
            <w:r w:rsidR="006E2AB4">
              <w:t>Nlog</w:t>
            </w:r>
            <w:proofErr w:type="spellEnd"/>
            <w:r w:rsidR="006E2AB4">
              <w:t>(N)</w:t>
            </w:r>
            <w:r>
              <w:t>)</w:t>
            </w:r>
          </w:p>
        </w:tc>
        <w:tc>
          <w:tcPr>
            <w:tcW w:w="1443" w:type="dxa"/>
          </w:tcPr>
          <w:p w14:paraId="6C030C95" w14:textId="47C808B0" w:rsidR="00F93F11" w:rsidRDefault="00F93F11" w:rsidP="00F93F11">
            <w:r>
              <w:t>O(</w:t>
            </w:r>
            <w:proofErr w:type="spellStart"/>
            <w:r w:rsidR="006E2AB4">
              <w:t>Nlog</w:t>
            </w:r>
            <w:proofErr w:type="spellEnd"/>
            <w:r w:rsidR="006E2AB4">
              <w:t>(N)</w:t>
            </w:r>
            <w:r>
              <w:t>)</w:t>
            </w:r>
          </w:p>
        </w:tc>
        <w:tc>
          <w:tcPr>
            <w:tcW w:w="1187" w:type="dxa"/>
          </w:tcPr>
          <w:p w14:paraId="4C0691FC" w14:textId="4A9A9AB3" w:rsidR="00F93F11" w:rsidRDefault="00F93F11" w:rsidP="00F93F11">
            <w:r>
              <w:t>O(</w:t>
            </w:r>
            <w:proofErr w:type="spellStart"/>
            <w:r w:rsidR="006E2AB4">
              <w:t>Nlog</w:t>
            </w:r>
            <w:proofErr w:type="spellEnd"/>
            <w:r w:rsidR="006E2AB4">
              <w:t>(N)</w:t>
            </w:r>
            <w:r>
              <w:t>)</w:t>
            </w:r>
          </w:p>
        </w:tc>
      </w:tr>
      <w:tr w:rsidR="00F93F11" w14:paraId="1B4B7555" w14:textId="77777777" w:rsidTr="00F93F11">
        <w:tc>
          <w:tcPr>
            <w:tcW w:w="1525" w:type="dxa"/>
          </w:tcPr>
          <w:p w14:paraId="3A4EFAA3" w14:textId="1B1FB9B7" w:rsidR="00F93F11" w:rsidRDefault="00F93F11" w:rsidP="00F93F11">
            <w:r>
              <w:t>Average Case</w:t>
            </w:r>
          </w:p>
        </w:tc>
        <w:tc>
          <w:tcPr>
            <w:tcW w:w="1508" w:type="dxa"/>
          </w:tcPr>
          <w:p w14:paraId="0056B9D0" w14:textId="7B4E0422" w:rsidR="00F93F11" w:rsidRDefault="00F93F11" w:rsidP="00F93F11">
            <w:r>
              <w:t>O(</w:t>
            </w:r>
            <w:proofErr w:type="spellStart"/>
            <w:r w:rsidR="006E2AB4">
              <w:t>Nlog</w:t>
            </w:r>
            <w:proofErr w:type="spellEnd"/>
            <w:r w:rsidR="006E2AB4">
              <w:t>(N)</w:t>
            </w:r>
            <w:r>
              <w:t>)</w:t>
            </w:r>
          </w:p>
        </w:tc>
        <w:tc>
          <w:tcPr>
            <w:tcW w:w="1443" w:type="dxa"/>
          </w:tcPr>
          <w:p w14:paraId="02F206ED" w14:textId="04E75BDB" w:rsidR="00F93F11" w:rsidRDefault="00F93F11" w:rsidP="00F93F11">
            <w:r>
              <w:t>O(</w:t>
            </w:r>
            <w:proofErr w:type="spellStart"/>
            <w:r w:rsidR="006E2AB4">
              <w:t>Nlog</w:t>
            </w:r>
            <w:proofErr w:type="spellEnd"/>
            <w:r w:rsidR="006E2AB4">
              <w:t>(N)</w:t>
            </w:r>
            <w:r>
              <w:t>)</w:t>
            </w:r>
          </w:p>
        </w:tc>
        <w:tc>
          <w:tcPr>
            <w:tcW w:w="1187" w:type="dxa"/>
          </w:tcPr>
          <w:p w14:paraId="1A005F0F" w14:textId="4BDCCFE7" w:rsidR="00F93F11" w:rsidRDefault="00F93F11" w:rsidP="00F93F11">
            <w:r>
              <w:t>O(</w:t>
            </w:r>
            <w:proofErr w:type="spellStart"/>
            <w:r w:rsidR="006E2AB4">
              <w:t>Nlog</w:t>
            </w:r>
            <w:proofErr w:type="spellEnd"/>
            <w:r w:rsidR="006E2AB4">
              <w:t>(N)</w:t>
            </w:r>
            <w:r>
              <w:t>)</w:t>
            </w:r>
          </w:p>
        </w:tc>
      </w:tr>
      <w:tr w:rsidR="00F93F11" w14:paraId="70FF637B" w14:textId="77777777" w:rsidTr="00F93F11">
        <w:tc>
          <w:tcPr>
            <w:tcW w:w="1525" w:type="dxa"/>
          </w:tcPr>
          <w:p w14:paraId="38E0EECF" w14:textId="38A6BDE3" w:rsidR="00F93F11" w:rsidRDefault="00F93F11" w:rsidP="00F93F11">
            <w:r>
              <w:t>Worst Case</w:t>
            </w:r>
          </w:p>
        </w:tc>
        <w:tc>
          <w:tcPr>
            <w:tcW w:w="1508" w:type="dxa"/>
          </w:tcPr>
          <w:p w14:paraId="4FCFE947" w14:textId="0E745871" w:rsidR="00F93F11" w:rsidRDefault="00F93F11" w:rsidP="00F93F11">
            <w:r>
              <w:t>O(</w:t>
            </w:r>
            <w:proofErr w:type="spellStart"/>
            <w:r w:rsidR="006E2AB4">
              <w:t>Nlog</w:t>
            </w:r>
            <w:proofErr w:type="spellEnd"/>
            <w:r w:rsidR="006E2AB4">
              <w:t>(N)</w:t>
            </w:r>
            <w:r>
              <w:t>)</w:t>
            </w:r>
          </w:p>
        </w:tc>
        <w:tc>
          <w:tcPr>
            <w:tcW w:w="1443" w:type="dxa"/>
          </w:tcPr>
          <w:p w14:paraId="28364621" w14:textId="3DCDA72B" w:rsidR="00F93F11" w:rsidRDefault="00F93F11" w:rsidP="00F93F11">
            <w:r>
              <w:t>O(</w:t>
            </w:r>
            <w:r w:rsidR="006E2AB4">
              <w:t>N</w:t>
            </w:r>
            <w:r w:rsidR="006E2AB4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87" w:type="dxa"/>
          </w:tcPr>
          <w:p w14:paraId="452D2C0A" w14:textId="11925510" w:rsidR="00F93F11" w:rsidRDefault="00F93F11" w:rsidP="00F93F11">
            <w:r>
              <w:t>O(</w:t>
            </w:r>
            <w:r w:rsidR="006E2AB4">
              <w:t>N</w:t>
            </w:r>
            <w:r w:rsidR="006E2AB4">
              <w:rPr>
                <w:vertAlign w:val="superscript"/>
              </w:rPr>
              <w:t>2</w:t>
            </w:r>
            <w:r>
              <w:t>)</w:t>
            </w:r>
          </w:p>
        </w:tc>
      </w:tr>
    </w:tbl>
    <w:p w14:paraId="76B21B1D" w14:textId="40D89B93" w:rsidR="00F93F11" w:rsidRDefault="00F93F11" w:rsidP="00F93F11"/>
    <w:p w14:paraId="50D5375C" w14:textId="7B269394" w:rsidR="00F93F11" w:rsidRDefault="00725138" w:rsidP="00F93F11">
      <w:r>
        <w:t>The empirical times follow the theoretical times well, not seeing any growth until there is lots of data input. The average and best case for all algorithms is the same</w:t>
      </w:r>
      <w:r w:rsidR="006E2AB4">
        <w:t>, with the worst-case being O(N</w:t>
      </w:r>
      <w:r w:rsidR="006E2AB4">
        <w:rPr>
          <w:vertAlign w:val="superscript"/>
        </w:rPr>
        <w:t>2</w:t>
      </w:r>
      <w:r w:rsidR="006E2AB4">
        <w:t xml:space="preserve">) for the Jarvis March and </w:t>
      </w:r>
      <w:proofErr w:type="spellStart"/>
      <w:r w:rsidR="006E2AB4">
        <w:t>QuickHull</w:t>
      </w:r>
      <w:proofErr w:type="spellEnd"/>
      <w:r w:rsidR="006E2AB4">
        <w:t xml:space="preserve"> and O(</w:t>
      </w:r>
      <w:proofErr w:type="spellStart"/>
      <w:r w:rsidR="006E2AB4">
        <w:t>Nlog</w:t>
      </w:r>
      <w:proofErr w:type="spellEnd"/>
      <w:r w:rsidR="006E2AB4">
        <w:t>(N)) for the Graham Scan</w:t>
      </w:r>
      <w:r>
        <w:t>. In theory, this would mean the algorithms would perform the same, but that is not always the case. Each algorithm has a shape that it performs at better in with larger amounts of points.</w:t>
      </w:r>
    </w:p>
    <w:sectPr w:rsidR="00F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11"/>
    <w:rsid w:val="006E2AB4"/>
    <w:rsid w:val="00725138"/>
    <w:rsid w:val="00DC45C7"/>
    <w:rsid w:val="00F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D343"/>
  <w15:chartTrackingRefBased/>
  <w15:docId w15:val="{DD5DFE1D-AA33-41D9-9AB6-5D55DE69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96a1d6ef40bf85/Desktop/School/Algorithms/Project2/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96a1d6ef40bf85/Desktop/School/Algorithms/Project2/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96a1d6ef40bf85/Desktop/School/Algorithms/Project2/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96a1d6ef40bf85/Desktop/School/Algorithms/Project2/tim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Sheet1!$A$4:$A$9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Sheet1!$B$4:$B$9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4.9000000000000002E-2</c:v>
                </c:pt>
                <c:pt idx="2">
                  <c:v>3.5000000000000003E-2</c:v>
                </c:pt>
                <c:pt idx="3">
                  <c:v>5.3999999999999999E-2</c:v>
                </c:pt>
                <c:pt idx="4">
                  <c:v>0.185</c:v>
                </c:pt>
                <c:pt idx="5">
                  <c:v>1.2889999999999999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D6-4613-B4A8-062A51DA8909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Sheet1!$A$4:$A$9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Sheet1!$C$4:$C$9</c:f>
              <c:numCache>
                <c:formatCode>General</c:formatCode>
                <c:ptCount val="6"/>
                <c:pt idx="0">
                  <c:v>4.3999999999999997E-2</c:v>
                </c:pt>
                <c:pt idx="1">
                  <c:v>3.7999999999999999E-2</c:v>
                </c:pt>
                <c:pt idx="2">
                  <c:v>4.2000000000000003E-2</c:v>
                </c:pt>
                <c:pt idx="3">
                  <c:v>5.8000000000000003E-2</c:v>
                </c:pt>
                <c:pt idx="4">
                  <c:v>0.185</c:v>
                </c:pt>
                <c:pt idx="5">
                  <c:v>1.8089999999999999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D6-4613-B4A8-062A51DA8909}"/>
            </c:ext>
          </c:extLst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Sheet1!$A$4:$A$9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Sheet1!$D$4:$D$9</c:f>
              <c:numCache>
                <c:formatCode>General</c:formatCode>
                <c:ptCount val="6"/>
                <c:pt idx="0">
                  <c:v>4.2000000000000003E-2</c:v>
                </c:pt>
                <c:pt idx="1">
                  <c:v>4.1000000000000002E-2</c:v>
                </c:pt>
                <c:pt idx="2">
                  <c:v>3.5999999999999997E-2</c:v>
                </c:pt>
                <c:pt idx="3">
                  <c:v>6.7000000000000004E-2</c:v>
                </c:pt>
                <c:pt idx="4">
                  <c:v>0.22500000000000001</c:v>
                </c:pt>
                <c:pt idx="5">
                  <c:v>2.4009999999999998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D6-4613-B4A8-062A51DA8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750576"/>
        <c:axId val="192403520"/>
      </c:lineChart>
      <c:catAx>
        <c:axId val="9875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03520"/>
        <c:crosses val="autoZero"/>
        <c:auto val="1"/>
        <c:lblAlgn val="ctr"/>
        <c:lblOffset val="100"/>
        <c:noMultiLvlLbl val="0"/>
      </c:catAx>
      <c:valAx>
        <c:axId val="19240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5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Sheet1!$F$4:$F$9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Sheet1!$G$4:$G$9</c:f>
              <c:numCache>
                <c:formatCode>General</c:formatCode>
                <c:ptCount val="6"/>
                <c:pt idx="0">
                  <c:v>3.4000000000000002E-2</c:v>
                </c:pt>
                <c:pt idx="1">
                  <c:v>0.04</c:v>
                </c:pt>
                <c:pt idx="2">
                  <c:v>0.04</c:v>
                </c:pt>
                <c:pt idx="3">
                  <c:v>5.8000000000000003E-2</c:v>
                </c:pt>
                <c:pt idx="4">
                  <c:v>0.20399999999999999</c:v>
                </c:pt>
                <c:pt idx="5">
                  <c:v>5.8959999999999999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D-42B9-BEEA-EEB0D9B7C692}"/>
            </c:ext>
          </c:extLst>
        </c:ser>
        <c:ser>
          <c:idx val="1"/>
          <c:order val="1"/>
          <c:tx>
            <c:strRef>
              <c:f>Sheet1!$H$3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Sheet1!$F$4:$F$9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Sheet1!$H$4:$H$9</c:f>
              <c:numCache>
                <c:formatCode>General</c:formatCode>
                <c:ptCount val="6"/>
                <c:pt idx="0">
                  <c:v>4.4999999999999998E-2</c:v>
                </c:pt>
                <c:pt idx="1">
                  <c:v>4.1000000000000002E-2</c:v>
                </c:pt>
                <c:pt idx="2">
                  <c:v>5.7000000000000002E-2</c:v>
                </c:pt>
                <c:pt idx="3">
                  <c:v>8.2000000000000003E-2</c:v>
                </c:pt>
                <c:pt idx="4">
                  <c:v>0.35899999999999999</c:v>
                </c:pt>
                <c:pt idx="5">
                  <c:v>3.0830000000000002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D-42B9-BEEA-EEB0D9B7C692}"/>
            </c:ext>
          </c:extLst>
        </c:ser>
        <c:ser>
          <c:idx val="2"/>
          <c:order val="2"/>
          <c:tx>
            <c:strRef>
              <c:f>Sheet1!$I$3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Sheet1!$F$4:$F$9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Sheet1!$I$4:$I$9</c:f>
              <c:numCache>
                <c:formatCode>General</c:formatCode>
                <c:ptCount val="6"/>
                <c:pt idx="0">
                  <c:v>5.8000000000000003E-2</c:v>
                </c:pt>
                <c:pt idx="1">
                  <c:v>0.04</c:v>
                </c:pt>
                <c:pt idx="2">
                  <c:v>5.0999999999999997E-2</c:v>
                </c:pt>
                <c:pt idx="3">
                  <c:v>9.1999999999999998E-2</c:v>
                </c:pt>
                <c:pt idx="4">
                  <c:v>0.39600000000000002</c:v>
                </c:pt>
                <c:pt idx="5">
                  <c:v>3.6419999999999999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D-42B9-BEEA-EEB0D9B7C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750576"/>
        <c:axId val="192403520"/>
      </c:lineChart>
      <c:catAx>
        <c:axId val="9875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03520"/>
        <c:crosses val="autoZero"/>
        <c:auto val="1"/>
        <c:lblAlgn val="ctr"/>
        <c:lblOffset val="100"/>
        <c:noMultiLvlLbl val="0"/>
      </c:catAx>
      <c:valAx>
        <c:axId val="19240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5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Sheet1!$L$3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Sheet1!$K$4:$K$9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Sheet1!$L$4:$L$9</c:f>
              <c:numCache>
                <c:formatCode>General</c:formatCode>
                <c:ptCount val="6"/>
                <c:pt idx="0">
                  <c:v>0.04</c:v>
                </c:pt>
                <c:pt idx="1">
                  <c:v>4.7E-2</c:v>
                </c:pt>
                <c:pt idx="2">
                  <c:v>4.8000000000000001E-2</c:v>
                </c:pt>
                <c:pt idx="3">
                  <c:v>6.8000000000000005E-2</c:v>
                </c:pt>
                <c:pt idx="4">
                  <c:v>0.17299999999999999</c:v>
                </c:pt>
                <c:pt idx="5">
                  <c:v>1.2789999999999999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69-4882-A5A3-F8DE1A4FBF0F}"/>
            </c:ext>
          </c:extLst>
        </c:ser>
        <c:ser>
          <c:idx val="1"/>
          <c:order val="1"/>
          <c:tx>
            <c:strRef>
              <c:f>Sheet1!$M$3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Sheet1!$K$4:$K$9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Sheet1!$M$4:$M$9</c:f>
              <c:numCache>
                <c:formatCode>General</c:formatCode>
                <c:ptCount val="6"/>
                <c:pt idx="0">
                  <c:v>0.05</c:v>
                </c:pt>
                <c:pt idx="1">
                  <c:v>0.03</c:v>
                </c:pt>
                <c:pt idx="2">
                  <c:v>3.3000000000000002E-2</c:v>
                </c:pt>
                <c:pt idx="3">
                  <c:v>5.6000000000000001E-2</c:v>
                </c:pt>
                <c:pt idx="4">
                  <c:v>0.16200000000000001</c:v>
                </c:pt>
                <c:pt idx="5">
                  <c:v>1.238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69-4882-A5A3-F8DE1A4FBF0F}"/>
            </c:ext>
          </c:extLst>
        </c:ser>
        <c:ser>
          <c:idx val="2"/>
          <c:order val="2"/>
          <c:tx>
            <c:strRef>
              <c:f>Sheet1!$N$3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Sheet1!$K$4:$K$9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Sheet1!$N$4:$N$9</c:f>
              <c:numCache>
                <c:formatCode>General</c:formatCode>
                <c:ptCount val="6"/>
                <c:pt idx="0">
                  <c:v>3.3000000000000002E-2</c:v>
                </c:pt>
                <c:pt idx="1">
                  <c:v>3.7999999999999999E-2</c:v>
                </c:pt>
                <c:pt idx="2">
                  <c:v>3.4000000000000002E-2</c:v>
                </c:pt>
                <c:pt idx="3">
                  <c:v>5.7000000000000002E-2</c:v>
                </c:pt>
                <c:pt idx="4">
                  <c:v>0.14399999999999999</c:v>
                </c:pt>
                <c:pt idx="5">
                  <c:v>0.97299999999999998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269-4882-A5A3-F8DE1A4FB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750576"/>
        <c:axId val="192403520"/>
      </c:lineChart>
      <c:catAx>
        <c:axId val="9875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03520"/>
        <c:crosses val="autoZero"/>
        <c:auto val="1"/>
        <c:lblAlgn val="ctr"/>
        <c:lblOffset val="100"/>
        <c:noMultiLvlLbl val="0"/>
      </c:catAx>
      <c:valAx>
        <c:axId val="19240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5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Sheet1!$Q$3</c:f>
              <c:strCache>
                <c:ptCount val="1"/>
                <c:pt idx="0">
                  <c:v>Graham Scan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Sheet1!$P$4:$P$9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Sheet1!$Q$4:$Q$9</c:f>
              <c:numCache>
                <c:formatCode>General</c:formatCode>
                <c:ptCount val="6"/>
                <c:pt idx="0">
                  <c:v>3.4000000000000002E-2</c:v>
                </c:pt>
                <c:pt idx="1">
                  <c:v>0.04</c:v>
                </c:pt>
                <c:pt idx="2">
                  <c:v>0.06</c:v>
                </c:pt>
                <c:pt idx="3">
                  <c:v>6.5000000000000002E-2</c:v>
                </c:pt>
                <c:pt idx="4">
                  <c:v>0.16700000000000001</c:v>
                </c:pt>
                <c:pt idx="5">
                  <c:v>1.448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35-4B2E-81B1-7B19D632CE51}"/>
            </c:ext>
          </c:extLst>
        </c:ser>
        <c:ser>
          <c:idx val="1"/>
          <c:order val="1"/>
          <c:tx>
            <c:strRef>
              <c:f>Sheet1!$R$3</c:f>
              <c:strCache>
                <c:ptCount val="1"/>
                <c:pt idx="0">
                  <c:v>Jarvis March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Sheet1!$P$4:$P$9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Sheet1!$R$4:$R$9</c:f>
              <c:numCache>
                <c:formatCode>General</c:formatCode>
                <c:ptCount val="6"/>
                <c:pt idx="0">
                  <c:v>0.04</c:v>
                </c:pt>
                <c:pt idx="1">
                  <c:v>3.1E-2</c:v>
                </c:pt>
                <c:pt idx="2">
                  <c:v>4.2000000000000003E-2</c:v>
                </c:pt>
                <c:pt idx="3">
                  <c:v>4.4999999999999998E-2</c:v>
                </c:pt>
                <c:pt idx="4">
                  <c:v>0.14299999999999999</c:v>
                </c:pt>
                <c:pt idx="5">
                  <c:v>0.95299999999999996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35-4B2E-81B1-7B19D632CE51}"/>
            </c:ext>
          </c:extLst>
        </c:ser>
        <c:ser>
          <c:idx val="2"/>
          <c:order val="2"/>
          <c:tx>
            <c:strRef>
              <c:f>Sheet1!$S$3</c:f>
              <c:strCache>
                <c:ptCount val="1"/>
                <c:pt idx="0">
                  <c:v>QuickHull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Sheet1!$P$4:$P$9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Sheet1!$S$4:$S$9</c:f>
              <c:numCache>
                <c:formatCode>General</c:formatCode>
                <c:ptCount val="6"/>
                <c:pt idx="0">
                  <c:v>4.1000000000000002E-2</c:v>
                </c:pt>
                <c:pt idx="1">
                  <c:v>0.03</c:v>
                </c:pt>
                <c:pt idx="2">
                  <c:v>3.9E-2</c:v>
                </c:pt>
                <c:pt idx="3">
                  <c:v>0.04</c:v>
                </c:pt>
                <c:pt idx="4">
                  <c:v>0.17299999999999999</c:v>
                </c:pt>
                <c:pt idx="5">
                  <c:v>1.4079999999999999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35-4B2E-81B1-7B19D632CE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750576"/>
        <c:axId val="192403520"/>
      </c:lineChart>
      <c:catAx>
        <c:axId val="9875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03520"/>
        <c:crosses val="autoZero"/>
        <c:auto val="1"/>
        <c:lblAlgn val="ctr"/>
        <c:lblOffset val="100"/>
        <c:noMultiLvlLbl val="0"/>
      </c:catAx>
      <c:valAx>
        <c:axId val="19240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750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Taylor</dc:creator>
  <cp:keywords/>
  <dc:description/>
  <cp:lastModifiedBy>Connor Taylor</cp:lastModifiedBy>
  <cp:revision>1</cp:revision>
  <dcterms:created xsi:type="dcterms:W3CDTF">2021-03-30T02:17:00Z</dcterms:created>
  <dcterms:modified xsi:type="dcterms:W3CDTF">2021-03-30T02:52:00Z</dcterms:modified>
</cp:coreProperties>
</file>