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keepNext/>
        <w:widowControl/>
        <w:spacing w:before="0" w:after="40" w:line="240" w:lineRule="auto"/>
        <w:jc w:val="center"/>
      </w:pPr>
      <w:r>
        <w:rPr>
          <w:rFonts w:ascii="Aptos" w:hAnsi="Aptos" w:cs="Aptos"/>
          <w:b w:val="0"/>
          <w:i w:val="0"/>
          <w:sz w:val="8"/>
          <w:u w:val="none"/>
        </w:rPr>
        <w:t xml:space="preserve"> </w:t>
      </w:r>
    </w:p>
    <w:p>
      <w:pPr>
        <w:keepNext/>
        <w:widowControl/>
        <w:spacing w:before="0" w:after="100" w:line="240" w:lineRule="auto"/>
        <w:jc w:val="center"/>
      </w:pPr>
      <w:r>
        <w:rPr>
          <w:rFonts w:ascii="Aptos" w:hAnsi="Aptos"/>
          <w:b/>
          <w:i w:val="0"/>
          <w:sz w:val="28"/>
          <w:u w:val="none"/>
        </w:rPr>
        <w:t>Modelación dinámica multiescala de la fermentación y pérdida de aromas en Sauvignon Blanc como base para la optimización del proceso</w:t>
      </w:r>
    </w:p>
    <w:p>
      <w:pPr>
        <w:keepNext/>
        <w:widowControl/>
        <w:spacing w:before="0" w:after="20" w:line="240" w:lineRule="auto"/>
        <w:jc w:val="center"/>
      </w:pPr>
      <w:commentRangeStart w:id="0"/>
      <w:r>
        <w:rPr>
          <w:rFonts w:ascii="Aptos" w:hAnsi="Aptos" w:cs="Aptos"/>
          <w:b/>
          <w:i w:val="0"/>
          <w:sz w:val="24"/>
          <w:u w:val="single"/>
        </w:rPr>
        <w:t>Cristóbal Torrealba Vásquez</w:t>
      </w:r>
      <w:r>
        <w:rPr>
          <w:rFonts w:ascii="Aptos" w:hAnsi="Aptos" w:cs="Aptos"/>
          <w:b/>
          <w:i w:val="0"/>
          <w:sz w:val="18"/>
          <w:u w:val="none"/>
          <w:vertAlign w:val="superscript"/>
        </w:rPr>
        <w:t>1,2</w:t>
      </w:r>
      <w:commentRangeEnd w:id="0"/>
      <w:r>
        <w:rPr>
          <w:rStyle w:val="CommentReference"/>
        </w:rPr>
        <w:commentReference w:id="0"/>
      </w:r>
    </w:p>
    <w:p>
      <w:pPr>
        <w:keepNext/>
        <w:widowControl/>
        <w:spacing w:before="0" w:after="0" w:line="240" w:lineRule="auto"/>
        <w:jc w:val="center"/>
      </w:pPr>
      <w:r>
        <w:rPr>
          <w:rFonts w:ascii="Aptos" w:hAnsi="Aptos" w:cs="Aptos"/>
          <w:b w:val="0"/>
          <w:i/>
          <w:sz w:val="16"/>
          <w:u w:val="none"/>
          <w:vertAlign w:val="superscript"/>
        </w:rPr>
        <w:t>1</w:t>
      </w:r>
      <w:r>
        <w:rPr>
          <w:rFonts w:ascii="Aptos" w:hAnsi="Aptos" w:cs="Aptos"/>
          <w:b w:val="0"/>
          <w:i/>
          <w:sz w:val="20"/>
          <w:u w:val="none"/>
        </w:rPr>
        <w:t xml:space="preserve"> Centro de Investigación e Innovación, Viña Concha y Toro, Chile.</w:t>
      </w:r>
    </w:p>
    <w:p>
      <w:pPr>
        <w:keepNext/>
        <w:widowControl/>
        <w:spacing w:before="0" w:after="0" w:line="240" w:lineRule="auto"/>
        <w:jc w:val="center"/>
      </w:pPr>
      <w:r>
        <w:rPr>
          <w:rFonts w:ascii="Aptos" w:hAnsi="Aptos" w:cs="Aptos"/>
          <w:b w:val="0"/>
          <w:i/>
          <w:sz w:val="16"/>
          <w:u w:val="none"/>
          <w:vertAlign w:val="superscript"/>
        </w:rPr>
        <w:t>2</w:t>
      </w:r>
      <w:r>
        <w:rPr>
          <w:rFonts w:ascii="Aptos" w:hAnsi="Aptos" w:cs="Aptos"/>
          <w:b w:val="0"/>
          <w:i/>
          <w:sz w:val="20"/>
          <w:u w:val="none"/>
        </w:rPr>
        <w:t xml:space="preserve"> Doctorado en Ingeniería y Tecnología con la Industria, Pontificia Universidad Católica de Chile, Santiago, Chile.</w:t>
      </w:r>
    </w:p>
    <w:p>
      <w:pPr>
        <w:keepNext/>
        <w:widowControl/>
        <w:spacing w:before="0" w:after="100" w:line="240" w:lineRule="auto"/>
        <w:jc w:val="center"/>
      </w:pPr>
      <w:r>
        <w:rPr>
          <w:rFonts w:ascii="Aptos" w:hAnsi="Aptos" w:cs="Aptos"/>
          <w:b w:val="0"/>
          <w:i/>
          <w:sz w:val="20"/>
          <w:u w:val="none"/>
        </w:rPr>
        <w:t>cltorrealba@uc.cl</w:t>
      </w:r>
    </w:p>
    <w:p>
      <w:pPr>
        <w:keepNext w:val="0"/>
        <w:widowControl/>
        <w:spacing w:before="0" w:after="60" w:line="240" w:lineRule="auto"/>
        <w:jc w:val="both"/>
      </w:pPr>
      <w:r>
        <w:rPr>
          <w:rFonts w:ascii="Aptos" w:hAnsi="Aptos"/>
          <w:b w:val="0"/>
          <w:i w:val="0"/>
          <w:sz w:val="20"/>
          <w:u w:val="none"/>
        </w:rPr>
        <w:t xml:space="preserve">Durante la fermentación alcohólica, la formación y retención de compuestos volátiles dependen del metabolismo de </w:t>
      </w:r>
      <w:r>
        <w:rPr>
          <w:rFonts w:ascii="Aptos" w:hAnsi="Aptos"/>
          <w:b w:val="0"/>
          <w:i/>
          <w:sz w:val="20"/>
          <w:u w:val="none"/>
          <w:iCs/>
        </w:rPr>
        <w:t>Saccharomyces cerevisiae</w:t>
      </w:r>
      <w:r>
        <w:rPr>
          <w:rFonts w:ascii="Aptos" w:hAnsi="Aptos"/>
          <w:b w:val="0"/>
          <w:i w:val="0"/>
          <w:sz w:val="20"/>
          <w:u w:val="none"/>
        </w:rPr>
        <w:t>, la temperatura, el nitrógeno disponible y el arrastre por CO₂ [1–3]. Sin embargo, un modelo calibrado en una condición puede perder capacidad predictiva al cambiar la matriz, el volumen y los estados observados. Este trabajo desarrolla un marco experimental-computacional para describir la cinética fermentativa y la pérdida dinámica de aromas en Sauvignon Blanc, evaluar su transferibilidad laboratorio–piloto y consolidar un modelo previo a la optimización dinámica.</w:t>
      </w:r>
    </w:p>
    <w:p>
      <w:pPr>
        <w:keepNext w:val="0"/>
        <w:widowControl/>
        <w:spacing w:before="0" w:after="60" w:line="240" w:lineRule="auto"/>
        <w:jc w:val="both"/>
      </w:pPr>
      <w:r>
        <w:rPr>
          <w:rFonts w:ascii="Aptos" w:hAnsi="Aptos"/>
          <w:b w:val="0"/>
          <w:i w:val="0"/>
          <w:sz w:val="20"/>
          <w:u w:val="none"/>
        </w:rPr>
        <w:t>Se integró evidencia de cuatro campañas de vendimia 2025–2026. En laboratorio (reactores de 2 L; mostos sintético y natural) se variaron perfiles térmicos y adiciones nutricionales; en piloto (230 L; mosto natural) se registraron temperatura, azúcares, etanol, glicerol, nitrógeno asimilable, biomasa, viabilidad y flujo de CO₂. La corriente gaseosa atravesó condensadores en serie a 0 y −40 °C, y vino y condensados se analizaron por GC-MS/MS. Se formuló un núcleo ODE de siete estados —biomasa viable y muerta, nitrógeno, glucosa, fructosa, etanol y glicerol—, extendido con balances de O₂/CO₂, metabolitos secundarios y formación, partición y pérdida de tres ésteres. Los parámetros se estimaron por mínimos cuadrados acotados en espacio logarítmico y la identificabilidad mediante sensibilidades, matriz de información de Fisher y perfiles de verosimilitud.</w:t>
      </w:r>
    </w:p>
    <w:p>
      <w:pPr>
        <w:keepNext w:val="0"/>
        <w:widowControl/>
        <w:spacing w:before="0" w:after="60" w:line="240" w:lineRule="auto"/>
        <w:jc w:val="both"/>
      </w:pPr>
      <w:r>
        <w:rPr>
          <w:rFonts w:ascii="Aptos" w:hAnsi="Aptos"/>
          <w:b w:val="0"/>
          <w:i w:val="0"/>
          <w:sz w:val="20"/>
          <w:u w:val="none"/>
        </w:rPr>
        <w:t xml:space="preserve">En piloto 2025, la estructura primaria transferida desde laboratorio mostró mejor ajuste para </w:t>
      </w:r>
      <w:commentRangeStart w:id="1"/>
      <w:r>
        <w:rPr>
          <w:rFonts w:ascii="Aptos" w:hAnsi="Aptos"/>
          <w:b w:val="0"/>
          <w:i w:val="0"/>
          <w:sz w:val="20"/>
          <w:u w:val="none"/>
        </w:rPr>
        <w:t>etanol y glicerol (errores cuadráticos medios relativos de 17,8 % y 10,8 %; r = 0,909 y 0,910) que para nitrógeno (94,4 %; r = 0,674)</w:t>
      </w:r>
      <w:commentRangeEnd w:id="1"/>
      <w:r>
        <w:rPr>
          <w:rStyle w:val="CommentReference"/>
        </w:rPr>
        <w:commentReference w:id="1"/>
      </w:r>
      <w:r>
        <w:rPr>
          <w:rFonts w:ascii="Aptos" w:hAnsi="Aptos"/>
          <w:b w:val="0"/>
          <w:i w:val="0"/>
          <w:sz w:val="20"/>
          <w:u w:val="none"/>
        </w:rPr>
        <w:t xml:space="preserve">, y la descripción de CO₂ y aromas requirió extensiones específicas de piloto. El modelo de CO₂ con solubilidad y liberación lenta redujo en 48,2 % la suma ponderada de errores cuadrados respecto de una liberación instantánea. </w:t>
      </w:r>
      <w:commentRangeStart w:id="2"/>
      <w:r>
        <w:rPr>
          <w:rFonts w:ascii="Aptos" w:hAnsi="Aptos"/>
          <w:b w:val="0"/>
          <w:i w:val="0"/>
          <w:sz w:val="20"/>
          <w:u w:val="none"/>
        </w:rPr>
        <w:t>En 2026 se integraron nueve fermentaciones piloto; seis aportaron 33 pares temporales vino–condensado y series de CO₂ aptas para la calibración aromática.</w:t>
      </w:r>
      <w:commentRangeEnd w:id="2"/>
      <w:r>
        <w:rPr>
          <w:rStyle w:val="CommentReference"/>
        </w:rPr>
        <w:commentReference w:id="2"/>
      </w:r>
      <w:r>
        <w:rPr>
          <w:rFonts w:ascii="Aptos" w:hAnsi="Aptos"/>
          <w:b w:val="0"/>
          <w:i w:val="0"/>
          <w:sz w:val="20"/>
          <w:u w:val="none"/>
        </w:rPr>
        <w:t xml:space="preserve"> Los perfiles de verosimilitud identificaron separadamente el término efectivo de pérdida para acetato de isoamilo y octanoato de etilo, pero no para acetato de etilo, cuyos condensados estuvieron censurados por límite de cuantificación. Estos resultados muestran que líquido, condensado y CO₂ aportan información complementaria y que transferir la estructura no implica transferir todos sus parámetros.</w:t>
      </w:r>
    </w:p>
    <w:p>
      <w:pPr>
        <w:keepNext w:val="0"/>
        <w:widowControl/>
        <w:spacing w:before="0" w:after="100" w:line="240" w:lineRule="auto"/>
        <w:jc w:val="both"/>
      </w:pPr>
      <w:commentRangeStart w:id="3"/>
      <w:r>
        <w:rPr>
          <w:rFonts w:ascii="Aptos" w:hAnsi="Aptos"/>
          <w:b w:val="0"/>
          <w:i w:val="0"/>
          <w:sz w:val="20"/>
          <w:u w:val="none"/>
        </w:rPr>
        <w:t>Como puente hacia la optimización, se formalizó un contrato de homologación de parámetros hacia un DC-dFBA reducido de 19 estados</w:t>
      </w:r>
      <w:commentRangeEnd w:id="3"/>
      <w:r>
        <w:rPr>
          <w:rStyle w:val="CommentReference"/>
        </w:rPr>
        <w:commentReference w:id="3"/>
      </w:r>
      <w:r>
        <w:rPr>
          <w:rFonts w:ascii="Aptos" w:hAnsi="Aptos"/>
          <w:b w:val="0"/>
          <w:i w:val="0"/>
          <w:sz w:val="20"/>
          <w:u w:val="none"/>
        </w:rPr>
        <w:t>, en el que la cinética macroscópica define cotas dinámicas para el modelo metabólico; su validación secuencial en el repositorio metabólico sigue siendo requisito previo. En conjunto, el escalamiento debe tratarse como transferencia entre dominios con recalibración y extensiones de proceso, no como un simple cambio de volumen. El marco permite priorizar nuevos experimentos y avanzar hacia perfiles térmicos y nutricionales biológicamente factibles orientados a la retención de los ésteres estudiados.</w:t>
      </w:r>
    </w:p>
    <w:p>
      <w:pPr>
        <w:keepNext/>
        <w:widowControl/>
        <w:spacing w:before="0" w:after="20" w:line="240" w:lineRule="auto"/>
        <w:jc w:val="left"/>
      </w:pPr>
      <w:r>
        <w:rPr>
          <w:rFonts w:ascii="Aptos" w:hAnsi="Aptos" w:cs="Aptos"/>
          <w:b/>
          <w:i w:val="0"/>
          <w:sz w:val="20"/>
          <w:u w:val="none"/>
        </w:rPr>
        <w:t>Referencias</w:t>
      </w:r>
    </w:p>
    <w:p>
      <w:pPr>
        <w:keepNext w:val="0"/>
        <w:widowControl/>
        <w:spacing w:before="0" w:after="0" w:line="240" w:lineRule="auto"/>
        <w:ind w:left="200" w:hanging="200"/>
        <w:jc w:val="left"/>
      </w:pPr>
      <w:r>
        <w:rPr>
          <w:rFonts w:ascii="Aptos" w:hAnsi="Aptos" w:cs="Aptos"/>
          <w:b w:val="0"/>
          <w:i w:val="0"/>
          <w:sz w:val="20"/>
          <w:u w:val="none"/>
        </w:rPr>
        <w:t>1. Deed RC, Fedrizzi B, Gardner RC. J Agric Food Chem. 2017;65:8902–8912.</w:t>
      </w:r>
    </w:p>
    <w:p>
      <w:pPr>
        <w:keepNext w:val="0"/>
        <w:widowControl/>
        <w:spacing w:before="0" w:after="0" w:line="240" w:lineRule="auto"/>
        <w:ind w:left="200" w:hanging="200"/>
        <w:jc w:val="left"/>
      </w:pPr>
      <w:r>
        <w:rPr>
          <w:rFonts w:ascii="Aptos" w:hAnsi="Aptos" w:cs="Aptos"/>
          <w:b w:val="0"/>
          <w:i w:val="0"/>
          <w:sz w:val="20"/>
          <w:u w:val="none"/>
        </w:rPr>
        <w:t>2. Mouret JR, Camarasa C, Angenieux M, et al. Food Res Int. 2014;62:1–10.</w:t>
      </w:r>
    </w:p>
    <w:p>
      <w:pPr>
        <w:keepNext w:val="0"/>
        <w:widowControl/>
        <w:spacing w:before="0" w:after="0" w:line="240" w:lineRule="auto"/>
        <w:ind w:left="200" w:hanging="200"/>
        <w:jc w:val="left"/>
      </w:pPr>
      <w:r>
        <w:rPr>
          <w:rFonts w:ascii="Aptos" w:hAnsi="Aptos" w:cs="Aptos"/>
          <w:b w:val="0"/>
          <w:i w:val="0"/>
          <w:sz w:val="20"/>
          <w:u w:val="none"/>
        </w:rPr>
        <w:t>3. Humaj J, Baron M, Kumsta M, et al. Fermentation. 2024;10:206.</w:t>
      </w:r>
    </w:p>
    <w:sectPr w:rsidR="004431A6" w:rsidRPr="00133A93" w:rsidSect="00F34C1E">
      <w:headerReference w:type="default" r:id="rId10"/>
      <w:pgSz w:w="12240" w:h="15840"/>
      <w:pgMar w:top="1440" w:right="1080" w:bottom="1440" w:left="1080" w:header="1304" w:footer="794" w:gutter="0"/>
      <w:pgNumType w:start="1"/>
      <w:cols w:space="720"/>
      <w:docGrid w:linePitch="299"/>
    </w:sectPr>
  </w:body>
</w:document>
</file>

<file path=word/comments.xml><?xml version="1.0" encoding="utf-8"?>
<w:comments xmlns:w="http://schemas.openxmlformats.org/wordprocessingml/2006/main">
  <w:comment w:id="0" w:author="Codex - auditoría técnica" w:initials="CX" w:date="2026-07-30T15:47:51Z">
    <w:p>
      <w:r>
        <w:rPr>
          <w:rStyle w:val="CommentReference"/>
        </w:rPr>
        <w:annotationRef/>
      </w:r>
      <w:r>
        <w:t xml:space="preserve"> Revisar coautorías y orden de autoría antes del envío: las campañas, la integración de datos y la analítica reúnen contribuciones colectivas.</w:t>
      </w:r>
    </w:p>
  </w:comment>
  <w:comment w:id="1" w:author="Codex - auditoría técnica" w:initials="CX" w:date="2026-07-30T15:47:51Z">
    <w:p>
      <w:r>
        <w:rPr>
          <w:rStyle w:val="CommentReference"/>
        </w:rPr>
        <w:annotationRef/>
      </w:r>
      <w:r>
        <w:t xml:space="preserve"> Estas son métricas de ajuste sobre los datos de piloto 2025, no de validación externa ciega. Fuente: fermentation_model/pilot_2025/results/co2_solubility_integrated_doe/final_fit_metrics.csv.</w:t>
      </w:r>
    </w:p>
  </w:comment>
  <w:comment w:id="2" w:author="Codex - auditoría técnica" w:initials="CX" w:date="2026-07-30T15:47:51Z">
    <w:p>
      <w:r>
        <w:rPr>
          <w:rStyle w:val="CommentReference"/>
        </w:rPr>
        <w:annotationRef/>
      </w:r>
      <w:r>
        <w:t xml:space="preserve"> Las nueve corridas aportan datos primarios; los 33 pares vino–condensado provienen de seis corridas (lotes 2 y 3) y son medidas repetidas, no 33 réplicas independientes.</w:t>
      </w:r>
    </w:p>
  </w:comment>
  <w:comment w:id="3" w:author="Codex - auditoría técnica" w:initials="CX" w:date="2026-07-30T15:47:51Z">
    <w:p>
      <w:r>
        <w:rPr>
          <w:rStyle w:val="CommentReference"/>
        </w:rPr>
        <w:annotationRef/>
      </w:r>
      <w:r>
        <w:t xml:space="preserve"> Este repositorio documenta la homologación hacia el modelo metabólico externo. Confirmar allí la implementación y la validación secuencial antes de afirmar un acoplamiento dFBA completo.</w:t>
      </w:r>
    </w:p>
  </w:comment>
</w:comment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F78BC32" w14:textId="77777777" w:rsidR="000C2713" w:rsidRDefault="000C2713" w:rsidP="009E6F91">
      <w:pPr>
        <w:spacing w:after="0" w:line="240" w:lineRule="auto"/>
      </w:pPr>
      <w:r>
        <w:separator/>
      </w:r>
    </w:p>
  </w:endnote>
  <w:endnote w:type="continuationSeparator" w:id="0">
    <w:p w14:paraId="64BC393A" w14:textId="77777777" w:rsidR="000C2713" w:rsidRDefault="000C2713" w:rsidP="009E6F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Narrow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42C94C" w14:textId="77777777" w:rsidR="000C2713" w:rsidRDefault="000C2713" w:rsidP="009E6F91">
      <w:pPr>
        <w:spacing w:after="0" w:line="240" w:lineRule="auto"/>
      </w:pPr>
      <w:r>
        <w:separator/>
      </w:r>
    </w:p>
  </w:footnote>
  <w:footnote w:type="continuationSeparator" w:id="0">
    <w:p w14:paraId="339B49C7" w14:textId="77777777" w:rsidR="000C2713" w:rsidRDefault="000C2713" w:rsidP="009E6F9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AD03B4" w14:textId="3D029639" w:rsidR="009E6F91" w:rsidRDefault="002316FB">
    <w:pPr>
      <w:pStyle w:val="Encabezado"/>
    </w:pPr>
    <w:r>
      <w:rPr>
        <w:noProof/>
        <w:sz w:val="24"/>
        <w:szCs w:val="24"/>
      </w:rPr>
      <w:drawing>
        <wp:anchor distT="0" distB="0" distL="114300" distR="114300" simplePos="0" relativeHeight="251661312" behindDoc="1" locked="0" layoutInCell="1" allowOverlap="1" wp14:anchorId="0E4C38A1" wp14:editId="52F98BD5">
          <wp:simplePos x="0" y="0"/>
          <wp:positionH relativeFrom="margin">
            <wp:posOffset>-296273</wp:posOffset>
          </wp:positionH>
          <wp:positionV relativeFrom="paragraph">
            <wp:posOffset>-677545</wp:posOffset>
          </wp:positionV>
          <wp:extent cx="1965278" cy="659616"/>
          <wp:effectExtent l="0" t="0" r="0" b="0"/>
          <wp:wrapNone/>
          <wp:docPr id="869318646" name="Imagen 2" descr="Imagen que contiene Text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69318646" name="Imagen 2" descr="Imagen que contiene Texto&#10;&#10;Descripción generada automáticamente"/>
                  <pic:cNvPicPr>
                    <a:picLocks noChangeAspect="1" noChangeArrowheads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65278" cy="659616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3360" behindDoc="1" locked="0" layoutInCell="1" allowOverlap="1" wp14:anchorId="31B0504A" wp14:editId="0854F802">
          <wp:simplePos x="0" y="0"/>
          <wp:positionH relativeFrom="margin">
            <wp:posOffset>5170895</wp:posOffset>
          </wp:positionH>
          <wp:positionV relativeFrom="paragraph">
            <wp:posOffset>-573405</wp:posOffset>
          </wp:positionV>
          <wp:extent cx="1487805" cy="514350"/>
          <wp:effectExtent l="0" t="0" r="0" b="0"/>
          <wp:wrapNone/>
          <wp:docPr id="1882263735" name="Imagen 2" descr="Universidad Católica del Maul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Universidad Católica del Maule"/>
                  <pic:cNvPicPr>
                    <a:picLocks noChangeAspect="1" noChangeArrowheads="1"/>
                  </pic:cNvPicPr>
                </pic:nvPicPr>
                <pic:blipFill>
                  <a:blip r:embed="rId2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87805" cy="5143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F43D5E"/>
    <w:multiLevelType w:val="multilevel"/>
    <w:tmpl w:val="1A28C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7BA72D0"/>
    <w:multiLevelType w:val="hybridMultilevel"/>
    <w:tmpl w:val="38626E1A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5D83682"/>
    <w:multiLevelType w:val="multilevel"/>
    <w:tmpl w:val="B1D489AE"/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 w16cid:durableId="254482169">
    <w:abstractNumId w:val="2"/>
  </w:num>
  <w:num w:numId="2" w16cid:durableId="1147822980">
    <w:abstractNumId w:val="1"/>
  </w:num>
  <w:num w:numId="3" w16cid:durableId="8245901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817A8"/>
    <w:rsid w:val="00033DBC"/>
    <w:rsid w:val="000C2713"/>
    <w:rsid w:val="00133A93"/>
    <w:rsid w:val="00137235"/>
    <w:rsid w:val="002316FB"/>
    <w:rsid w:val="00261B00"/>
    <w:rsid w:val="00262C0C"/>
    <w:rsid w:val="002F5E43"/>
    <w:rsid w:val="00382F65"/>
    <w:rsid w:val="003D3E81"/>
    <w:rsid w:val="004431A6"/>
    <w:rsid w:val="0046227D"/>
    <w:rsid w:val="004A3619"/>
    <w:rsid w:val="004C52F4"/>
    <w:rsid w:val="005C0A3C"/>
    <w:rsid w:val="00644F18"/>
    <w:rsid w:val="0064529D"/>
    <w:rsid w:val="00673404"/>
    <w:rsid w:val="00707CDC"/>
    <w:rsid w:val="00715818"/>
    <w:rsid w:val="007260D3"/>
    <w:rsid w:val="00801512"/>
    <w:rsid w:val="0081199F"/>
    <w:rsid w:val="00820B10"/>
    <w:rsid w:val="0087453F"/>
    <w:rsid w:val="008D15DB"/>
    <w:rsid w:val="00941D6E"/>
    <w:rsid w:val="009E6F91"/>
    <w:rsid w:val="00A43DD4"/>
    <w:rsid w:val="00A50E28"/>
    <w:rsid w:val="00A93BBB"/>
    <w:rsid w:val="00B27C16"/>
    <w:rsid w:val="00B335B4"/>
    <w:rsid w:val="00B44EC6"/>
    <w:rsid w:val="00BA3A85"/>
    <w:rsid w:val="00BC5DA0"/>
    <w:rsid w:val="00C817A8"/>
    <w:rsid w:val="00C960BB"/>
    <w:rsid w:val="00C9720A"/>
    <w:rsid w:val="00CC5445"/>
    <w:rsid w:val="00D065C1"/>
    <w:rsid w:val="00E71F0A"/>
    <w:rsid w:val="00E90C2B"/>
    <w:rsid w:val="00EB4D9C"/>
    <w:rsid w:val="00EC5D84"/>
    <w:rsid w:val="00ED1C15"/>
    <w:rsid w:val="00EF714B"/>
    <w:rsid w:val="00F13AC1"/>
    <w:rsid w:val="00F34C1E"/>
    <w:rsid w:val="00F636CC"/>
    <w:rsid w:val="00FD56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B25543D"/>
  <w15:docId w15:val="{0507F0E5-4F38-2243-A3D6-FCC41FE0F8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s-CL" w:eastAsia="es-MX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3A4A"/>
    <w:rPr>
      <w:lang w:val="en-US"/>
    </w:rPr>
  </w:style>
  <w:style w:type="paragraph" w:styleId="Ttulo1">
    <w:name w:val="heading 1"/>
    <w:basedOn w:val="Normal"/>
    <w:next w:val="Normal"/>
    <w:link w:val="Ttulo1Car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rrafodelista">
    <w:name w:val="List Paragraph"/>
    <w:basedOn w:val="Normal"/>
    <w:uiPriority w:val="34"/>
    <w:qFormat/>
    <w:rsid w:val="00063A4A"/>
    <w:pPr>
      <w:ind w:left="720"/>
      <w:contextualSpacing/>
    </w:p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Encabezado">
    <w:name w:val="header"/>
    <w:basedOn w:val="Normal"/>
    <w:link w:val="EncabezadoCar"/>
    <w:uiPriority w:val="99"/>
    <w:unhideWhenUsed/>
    <w:rsid w:val="00E97A7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97A7B"/>
    <w:rPr>
      <w:lang w:val="en-US"/>
    </w:rPr>
  </w:style>
  <w:style w:type="paragraph" w:styleId="Piedepgina">
    <w:name w:val="footer"/>
    <w:basedOn w:val="Normal"/>
    <w:link w:val="PiedepginaCar"/>
    <w:uiPriority w:val="99"/>
    <w:unhideWhenUsed/>
    <w:rsid w:val="00E97A7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97A7B"/>
    <w:rPr>
      <w:lang w:val="en-U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E97A7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97A7B"/>
    <w:rPr>
      <w:rFonts w:ascii="Tahoma" w:hAnsi="Tahoma" w:cs="Tahoma"/>
      <w:sz w:val="16"/>
      <w:szCs w:val="16"/>
      <w:lang w:val="en-US"/>
    </w:rPr>
  </w:style>
  <w:style w:type="table" w:styleId="Tablaconcuadrcula">
    <w:name w:val="Table Grid"/>
    <w:basedOn w:val="Tablanormal"/>
    <w:uiPriority w:val="59"/>
    <w:rsid w:val="0043550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Fuerte">
    <w:name w:val="Strong"/>
    <w:basedOn w:val="Fuentedeprrafopredeter"/>
    <w:uiPriority w:val="22"/>
    <w:qFormat/>
    <w:rsid w:val="005757F4"/>
    <w:rPr>
      <w:b/>
      <w:bCs/>
    </w:rPr>
  </w:style>
  <w:style w:type="table" w:customStyle="1" w:styleId="a">
    <w:basedOn w:val="TableNormal1"/>
    <w:pPr>
      <w:spacing w:after="0" w:line="240" w:lineRule="auto"/>
    </w:pPr>
    <w:tblPr>
      <w:tblStyleRowBandSize w:val="1"/>
      <w:tblStyleColBandSize w:val="1"/>
      <w:tblCellMar>
        <w:left w:w="108" w:type="dxa"/>
        <w:right w:w="108" w:type="dxa"/>
      </w:tblCellMar>
    </w:tblPr>
  </w:style>
  <w:style w:type="paragraph" w:styleId="Revisin">
    <w:name w:val="Revision"/>
    <w:hidden/>
    <w:uiPriority w:val="99"/>
    <w:semiHidden/>
    <w:rsid w:val="00B44EC6"/>
    <w:pPr>
      <w:spacing w:after="0" w:line="240" w:lineRule="auto"/>
    </w:pPr>
    <w:rPr>
      <w:lang w:val="en-US"/>
    </w:rPr>
  </w:style>
  <w:style w:type="character" w:styleId="Refdecomentario">
    <w:name w:val="annotation reference"/>
    <w:basedOn w:val="Fuentedeprrafopredeter"/>
    <w:uiPriority w:val="99"/>
    <w:semiHidden/>
    <w:unhideWhenUsed/>
    <w:rsid w:val="00B44EC6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B44EC6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B44EC6"/>
    <w:rPr>
      <w:sz w:val="20"/>
      <w:szCs w:val="20"/>
      <w:lang w:val="en-US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B44EC6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B44EC6"/>
    <w:rPr>
      <w:b/>
      <w:bCs/>
      <w:sz w:val="20"/>
      <w:szCs w:val="20"/>
      <w:lang w:val="en-US"/>
    </w:rPr>
  </w:style>
  <w:style w:type="character" w:customStyle="1" w:styleId="Ttulo1Car">
    <w:name w:val="Título 1 Car"/>
    <w:basedOn w:val="Fuentedeprrafopredeter"/>
    <w:link w:val="Ttulo1"/>
    <w:uiPriority w:val="9"/>
    <w:rsid w:val="00EF714B"/>
    <w:rPr>
      <w:b/>
      <w:sz w:val="48"/>
      <w:szCs w:val="48"/>
      <w:lang w:val="en-US"/>
    </w:rPr>
  </w:style>
  <w:style w:type="paragraph" w:styleId="Bibliografa">
    <w:name w:val="Bibliography"/>
    <w:basedOn w:val="Normal"/>
    <w:next w:val="Normal"/>
    <w:uiPriority w:val="37"/>
    <w:unhideWhenUsed/>
    <w:rsid w:val="00EF714B"/>
    <w:pPr>
      <w:tabs>
        <w:tab w:val="left" w:pos="260"/>
      </w:tabs>
      <w:spacing w:after="0" w:line="480" w:lineRule="auto"/>
      <w:ind w:left="264" w:hanging="264"/>
    </w:pPr>
  </w:style>
  <w:style w:type="character" w:styleId="Hipervnculo">
    <w:name w:val="Hyperlink"/>
    <w:basedOn w:val="Fuentedeprrafopredeter"/>
    <w:uiPriority w:val="99"/>
    <w:unhideWhenUsed/>
    <w:rsid w:val="00F34C1E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34C1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
<Relationships xmlns="http://schemas.openxmlformats.org/package/2006/relationships"><Relationship Id="rId8" Type="http://schemas.openxmlformats.org/officeDocument/2006/relationships/endnotes" Target="endnotes.xml" /><Relationship Id="rId3" Type="http://schemas.openxmlformats.org/officeDocument/2006/relationships/numbering" Target="numbering.xml" /><Relationship Id="rId7" Type="http://schemas.openxmlformats.org/officeDocument/2006/relationships/footnotes" Target="footnotes.xml" /><Relationship Id="rId12" Type="http://schemas.openxmlformats.org/officeDocument/2006/relationships/theme" Target="theme/theme1.xml" /><Relationship Id="rId2" Type="http://schemas.openxmlformats.org/officeDocument/2006/relationships/customXml" Target="../customXml/item2.xml" /><Relationship Id="rId1" Type="http://schemas.openxmlformats.org/officeDocument/2006/relationships/customXml" Target="../customXml/item1.xml" /><Relationship Id="rId6" Type="http://schemas.openxmlformats.org/officeDocument/2006/relationships/webSettings" Target="webSettings.xml" /><Relationship Id="rId11" Type="http://schemas.openxmlformats.org/officeDocument/2006/relationships/fontTable" Target="fontTable.xml" /><Relationship Id="rId5" Type="http://schemas.openxmlformats.org/officeDocument/2006/relationships/settings" Target="settings.xml" /><Relationship Id="rId10" Type="http://schemas.openxmlformats.org/officeDocument/2006/relationships/header" Target="header1.xml" /><Relationship Id="rId4" Type="http://schemas.openxmlformats.org/officeDocument/2006/relationships/styles" Target="styles.xml" /><Relationship Id="rId9" Type="http://schemas.openxmlformats.org/officeDocument/2006/relationships/hyperlink" Target="mailto:congresochilenodebioprocesos@gmail.com" TargetMode="External" /><Relationship Id="rId13" Type="http://schemas.openxmlformats.org/officeDocument/2006/relationships/comments" Target="comments.xml" 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THM49j144S/cBCG/SdE1Lr8yUKg==">CgMxLjA4AHIhMUtHNjY2dDBNVnZDbVZPS3FWcGdNY1Znc2RWZjJBeW1k</go:docsCustomData>
</go:gDocsCustomXmlDataStorage>
</file>

<file path=customXml/itemProps1.xml><?xml version="1.0" encoding="utf-8"?>
<ds:datastoreItem xmlns:ds="http://schemas.openxmlformats.org/officeDocument/2006/customXml" ds:itemID="{8B20B017-A04F-1344-B87C-199F49DC68B3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212</Words>
  <Characters>1308</Characters>
  <Application>Microsoft Office Word</Application>
  <DocSecurity>0</DocSecurity>
  <Lines>43</Lines>
  <Paragraphs>20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Cristóbal Torrealba Vásquez</dc:creator>
  <cp:lastModifiedBy>Rodrigo J. Andler Osorio</cp:lastModifiedBy>
  <cp:revision>3</cp:revision>
  <dcterms:created xsi:type="dcterms:W3CDTF">2026-03-31T17:54:00Z</dcterms:created>
  <dcterms:modified xsi:type="dcterms:W3CDTF">2026-07-30T15:47:51Z</dcterms:modified>
  <dc:title>Modelación dinámica multiescala de la fermentación y pérdida de aromas en Sauvignon Blanc como base para la optimización del proceso</dc:title>
  <dc:subject>Resumen revisado para el I Congreso Chileno de Bioprocesos 2026</dc:subject>
  <cp:keywords>Sauvignon Blanc; fermentación; aromas; modelación dinámica; transferencia multiescala; dFBA</cp:keywords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0x0101000FC013677C693F49B3B4BE5D53249DC6</vt:lpwstr>
  </property>
  <property fmtid="{D5CDD505-2E9C-101B-9397-08002B2CF9AE}" pid="3" name="GrammarlyDocumentId">
    <vt:lpwstr>b40e071bf6327f46bd94d1f7c683f065420974e46ca51cb7d13728230579b548</vt:lpwstr>
  </property>
  <property fmtid="{D5CDD505-2E9C-101B-9397-08002B2CF9AE}" pid="4" name="ZOTERO_PREF_1">
    <vt:lpwstr>&lt;data data-version="3" zotero-version="7.0.20"&gt;&lt;session id="l8Hv9kKl"/&gt;&lt;style id="http://www.zotero.org/styles/nature" hasBibliography="1" bibliographyStyleHasBeenSet="1"/&gt;&lt;prefs&gt;&lt;pref name="fieldType" value="Field"/&gt;&lt;pref name="automaticJournalAbbreviati</vt:lpwstr>
  </property>
  <property fmtid="{D5CDD505-2E9C-101B-9397-08002B2CF9AE}" pid="5" name="ZOTERO_PREF_2">
    <vt:lpwstr>ons" value="true"/&gt;&lt;/prefs&gt;&lt;/data&gt;</vt:lpwstr>
  </property>
</Properties>
</file>