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Calibri" w:cs="Calibri" w:eastAsia="Calibri" w:hAnsi="Calibri"/>
          <w:b/>
          <w:bCs/>
          <w:color w:val="1E2761"/>
          <w:sz w:val="28"/>
          <w:szCs w:val="28"/>
        </w:rPr>
        <w:t xml:space="preserve">CLAUDE.md · Skills · Subagents — Quick Reference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/>
          <w:iCs/>
          <w:color w:val="64748B"/>
          <w:sz w:val="19"/>
          <w:szCs w:val="19"/>
        </w:rPr>
        <w:t xml:space="preserve">Everything you need for Modules 5, 6, and 7: project memory, reusable workflows, and delegation.</w:t>
      </w:r>
    </w:p>
    <w:p>
      <w:pPr>
        <w:pStyle w:val="Heading2"/>
        <w:spacing w:before="200"/>
      </w:pPr>
      <w:r>
        <w:rPr>
          <w:rFonts w:ascii="Calibri" w:cs="Calibri" w:eastAsia="Calibri" w:hAnsi="Calibri"/>
          <w:b/>
          <w:bCs/>
          <w:color w:val="1E2761"/>
          <w:sz w:val="22"/>
          <w:szCs w:val="22"/>
        </w:rPr>
        <w:t xml:space="preserve">Commands (Quick Shortcuts)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color w:val="1E293B"/>
          <w:sz w:val="19"/>
          <w:szCs w:val="19"/>
        </w:rPr>
        <w:t xml:space="preserve">For simple prompt shortcuts, create a Markdown file in .claude/commands/. Each file becomes a /slash-command.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666"/>
      </w:tblGrid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76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766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76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Location</w:t>
            </w:r>
          </w:p>
        </w:tc>
        <w:tc>
          <w:tcPr>
            <w:tcW w:type="dxa" w:w="766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.claude/commands/&lt;name&gt;.md or ~/.claude/commands/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Format</w:t>
            </w:r>
          </w:p>
        </w:tc>
        <w:tc>
          <w:tcPr>
            <w:tcW w:type="dxa" w:w="766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Markdown with optional YAML frontmatter (description field)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Usage</w:t>
            </w:r>
          </w:p>
        </w:tc>
        <w:tc>
          <w:tcPr>
            <w:tcW w:type="dxa" w:w="766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/name or /name @file.ts</w:t>
            </w:r>
          </w:p>
        </w:tc>
      </w:tr>
    </w:tbl>
    <w:p>
      <w:pPr>
        <w:pStyle w:val="Heading2"/>
        <w:spacing w:before="200"/>
      </w:pPr>
      <w:r>
        <w:rPr>
          <w:rFonts w:ascii="Calibri" w:cs="Calibri" w:eastAsia="Calibri" w:hAnsi="Calibri"/>
          <w:b/>
          <w:bCs/>
          <w:color w:val="1E2761"/>
          <w:sz w:val="22"/>
          <w:szCs w:val="22"/>
        </w:rPr>
        <w:t xml:space="preserve">CLAUDE.md Hierarchy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666"/>
        <w:gridCol w:w="4000"/>
      </w:tblGrid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76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Level</w:t>
            </w:r>
          </w:p>
        </w:tc>
        <w:tc>
          <w:tcPr>
            <w:tcW w:type="dxa" w:w="466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76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Location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76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Managed</w:t>
            </w:r>
          </w:p>
        </w:tc>
        <w:tc>
          <w:tcPr>
            <w:tcW w:type="dxa" w:w="466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System directories (MDM)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Enterprise-wide, cannot exclude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User</w:t>
            </w:r>
          </w:p>
        </w:tc>
        <w:tc>
          <w:tcPr>
            <w:tcW w:type="dxa" w:w="466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~/.claude/CLAUDE.md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All your projects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Project</w:t>
            </w:r>
          </w:p>
        </w:tc>
        <w:tc>
          <w:tcPr>
            <w:tcW w:type="dxa" w:w="466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./CLAUDE.md or ./.claude/CLAUDE.md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Current project (committed)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Directory</w:t>
            </w:r>
          </w:p>
        </w:tc>
        <w:tc>
          <w:tcPr>
            <w:tcW w:type="dxa" w:w="466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./src/CLAUDE.md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Subdirectory (loaded on demand)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Local</w:t>
            </w:r>
          </w:p>
        </w:tc>
        <w:tc>
          <w:tcPr>
            <w:tcW w:type="dxa" w:w="466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./CLAUDE.local.md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Personal, not committed</w:t>
            </w:r>
          </w:p>
        </w:tc>
      </w:tr>
    </w:tbl>
    <w:p>
      <w:pPr>
        <w:spacing w:after="80"/>
      </w:pPr>
      <w:r>
        <w:rPr>
          <w:rFonts w:ascii="Calibri" w:cs="Calibri" w:eastAsia="Calibri" w:hAnsi="Calibri"/>
          <w:b w:val="false"/>
          <w:bCs w:val="false"/>
          <w:i/>
          <w:iCs/>
          <w:color w:val="64748B"/>
          <w:sz w:val="19"/>
          <w:szCs w:val="19"/>
        </w:rPr>
        <w:t xml:space="preserve">All levels are concatenated (not overridden). More specific files add to broader ones.</w:t>
      </w:r>
    </w:p>
    <w:p>
      <w:pPr>
        <w:pStyle w:val="Heading2"/>
        <w:spacing w:before="200"/>
      </w:pPr>
      <w:r>
        <w:rPr>
          <w:rFonts w:ascii="Calibri" w:cs="Calibri" w:eastAsia="Calibri" w:hAnsi="Calibri"/>
          <w:b/>
          <w:bCs/>
          <w:color w:val="1E2761"/>
          <w:sz w:val="22"/>
          <w:szCs w:val="22"/>
        </w:rPr>
        <w:t xml:space="preserve">CLAUDE.md Best Practices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33"/>
        <w:gridCol w:w="5233"/>
      </w:tblGrid>
      <w:tr>
        <w:tc>
          <w:tcPr>
            <w:tcW w:type="dxa" w:w="5233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76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Include ✓</w:t>
            </w:r>
          </w:p>
        </w:tc>
        <w:tc>
          <w:tcPr>
            <w:tcW w:type="dxa" w:w="5233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76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Exclude ✗</w:t>
            </w:r>
          </w:p>
        </w:tc>
      </w:tr>
      <w:tr>
        <w:tc>
          <w:tcPr>
            <w:tcW w:type="dxa" w:w="5233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Build/test commands</w:t>
            </w:r>
          </w:p>
        </w:tc>
        <w:tc>
          <w:tcPr>
            <w:tcW w:type="dxa" w:w="5233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Things Claude can read from code</w:t>
            </w:r>
          </w:p>
        </w:tc>
      </w:tr>
      <w:tr>
        <w:tc>
          <w:tcPr>
            <w:tcW w:type="dxa" w:w="5233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Code style rules (non-standard)</w:t>
            </w:r>
          </w:p>
        </w:tc>
        <w:tc>
          <w:tcPr>
            <w:tcW w:type="dxa" w:w="5233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Standard language conventions</w:t>
            </w:r>
          </w:p>
        </w:tc>
      </w:tr>
      <w:tr>
        <w:tc>
          <w:tcPr>
            <w:tcW w:type="dxa" w:w="5233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Architecture decisions</w:t>
            </w:r>
          </w:p>
        </w:tc>
        <w:tc>
          <w:tcPr>
            <w:tcW w:type="dxa" w:w="5233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Detailed API documentation</w:t>
            </w:r>
          </w:p>
        </w:tc>
      </w:tr>
      <w:tr>
        <w:tc>
          <w:tcPr>
            <w:tcW w:type="dxa" w:w="5233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Repository etiquette</w:t>
            </w:r>
          </w:p>
        </w:tc>
        <w:tc>
          <w:tcPr>
            <w:tcW w:type="dxa" w:w="5233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Long tutorials or explanations</w:t>
            </w:r>
          </w:p>
        </w:tc>
      </w:tr>
      <w:tr>
        <w:tc>
          <w:tcPr>
            <w:tcW w:type="dxa" w:w="5233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Environment quirks</w:t>
            </w:r>
          </w:p>
        </w:tc>
        <w:tc>
          <w:tcPr>
            <w:tcW w:type="dxa" w:w="5233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Frequently changing info</w:t>
            </w:r>
          </w:p>
        </w:tc>
      </w:tr>
    </w:tbl>
    <w:p>
      <w:pPr>
        <w:spacing w:after="80"/>
      </w:pPr>
      <w:r>
        <w:rPr>
          <w:rFonts w:ascii="Calibri" w:cs="Calibri" w:eastAsia="Calibri" w:hAnsi="Calibri"/>
          <w:b/>
          <w:bCs/>
          <w:i w:val="false"/>
          <w:iCs w:val="false"/>
          <w:color w:val="D97706"/>
          <w:sz w:val="19"/>
          <w:szCs w:val="19"/>
        </w:rPr>
        <w:t xml:space="preserve">Target: Under ~200 lines  ·  Use @imports for external refs  ·  # shortcut to add during work</w:t>
      </w:r>
    </w:p>
    <w:p>
      <w:pPr>
        <w:pStyle w:val="Heading2"/>
        <w:spacing w:before="200"/>
      </w:pPr>
      <w:r>
        <w:rPr>
          <w:rFonts w:ascii="Calibri" w:cs="Calibri" w:eastAsia="Calibri" w:hAnsi="Calibri"/>
          <w:b/>
          <w:bCs/>
          <w:color w:val="1E2761"/>
          <w:sz w:val="22"/>
          <w:szCs w:val="22"/>
        </w:rPr>
        <w:t xml:space="preserve">.claude/rules/ — Path-Specific Rules</w:t>
      </w:r>
    </w:p>
    <w:p>
      <w:pPr>
        <w:shd w:fill="1E1E2E" w:val="clear"/>
        <w:spacing w:after="60" w:before="60"/>
      </w:pPr>
      <w:r>
        <w:rPr>
          <w:rFonts w:ascii="Consolas" w:cs="Consolas" w:eastAsia="Consolas" w:hAnsi="Consolas"/>
          <w:color w:val="CADCFC"/>
          <w:sz w:val="17"/>
          <w:szCs w:val="17"/>
        </w:rPr>
        <w:t xml:space="preserve"># .claude/rules/api-design.md</w:t>
      </w:r>
    </w:p>
    <w:p>
      <w:pPr>
        <w:shd w:fill="1E1E2E" w:val="clear"/>
        <w:spacing w:after="60" w:before="60"/>
      </w:pPr>
      <w:r>
        <w:rPr>
          <w:rFonts w:ascii="Consolas" w:cs="Consolas" w:eastAsia="Consolas" w:hAnsi="Consolas"/>
          <w:color w:val="CADCFC"/>
          <w:sz w:val="17"/>
          <w:szCs w:val="17"/>
        </w:rPr>
        <w:t xml:space="preserve">---</w:t>
      </w:r>
    </w:p>
    <w:p>
      <w:pPr>
        <w:shd w:fill="1E1E2E" w:val="clear"/>
        <w:spacing w:after="60" w:before="60"/>
      </w:pPr>
      <w:r>
        <w:rPr>
          <w:rFonts w:ascii="Consolas" w:cs="Consolas" w:eastAsia="Consolas" w:hAnsi="Consolas"/>
          <w:color w:val="CADCFC"/>
          <w:sz w:val="17"/>
          <w:szCs w:val="17"/>
        </w:rPr>
        <w:t xml:space="preserve">paths: ["src/api/**/*.ts"]</w:t>
      </w:r>
    </w:p>
    <w:p>
      <w:pPr>
        <w:shd w:fill="1E1E2E" w:val="clear"/>
        <w:spacing w:after="60" w:before="60"/>
      </w:pPr>
      <w:r>
        <w:rPr>
          <w:rFonts w:ascii="Consolas" w:cs="Consolas" w:eastAsia="Consolas" w:hAnsi="Consolas"/>
          <w:color w:val="CADCFC"/>
          <w:sz w:val="17"/>
          <w:szCs w:val="17"/>
        </w:rPr>
        <w:t xml:space="preserve">---</w:t>
      </w:r>
    </w:p>
    <w:p>
      <w:pPr>
        <w:shd w:fill="1E1E2E" w:val="clear"/>
        <w:spacing w:after="60" w:before="60"/>
      </w:pPr>
      <w:r>
        <w:rPr>
          <w:rFonts w:ascii="Consolas" w:cs="Consolas" w:eastAsia="Consolas" w:hAnsi="Consolas"/>
          <w:color w:val="CADCFC"/>
          <w:sz w:val="17"/>
          <w:szCs w:val="17"/>
        </w:rPr>
        <w:t xml:space="preserve">All API endpoints must include input validation.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/>
          <w:iCs/>
          <w:color w:val="64748B"/>
          <w:sz w:val="19"/>
          <w:szCs w:val="19"/>
        </w:rPr>
        <w:t xml:space="preserve">Rules with paths only load when Claude works with matching files. Rules without paths load always.</w:t>
      </w:r>
    </w:p>
    <w:p>
      <w:pPr>
        <w:pStyle w:val="Heading2"/>
        <w:spacing w:before="200"/>
      </w:pPr>
      <w:r>
        <w:rPr>
          <w:rFonts w:ascii="Calibri" w:cs="Calibri" w:eastAsia="Calibri" w:hAnsi="Calibri"/>
          <w:b/>
          <w:bCs/>
          <w:color w:val="1E2761"/>
          <w:sz w:val="22"/>
          <w:szCs w:val="22"/>
        </w:rPr>
        <w:t xml:space="preserve">Skill Frontmatter Fields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6466"/>
      </w:tblGrid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76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76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646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76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name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No</w:t>
            </w:r>
          </w:p>
        </w:tc>
        <w:tc>
          <w:tcPr>
            <w:tcW w:type="dxa" w:w="646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Display name and /slash-command (default: directory name)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Yes</w:t>
            </w:r>
          </w:p>
        </w:tc>
        <w:tc>
          <w:tcPr>
            <w:tcW w:type="dxa" w:w="646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When Claude should use this skill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allowed-tools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No</w:t>
            </w:r>
          </w:p>
        </w:tc>
        <w:tc>
          <w:tcPr>
            <w:tcW w:type="dxa" w:w="646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Tools available without permission (e.g., Read Grep)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context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No</w:t>
            </w:r>
          </w:p>
        </w:tc>
        <w:tc>
          <w:tcPr>
            <w:tcW w:type="dxa" w:w="646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Set to 'fork' for isolated subagent execution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agent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No</w:t>
            </w:r>
          </w:p>
        </w:tc>
        <w:tc>
          <w:tcPr>
            <w:tcW w:type="dxa" w:w="646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Subagent type when context: fork (Explore, Plan, etc.)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disable-model-invocation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No</w:t>
            </w:r>
          </w:p>
        </w:tc>
        <w:tc>
          <w:tcPr>
            <w:tcW w:type="dxa" w:w="646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true = manual-only, zero context cost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user-invocable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No</w:t>
            </w:r>
          </w:p>
        </w:tc>
        <w:tc>
          <w:tcPr>
            <w:tcW w:type="dxa" w:w="646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false = hide from / menu, Claude-only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paths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No</w:t>
            </w:r>
          </w:p>
        </w:tc>
        <w:tc>
          <w:tcPr>
            <w:tcW w:type="dxa" w:w="646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Glob patterns for auto-loading on file match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model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No</w:t>
            </w:r>
          </w:p>
        </w:tc>
        <w:tc>
          <w:tcPr>
            <w:tcW w:type="dxa" w:w="646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sonnet, opus, haiku, or inherit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argument-hint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No</w:t>
            </w:r>
          </w:p>
        </w:tc>
        <w:tc>
          <w:tcPr>
            <w:tcW w:type="dxa" w:w="646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Autocomplete hint ([issue-number])</w:t>
            </w:r>
          </w:p>
        </w:tc>
      </w:tr>
    </w:tbl>
    <w:p>
      <w:pPr>
        <w:pStyle w:val="Heading2"/>
        <w:spacing w:before="200"/>
      </w:pPr>
      <w:r>
        <w:rPr>
          <w:rFonts w:ascii="Calibri" w:cs="Calibri" w:eastAsia="Calibri" w:hAnsi="Calibri"/>
          <w:b/>
          <w:bCs/>
          <w:color w:val="1E2761"/>
          <w:sz w:val="22"/>
          <w:szCs w:val="22"/>
        </w:rPr>
        <w:t xml:space="preserve">Skill Example</w:t>
      </w:r>
    </w:p>
    <w:p>
      <w:pPr>
        <w:shd w:fill="1E1E2E" w:val="clear"/>
        <w:spacing w:after="60" w:before="60"/>
      </w:pPr>
      <w:r>
        <w:rPr>
          <w:rFonts w:ascii="Consolas" w:cs="Consolas" w:eastAsia="Consolas" w:hAnsi="Consolas"/>
          <w:color w:val="CADCFC"/>
          <w:sz w:val="17"/>
          <w:szCs w:val="17"/>
        </w:rPr>
        <w:t xml:space="preserve"># .claude/skills/review/SKILL.md</w:t>
      </w:r>
    </w:p>
    <w:p>
      <w:pPr>
        <w:shd w:fill="1E1E2E" w:val="clear"/>
        <w:spacing w:after="60" w:before="60"/>
      </w:pPr>
      <w:r>
        <w:rPr>
          <w:rFonts w:ascii="Consolas" w:cs="Consolas" w:eastAsia="Consolas" w:hAnsi="Consolas"/>
          <w:color w:val="CADCFC"/>
          <w:sz w:val="17"/>
          <w:szCs w:val="17"/>
        </w:rPr>
        <w:t xml:space="preserve">---</w:t>
      </w:r>
    </w:p>
    <w:p>
      <w:pPr>
        <w:shd w:fill="1E1E2E" w:val="clear"/>
        <w:spacing w:after="60" w:before="60"/>
      </w:pPr>
      <w:r>
        <w:rPr>
          <w:rFonts w:ascii="Consolas" w:cs="Consolas" w:eastAsia="Consolas" w:hAnsi="Consolas"/>
          <w:color w:val="CADCFC"/>
          <w:sz w:val="17"/>
          <w:szCs w:val="17"/>
        </w:rPr>
        <w:t xml:space="preserve">name: review</w:t>
      </w:r>
    </w:p>
    <w:p>
      <w:pPr>
        <w:shd w:fill="1E1E2E" w:val="clear"/>
        <w:spacing w:after="60" w:before="60"/>
      </w:pPr>
      <w:r>
        <w:rPr>
          <w:rFonts w:ascii="Consolas" w:cs="Consolas" w:eastAsia="Consolas" w:hAnsi="Consolas"/>
          <w:color w:val="CADCFC"/>
          <w:sz w:val="17"/>
          <w:szCs w:val="17"/>
        </w:rPr>
        <w:t xml:space="preserve">description: Review code for quality and security</w:t>
      </w:r>
    </w:p>
    <w:p>
      <w:pPr>
        <w:shd w:fill="1E1E2E" w:val="clear"/>
        <w:spacing w:after="60" w:before="60"/>
      </w:pPr>
      <w:r>
        <w:rPr>
          <w:rFonts w:ascii="Consolas" w:cs="Consolas" w:eastAsia="Consolas" w:hAnsi="Consolas"/>
          <w:color w:val="CADCFC"/>
          <w:sz w:val="17"/>
          <w:szCs w:val="17"/>
        </w:rPr>
        <w:t xml:space="preserve">allowed-tools: Read Grep Glob</w:t>
      </w:r>
    </w:p>
    <w:p>
      <w:pPr>
        <w:shd w:fill="1E1E2E" w:val="clear"/>
        <w:spacing w:after="60" w:before="60"/>
      </w:pPr>
      <w:r>
        <w:rPr>
          <w:rFonts w:ascii="Consolas" w:cs="Consolas" w:eastAsia="Consolas" w:hAnsi="Consolas"/>
          <w:color w:val="CADCFC"/>
          <w:sz w:val="17"/>
          <w:szCs w:val="17"/>
        </w:rPr>
        <w:t xml:space="preserve">context: fork</w:t>
      </w:r>
    </w:p>
    <w:p>
      <w:pPr>
        <w:shd w:fill="1E1E2E" w:val="clear"/>
        <w:spacing w:after="60" w:before="60"/>
      </w:pPr>
      <w:r>
        <w:rPr>
          <w:rFonts w:ascii="Consolas" w:cs="Consolas" w:eastAsia="Consolas" w:hAnsi="Consolas"/>
          <w:color w:val="CADCFC"/>
          <w:sz w:val="17"/>
          <w:szCs w:val="17"/>
        </w:rPr>
        <w:t xml:space="preserve">agent: Explore</w:t>
      </w:r>
    </w:p>
    <w:p>
      <w:pPr>
        <w:shd w:fill="1E1E2E" w:val="clear"/>
        <w:spacing w:after="60" w:before="60"/>
      </w:pPr>
      <w:r>
        <w:rPr>
          <w:rFonts w:ascii="Consolas" w:cs="Consolas" w:eastAsia="Consolas" w:hAnsi="Consolas"/>
          <w:color w:val="CADCFC"/>
          <w:sz w:val="17"/>
          <w:szCs w:val="17"/>
        </w:rPr>
        <w:t xml:space="preserve">---</w:t>
      </w:r>
    </w:p>
    <w:p>
      <w:pPr>
        <w:shd w:fill="1E1E2E" w:val="clear"/>
        <w:spacing w:after="60" w:before="60"/>
      </w:pPr>
      <w:r>
        <w:rPr>
          <w:rFonts w:ascii="Consolas" w:cs="Consolas" w:eastAsia="Consolas" w:hAnsi="Consolas"/>
          <w:color w:val="CADCFC"/>
          <w:sz w:val="17"/>
          <w:szCs w:val="17"/>
        </w:rPr>
        <w:t xml:space="preserve">Review $ARGUMENTS for security, performance, and best practices.</w:t>
      </w:r>
    </w:p>
    <w:p>
      <w:pPr>
        <w:pStyle w:val="Heading2"/>
        <w:spacing w:before="200"/>
      </w:pPr>
      <w:r>
        <w:rPr>
          <w:rFonts w:ascii="Calibri" w:cs="Calibri" w:eastAsia="Calibri" w:hAnsi="Calibri"/>
          <w:b/>
          <w:bCs/>
          <w:color w:val="1E2761"/>
          <w:sz w:val="22"/>
          <w:szCs w:val="22"/>
        </w:rPr>
        <w:t xml:space="preserve">String Substitutions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6966"/>
      </w:tblGrid>
      <w:tr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76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Variable</w:t>
            </w:r>
          </w:p>
        </w:tc>
        <w:tc>
          <w:tcPr>
            <w:tcW w:type="dxa" w:w="696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76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$ARGUMENTS</w:t>
            </w:r>
          </w:p>
        </w:tc>
        <w:tc>
          <w:tcPr>
            <w:tcW w:type="dxa" w:w="696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All arguments passed to skill</w:t>
            </w:r>
          </w:p>
        </w:tc>
      </w:tr>
      <w:tr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$0, $1, $2</w:t>
            </w:r>
          </w:p>
        </w:tc>
        <w:tc>
          <w:tcPr>
            <w:tcW w:type="dxa" w:w="696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Individual arguments by index</w:t>
            </w:r>
          </w:p>
        </w:tc>
      </w:tr>
      <w:tr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${CLAUDE_SESSION_ID}</w:t>
            </w:r>
          </w:p>
        </w:tc>
        <w:tc>
          <w:tcPr>
            <w:tcW w:type="dxa" w:w="696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Current session ID</w:t>
            </w:r>
          </w:p>
        </w:tc>
      </w:tr>
      <w:tr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${CLAUDE_SKILL_DIR}</w:t>
            </w:r>
          </w:p>
        </w:tc>
        <w:tc>
          <w:tcPr>
            <w:tcW w:type="dxa" w:w="696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Directory containing SKILL.md</w:t>
            </w:r>
          </w:p>
        </w:tc>
      </w:tr>
    </w:tbl>
    <w:p>
      <w:pPr>
        <w:pStyle w:val="Heading2"/>
        <w:spacing w:before="200"/>
      </w:pPr>
      <w:r>
        <w:rPr>
          <w:rFonts w:ascii="Calibri" w:cs="Calibri" w:eastAsia="Calibri" w:hAnsi="Calibri"/>
          <w:b/>
          <w:bCs/>
          <w:color w:val="1E2761"/>
          <w:sz w:val="22"/>
          <w:szCs w:val="22"/>
        </w:rPr>
        <w:t xml:space="preserve">Subagent Definition</w:t>
      </w:r>
    </w:p>
    <w:p>
      <w:pPr>
        <w:shd w:fill="1E1E2E" w:val="clear"/>
        <w:spacing w:after="60" w:before="60"/>
      </w:pPr>
      <w:r>
        <w:rPr>
          <w:rFonts w:ascii="Consolas" w:cs="Consolas" w:eastAsia="Consolas" w:hAnsi="Consolas"/>
          <w:color w:val="CADCFC"/>
          <w:sz w:val="17"/>
          <w:szCs w:val="17"/>
        </w:rPr>
        <w:t xml:space="preserve"># .claude/agents/reviewer.md</w:t>
      </w:r>
    </w:p>
    <w:p>
      <w:pPr>
        <w:shd w:fill="1E1E2E" w:val="clear"/>
        <w:spacing w:after="60" w:before="60"/>
      </w:pPr>
      <w:r>
        <w:rPr>
          <w:rFonts w:ascii="Consolas" w:cs="Consolas" w:eastAsia="Consolas" w:hAnsi="Consolas"/>
          <w:color w:val="CADCFC"/>
          <w:sz w:val="17"/>
          <w:szCs w:val="17"/>
        </w:rPr>
        <w:t xml:space="preserve">---</w:t>
      </w:r>
    </w:p>
    <w:p>
      <w:pPr>
        <w:shd w:fill="1E1E2E" w:val="clear"/>
        <w:spacing w:after="60" w:before="60"/>
      </w:pPr>
      <w:r>
        <w:rPr>
          <w:rFonts w:ascii="Consolas" w:cs="Consolas" w:eastAsia="Consolas" w:hAnsi="Consolas"/>
          <w:color w:val="CADCFC"/>
          <w:sz w:val="17"/>
          <w:szCs w:val="17"/>
        </w:rPr>
        <w:t xml:space="preserve">name: code-reviewer</w:t>
      </w:r>
    </w:p>
    <w:p>
      <w:pPr>
        <w:shd w:fill="1E1E2E" w:val="clear"/>
        <w:spacing w:after="60" w:before="60"/>
      </w:pPr>
      <w:r>
        <w:rPr>
          <w:rFonts w:ascii="Consolas" w:cs="Consolas" w:eastAsia="Consolas" w:hAnsi="Consolas"/>
          <w:color w:val="CADCFC"/>
          <w:sz w:val="17"/>
          <w:szCs w:val="17"/>
        </w:rPr>
        <w:t xml:space="preserve">description: Reviews code for quality</w:t>
      </w:r>
    </w:p>
    <w:p>
      <w:pPr>
        <w:shd w:fill="1E1E2E" w:val="clear"/>
        <w:spacing w:after="60" w:before="60"/>
      </w:pPr>
      <w:r>
        <w:rPr>
          <w:rFonts w:ascii="Consolas" w:cs="Consolas" w:eastAsia="Consolas" w:hAnsi="Consolas"/>
          <w:color w:val="CADCFC"/>
          <w:sz w:val="17"/>
          <w:szCs w:val="17"/>
        </w:rPr>
        <w:t xml:space="preserve">tools: Read, Grep, Glob</w:t>
      </w:r>
    </w:p>
    <w:p>
      <w:pPr>
        <w:shd w:fill="1E1E2E" w:val="clear"/>
        <w:spacing w:after="60" w:before="60"/>
      </w:pPr>
      <w:r>
        <w:rPr>
          <w:rFonts w:ascii="Consolas" w:cs="Consolas" w:eastAsia="Consolas" w:hAnsi="Consolas"/>
          <w:color w:val="CADCFC"/>
          <w:sz w:val="17"/>
          <w:szCs w:val="17"/>
        </w:rPr>
        <w:t xml:space="preserve">model: sonnet</w:t>
      </w:r>
    </w:p>
    <w:p>
      <w:pPr>
        <w:shd w:fill="1E1E2E" w:val="clear"/>
        <w:spacing w:after="60" w:before="60"/>
      </w:pPr>
      <w:r>
        <w:rPr>
          <w:rFonts w:ascii="Consolas" w:cs="Consolas" w:eastAsia="Consolas" w:hAnsi="Consolas"/>
          <w:color w:val="CADCFC"/>
          <w:sz w:val="17"/>
          <w:szCs w:val="17"/>
        </w:rPr>
        <w:t xml:space="preserve">maxTurns: 10</w:t>
      </w:r>
    </w:p>
    <w:p>
      <w:pPr>
        <w:shd w:fill="1E1E2E" w:val="clear"/>
        <w:spacing w:after="60" w:before="60"/>
      </w:pPr>
      <w:r>
        <w:rPr>
          <w:rFonts w:ascii="Consolas" w:cs="Consolas" w:eastAsia="Consolas" w:hAnsi="Consolas"/>
          <w:color w:val="CADCFC"/>
          <w:sz w:val="17"/>
          <w:szCs w:val="17"/>
        </w:rPr>
        <w:t xml:space="preserve">---</w:t>
      </w:r>
    </w:p>
    <w:p>
      <w:pPr>
        <w:shd w:fill="1E1E2E" w:val="clear"/>
        <w:spacing w:after="60" w:before="60"/>
      </w:pPr>
      <w:r>
        <w:rPr>
          <w:rFonts w:ascii="Consolas" w:cs="Consolas" w:eastAsia="Consolas" w:hAnsi="Consolas"/>
          <w:color w:val="CADCFC"/>
          <w:sz w:val="17"/>
          <w:szCs w:val="17"/>
        </w:rPr>
        <w:t xml:space="preserve">You are a senior code reviewer. Focus on security and best practices.</w:t>
      </w:r>
    </w:p>
    <w:p>
      <w:pPr>
        <w:pStyle w:val="Heading2"/>
        <w:spacing w:before="200"/>
      </w:pPr>
      <w:r>
        <w:rPr>
          <w:rFonts w:ascii="Calibri" w:cs="Calibri" w:eastAsia="Calibri" w:hAnsi="Calibri"/>
          <w:b/>
          <w:bCs/>
          <w:color w:val="1E2761"/>
          <w:sz w:val="22"/>
          <w:szCs w:val="22"/>
        </w:rPr>
        <w:t xml:space="preserve">Built-in Agents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2400"/>
        <w:gridCol w:w="4266"/>
      </w:tblGrid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76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Agent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76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Model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76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Tools</w:t>
            </w:r>
          </w:p>
        </w:tc>
        <w:tc>
          <w:tcPr>
            <w:tcW w:type="dxa" w:w="426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76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Explore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Haiku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Read-only</w:t>
            </w:r>
          </w:p>
        </w:tc>
        <w:tc>
          <w:tcPr>
            <w:tcW w:type="dxa" w:w="426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Fast codebase search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Plan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Inherits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Read-only</w:t>
            </w:r>
          </w:p>
        </w:tc>
        <w:tc>
          <w:tcPr>
            <w:tcW w:type="dxa" w:w="426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Research for planning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general-purpose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Inherits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All tools</w:t>
            </w:r>
          </w:p>
        </w:tc>
        <w:tc>
          <w:tcPr>
            <w:tcW w:type="dxa" w:w="426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Complex multi-step tasks</w:t>
            </w:r>
          </w:p>
        </w:tc>
      </w:tr>
    </w:tbl>
    <w:p>
      <w:pPr>
        <w:pStyle w:val="Heading2"/>
        <w:spacing w:before="200"/>
      </w:pPr>
      <w:r>
        <w:rPr>
          <w:rFonts w:ascii="Calibri" w:cs="Calibri" w:eastAsia="Calibri" w:hAnsi="Calibri"/>
          <w:b/>
          <w:bCs/>
          <w:color w:val="1E2761"/>
          <w:sz w:val="22"/>
          <w:szCs w:val="22"/>
        </w:rPr>
        <w:t xml:space="preserve">Invocation Patterns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666"/>
      </w:tblGrid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76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Pattern</w:t>
            </w:r>
          </w:p>
        </w:tc>
        <w:tc>
          <w:tcPr>
            <w:tcW w:type="dxa" w:w="766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76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Syntax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Natural language</w:t>
            </w:r>
          </w:p>
        </w:tc>
        <w:tc>
          <w:tcPr>
            <w:tcW w:type="dxa" w:w="766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Use the code-reviewer to check the auth module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@-mention</w:t>
            </w:r>
          </w:p>
        </w:tc>
        <w:tc>
          <w:tcPr>
            <w:tcW w:type="dxa" w:w="766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@"code-reviewer (agent)" review the auth changes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CLI session</w:t>
            </w:r>
          </w:p>
        </w:tc>
        <w:tc>
          <w:tcPr>
            <w:tcW w:type="dxa" w:w="766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claude --agent code-reviewer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Dynamic</w:t>
            </w:r>
          </w:p>
        </w:tc>
        <w:tc>
          <w:tcPr>
            <w:tcW w:type="dxa" w:w="766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Task(...) — Claude spawns on its own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2" w:space="4"/>
      </w:pBdr>
      <w:jc w:val="center"/>
    </w:pPr>
    <w:r>
      <w:rPr>
        <w:rFonts w:ascii="Calibri" w:cs="Calibri" w:eastAsia="Calibri" w:hAnsi="Calibri"/>
        <w:color w:val="64748B"/>
        <w:sz w:val="16"/>
        <w:szCs w:val="16"/>
      </w:rPr>
      <w:t xml:space="preserve">Reply Internal  |  Page </w:t>
    </w:r>
    <w:r>
      <w:rPr>
        <w:rFonts w:ascii="Calibri" w:cs="Calibri" w:eastAsia="Calibri" w:hAnsi="Calibri"/>
        <w:color w:val="64748B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7706" w:sz="4" w:space="4"/>
      </w:pBdr>
    </w:pPr>
    <w:r>
      <w:rPr>
        <w:rFonts w:ascii="Calibri" w:cs="Calibri" w:eastAsia="Calibri" w:hAnsi="Calibri"/>
        <w:b/>
        <w:bCs/>
        <w:color w:val="1E2761"/>
        <w:sz w:val="18"/>
        <w:szCs w:val="18"/>
      </w:rPr>
      <w:t xml:space="preserve">Claude Code Deep Dive Workshop</w:t>
    </w:r>
    <w:r>
      <w:rPr>
        <w:rFonts w:ascii="Calibri" w:cs="Calibri" w:eastAsia="Calibri" w:hAnsi="Calibri"/>
        <w:color w:val="64748B"/>
        <w:sz w:val="18"/>
        <w:szCs w:val="18"/>
      </w:rPr>
      <w:t xml:space="preserve">   |   Customization Quick Reference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00" w:before="200"/>
    </w:pPr>
    <w:rPr>
      <w:rFonts w:ascii="Calibri" w:cs="Calibri" w:eastAsia="Calibri" w:hAnsi="Calibri"/>
      <w:b/>
      <w:bCs/>
      <w:color w:val="1E2761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160"/>
    </w:pPr>
    <w:rPr>
      <w:rFonts w:ascii="Calibri" w:cs="Calibri" w:eastAsia="Calibri" w:hAnsi="Calibri"/>
      <w:b/>
      <w:bCs/>
      <w:color w:val="1E2761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2026-04-07T18:24:28.582Z</dcterms:created>
  <dcterms:modified xsi:type="dcterms:W3CDTF">2026-04-07T18:24:28.582Z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