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2890" w14:textId="05DD9CFF" w:rsidR="007A62CC" w:rsidRDefault="007A62CC" w:rsidP="006807A8">
      <w:pPr>
        <w:jc w:val="center"/>
        <w:rPr>
          <w:b/>
          <w:bCs/>
          <w:sz w:val="24"/>
          <w:szCs w:val="24"/>
        </w:rPr>
      </w:pPr>
      <w:r w:rsidRPr="006807A8">
        <w:rPr>
          <w:b/>
          <w:bCs/>
          <w:sz w:val="24"/>
          <w:szCs w:val="24"/>
        </w:rPr>
        <w:t>Forecasting NVIDIA stock prices using a s</w:t>
      </w:r>
      <w:r w:rsidR="00BC0701" w:rsidRPr="006807A8">
        <w:rPr>
          <w:b/>
          <w:bCs/>
          <w:sz w:val="24"/>
          <w:szCs w:val="24"/>
        </w:rPr>
        <w:t xml:space="preserve">easonal </w:t>
      </w:r>
      <w:r w:rsidRPr="006807A8">
        <w:rPr>
          <w:b/>
          <w:bCs/>
          <w:sz w:val="24"/>
          <w:szCs w:val="24"/>
        </w:rPr>
        <w:t>and trend model.</w:t>
      </w:r>
    </w:p>
    <w:p w14:paraId="4377C53A" w14:textId="77777777" w:rsidR="00B602B7" w:rsidRDefault="001070F2" w:rsidP="006807A8">
      <w:pPr>
        <w:jc w:val="center"/>
        <w:rPr>
          <w:b/>
          <w:bCs/>
          <w:sz w:val="24"/>
          <w:szCs w:val="24"/>
        </w:rPr>
      </w:pPr>
      <w:r>
        <w:rPr>
          <w:b/>
          <w:bCs/>
          <w:sz w:val="24"/>
          <w:szCs w:val="24"/>
        </w:rPr>
        <w:t>By Charles Luswata</w:t>
      </w:r>
      <w:r w:rsidR="00B602B7">
        <w:rPr>
          <w:b/>
          <w:bCs/>
          <w:sz w:val="24"/>
          <w:szCs w:val="24"/>
        </w:rPr>
        <w:t xml:space="preserve"> </w:t>
      </w:r>
    </w:p>
    <w:p w14:paraId="25C30413" w14:textId="1FD69318" w:rsidR="001070F2" w:rsidRPr="006807A8" w:rsidRDefault="00B602B7" w:rsidP="006807A8">
      <w:pPr>
        <w:jc w:val="center"/>
        <w:rPr>
          <w:b/>
          <w:bCs/>
          <w:sz w:val="24"/>
          <w:szCs w:val="24"/>
        </w:rPr>
      </w:pPr>
      <w:r>
        <w:rPr>
          <w:b/>
          <w:bCs/>
          <w:sz w:val="24"/>
          <w:szCs w:val="24"/>
        </w:rPr>
        <w:t>(UC Berkely, Professional Certificate in Machine Learning and AI)</w:t>
      </w:r>
    </w:p>
    <w:p w14:paraId="3331230E" w14:textId="77777777" w:rsidR="007A62CC" w:rsidRPr="006807A8" w:rsidRDefault="007A62CC" w:rsidP="006807A8">
      <w:pPr>
        <w:jc w:val="both"/>
        <w:rPr>
          <w:b/>
          <w:bCs/>
        </w:rPr>
      </w:pPr>
      <w:r w:rsidRPr="006807A8">
        <w:rPr>
          <w:b/>
          <w:bCs/>
        </w:rPr>
        <w:t>Data Description</w:t>
      </w:r>
    </w:p>
    <w:p w14:paraId="18656E99" w14:textId="77777777" w:rsidR="003F2FD4" w:rsidRDefault="007A62CC" w:rsidP="006807A8">
      <w:pPr>
        <w:jc w:val="both"/>
      </w:pPr>
      <w:r w:rsidRPr="007A62CC">
        <w:t>The dataset used for this analysis is the historical daily stock prices of NVIDIA (NVDA), a leading technology company specializing in graphics processing units (GPUs). The timeframe of the data</w:t>
      </w:r>
      <w:r w:rsidR="006807A8" w:rsidRPr="006807A8">
        <w:t xml:space="preserve">, </w:t>
      </w:r>
      <w:r w:rsidR="006807A8" w:rsidRPr="006807A8">
        <w:rPr>
          <w:color w:val="444444"/>
          <w:shd w:val="clear" w:color="auto" w:fill="FFFFFF"/>
        </w:rPr>
        <w:t>adjusted for splits and dividends</w:t>
      </w:r>
      <w:r w:rsidR="006807A8" w:rsidRPr="006807A8">
        <w:rPr>
          <w:color w:val="444444"/>
          <w:shd w:val="clear" w:color="auto" w:fill="FFFFFF"/>
        </w:rPr>
        <w:t>,</w:t>
      </w:r>
      <w:r w:rsidRPr="007A62CC">
        <w:t xml:space="preserve"> spans several years, typically from the date NVIDIA became publicly traded </w:t>
      </w:r>
      <w:r w:rsidR="006807A8" w:rsidRPr="006807A8">
        <w:t xml:space="preserve">in 1999 </w:t>
      </w:r>
      <w:r w:rsidRPr="007A62CC">
        <w:t>up to the most recent available data</w:t>
      </w:r>
      <w:r w:rsidR="006807A8" w:rsidRPr="006807A8">
        <w:t xml:space="preserve"> in 2024</w:t>
      </w:r>
      <w:r w:rsidRPr="007A62CC">
        <w:t>.</w:t>
      </w:r>
      <w:r w:rsidR="003F2FD4">
        <w:t xml:space="preserve"> </w:t>
      </w:r>
    </w:p>
    <w:p w14:paraId="7F1A8F06" w14:textId="1D1B425F" w:rsidR="007A62CC" w:rsidRPr="007A62CC" w:rsidRDefault="002562AA" w:rsidP="006807A8">
      <w:pPr>
        <w:jc w:val="both"/>
      </w:pPr>
      <w:r w:rsidRPr="002562AA">
        <w:rPr>
          <w:b/>
          <w:bCs/>
        </w:rPr>
        <w:t xml:space="preserve">Data </w:t>
      </w:r>
      <w:r w:rsidR="003F2FD4" w:rsidRPr="002562AA">
        <w:rPr>
          <w:b/>
          <w:bCs/>
        </w:rPr>
        <w:t>Source</w:t>
      </w:r>
      <w:r w:rsidR="003F2FD4">
        <w:t xml:space="preserve">: </w:t>
      </w:r>
      <w:hyperlink r:id="rId8" w:history="1">
        <w:r w:rsidR="003F2FD4">
          <w:rPr>
            <w:rStyle w:val="Hyperlink"/>
          </w:rPr>
          <w:t xml:space="preserve">NVIDIA - 25 Year Stock Price History | NVDA | </w:t>
        </w:r>
        <w:proofErr w:type="spellStart"/>
        <w:r w:rsidR="003F2FD4">
          <w:rPr>
            <w:rStyle w:val="Hyperlink"/>
          </w:rPr>
          <w:t>MacroTrends</w:t>
        </w:r>
        <w:proofErr w:type="spellEnd"/>
      </w:hyperlink>
    </w:p>
    <w:p w14:paraId="38EDC933" w14:textId="77777777" w:rsidR="007A62CC" w:rsidRPr="006807A8" w:rsidRDefault="007A62CC" w:rsidP="006807A8">
      <w:pPr>
        <w:jc w:val="both"/>
        <w:rPr>
          <w:b/>
          <w:bCs/>
        </w:rPr>
      </w:pPr>
      <w:r w:rsidRPr="006807A8">
        <w:rPr>
          <w:b/>
          <w:bCs/>
        </w:rPr>
        <w:t>Forecast</w:t>
      </w:r>
    </w:p>
    <w:p w14:paraId="154C7249" w14:textId="2A80ABEE" w:rsidR="007A62CC" w:rsidRPr="007A62CC" w:rsidRDefault="007A62CC" w:rsidP="006807A8">
      <w:pPr>
        <w:jc w:val="both"/>
      </w:pPr>
      <w:r w:rsidRPr="007A62CC">
        <w:t xml:space="preserve">For the forecast, we utilized a seasonal and trend decomposition model, specifically the seasonal decomposition using LOESS (STL) method provided by </w:t>
      </w:r>
      <w:r w:rsidR="001477DC">
        <w:t xml:space="preserve">python’s </w:t>
      </w:r>
      <w:r w:rsidRPr="007A62CC">
        <w:t>statsmodels</w:t>
      </w:r>
      <w:r w:rsidR="001477DC">
        <w:t xml:space="preserve"> library</w:t>
      </w:r>
      <w:r w:rsidRPr="007A62CC">
        <w:t>. This model separates the time series into trend, seasonal, and residual components:</w:t>
      </w:r>
    </w:p>
    <w:p w14:paraId="30C91C4F" w14:textId="77777777" w:rsidR="007A62CC" w:rsidRPr="007A62CC" w:rsidRDefault="007A62CC" w:rsidP="006807A8">
      <w:pPr>
        <w:ind w:left="720"/>
        <w:jc w:val="both"/>
      </w:pPr>
      <w:r w:rsidRPr="006807A8">
        <w:rPr>
          <w:b/>
          <w:bCs/>
        </w:rPr>
        <w:t>Trend</w:t>
      </w:r>
      <w:r w:rsidRPr="007A62CC">
        <w:t>: The underlying long-term movement in NVIDIA stock prices, capturing gradual increases or decreases over time.</w:t>
      </w:r>
    </w:p>
    <w:p w14:paraId="2E4FC89C" w14:textId="77777777" w:rsidR="007A62CC" w:rsidRPr="007A62CC" w:rsidRDefault="007A62CC" w:rsidP="006807A8">
      <w:pPr>
        <w:ind w:left="720"/>
        <w:jc w:val="both"/>
      </w:pPr>
      <w:r w:rsidRPr="006807A8">
        <w:rPr>
          <w:b/>
          <w:bCs/>
        </w:rPr>
        <w:t>Seasonal</w:t>
      </w:r>
      <w:r w:rsidRPr="007A62CC">
        <w:t>: Regular patterns or cycles that repeat over a specific period, such as yearly, quarterly, or monthly variations.</w:t>
      </w:r>
    </w:p>
    <w:p w14:paraId="45CFCE35" w14:textId="77777777" w:rsidR="007A62CC" w:rsidRPr="007A62CC" w:rsidRDefault="007A62CC" w:rsidP="006807A8">
      <w:pPr>
        <w:ind w:left="720"/>
        <w:jc w:val="both"/>
      </w:pPr>
      <w:r w:rsidRPr="006807A8">
        <w:rPr>
          <w:b/>
          <w:bCs/>
        </w:rPr>
        <w:t>Residual</w:t>
      </w:r>
      <w:r w:rsidRPr="007A62CC">
        <w:t>: The remaining variation in the data after removing the trend and seasonal components, representing noise or irregular fluctuations.</w:t>
      </w:r>
    </w:p>
    <w:p w14:paraId="5026904F" w14:textId="799FF553" w:rsidR="007A62CC" w:rsidRPr="006807A8" w:rsidRDefault="007A62CC" w:rsidP="006807A8">
      <w:pPr>
        <w:jc w:val="both"/>
        <w:rPr>
          <w:b/>
          <w:bCs/>
        </w:rPr>
      </w:pPr>
      <w:r w:rsidRPr="006807A8">
        <w:rPr>
          <w:b/>
          <w:bCs/>
        </w:rPr>
        <w:t>Presentation-Ready Plots</w:t>
      </w:r>
    </w:p>
    <w:p w14:paraId="727B045B" w14:textId="7E21A082" w:rsidR="007A62CC" w:rsidRPr="007A62CC" w:rsidRDefault="007A62CC" w:rsidP="006807A8">
      <w:pPr>
        <w:jc w:val="both"/>
      </w:pPr>
      <w:r w:rsidRPr="007A62CC">
        <w:t>The plots</w:t>
      </w:r>
      <w:r w:rsidR="00C37986">
        <w:t xml:space="preserve"> presented in this study</w:t>
      </w:r>
      <w:r w:rsidRPr="007A62CC">
        <w:t xml:space="preserve"> illustrate the components of the decomposition</w:t>
      </w:r>
      <w:r w:rsidR="001477DC">
        <w:t xml:space="preserve"> </w:t>
      </w:r>
      <w:r w:rsidR="005018F1">
        <w:t>plus</w:t>
      </w:r>
      <w:r w:rsidRPr="007A62CC">
        <w:t>:</w:t>
      </w:r>
    </w:p>
    <w:p w14:paraId="07DF2897" w14:textId="72AA6C75" w:rsidR="006807A8" w:rsidRPr="007A62CC" w:rsidRDefault="007A62CC" w:rsidP="004A0CC6">
      <w:pPr>
        <w:ind w:left="720"/>
        <w:jc w:val="both"/>
      </w:pPr>
      <w:r w:rsidRPr="006807A8">
        <w:rPr>
          <w:b/>
          <w:bCs/>
        </w:rPr>
        <w:t>Observed vs. Trend:</w:t>
      </w:r>
      <w:r w:rsidR="001477DC">
        <w:rPr>
          <w:b/>
          <w:bCs/>
        </w:rPr>
        <w:t xml:space="preserve"> </w:t>
      </w:r>
      <w:r w:rsidRPr="007A62CC">
        <w:t>This plot shows the observed daily closing prices of NVIDIA stock alongside the trend component</w:t>
      </w:r>
      <w:r w:rsidR="001477DC">
        <w:t xml:space="preserve"> (by STL and by the 50-day moving average commonly used in financial markets)</w:t>
      </w:r>
      <w:r w:rsidRPr="007A62CC">
        <w:t>, highlighting the overall movement over time.</w:t>
      </w:r>
    </w:p>
    <w:p w14:paraId="1A8B76F2" w14:textId="38079C25" w:rsidR="007A62CC" w:rsidRDefault="007A62CC" w:rsidP="004A0CC6">
      <w:pPr>
        <w:ind w:left="720"/>
        <w:jc w:val="both"/>
      </w:pPr>
      <w:r w:rsidRPr="006807A8">
        <w:rPr>
          <w:b/>
          <w:bCs/>
        </w:rPr>
        <w:t>Seasonal Component:</w:t>
      </w:r>
      <w:r w:rsidR="004A0CC6">
        <w:rPr>
          <w:b/>
          <w:bCs/>
        </w:rPr>
        <w:t xml:space="preserve"> </w:t>
      </w:r>
      <w:r w:rsidRPr="007A62CC">
        <w:t>Displays the seasonal variations in NVIDIA stock prices, capturing any recurring patterns or cycles.</w:t>
      </w:r>
    </w:p>
    <w:p w14:paraId="1907A52D" w14:textId="28CD8CA7" w:rsidR="007A62CC" w:rsidRDefault="007A62CC" w:rsidP="004A0CC6">
      <w:pPr>
        <w:ind w:left="720"/>
        <w:jc w:val="both"/>
      </w:pPr>
      <w:r w:rsidRPr="006807A8">
        <w:rPr>
          <w:b/>
          <w:bCs/>
        </w:rPr>
        <w:t>Residuals:</w:t>
      </w:r>
      <w:r w:rsidR="004A0CC6">
        <w:rPr>
          <w:b/>
          <w:bCs/>
        </w:rPr>
        <w:t xml:space="preserve"> </w:t>
      </w:r>
      <w:r w:rsidRPr="007A62CC">
        <w:t>Examines the residuals of the model, highlighting any remaining variability after accounting for trend and seasonal effects.</w:t>
      </w:r>
    </w:p>
    <w:p w14:paraId="15877691" w14:textId="2F9FF0F4" w:rsidR="00D530FB" w:rsidRPr="00D530FB" w:rsidRDefault="00D530FB" w:rsidP="00D530FB">
      <w:pPr>
        <w:jc w:val="both"/>
      </w:pPr>
      <w:r w:rsidRPr="00114FD2">
        <w:rPr>
          <w:b/>
          <w:bCs/>
        </w:rPr>
        <w:t>Data splits</w:t>
      </w:r>
      <w:r w:rsidRPr="00D530FB">
        <w:t>: The</w:t>
      </w:r>
      <w:r w:rsidRPr="00D530FB">
        <w:t xml:space="preserve"> dataset</w:t>
      </w:r>
      <w:r w:rsidRPr="00D530FB">
        <w:t xml:space="preserve"> was </w:t>
      </w:r>
      <w:r w:rsidRPr="00D530FB">
        <w:t xml:space="preserve">split into </w:t>
      </w:r>
      <w:r w:rsidRPr="00D530FB">
        <w:t>training/</w:t>
      </w:r>
      <w:r w:rsidRPr="00D530FB">
        <w:t>history (</w:t>
      </w:r>
      <w:proofErr w:type="spellStart"/>
      <w:r w:rsidRPr="00D530FB">
        <w:t>tdata</w:t>
      </w:r>
      <w:proofErr w:type="spellEnd"/>
      <w:r w:rsidRPr="00D530FB">
        <w:t>)</w:t>
      </w:r>
      <w:r w:rsidRPr="00D530FB">
        <w:t xml:space="preserve"> set</w:t>
      </w:r>
      <w:r w:rsidRPr="00D530FB">
        <w:t xml:space="preserve"> and </w:t>
      </w:r>
      <w:r w:rsidRPr="00D530FB">
        <w:t>test</w:t>
      </w:r>
      <w:r w:rsidR="00F83F0B">
        <w:t>ing</w:t>
      </w:r>
      <w:r w:rsidRPr="00D530FB">
        <w:t>/</w:t>
      </w:r>
      <w:r w:rsidRPr="00D530FB">
        <w:t>future (</w:t>
      </w:r>
      <w:proofErr w:type="spellStart"/>
      <w:r w:rsidRPr="00D530FB">
        <w:t>fdata</w:t>
      </w:r>
      <w:proofErr w:type="spellEnd"/>
      <w:r w:rsidRPr="00D530FB">
        <w:t>) set</w:t>
      </w:r>
      <w:r w:rsidR="00114FD2">
        <w:t>,</w:t>
      </w:r>
      <w:r w:rsidRPr="00D530FB">
        <w:t xml:space="preserve"> ratio 75:25.</w:t>
      </w:r>
    </w:p>
    <w:p w14:paraId="48EFFD01" w14:textId="77777777" w:rsidR="00D92764" w:rsidRDefault="00D92764" w:rsidP="006807A8">
      <w:pPr>
        <w:jc w:val="both"/>
        <w:rPr>
          <w:b/>
          <w:bCs/>
        </w:rPr>
      </w:pPr>
    </w:p>
    <w:p w14:paraId="55585C3B" w14:textId="4236BCA6" w:rsidR="007A62CC" w:rsidRPr="006807A8" w:rsidRDefault="007A62CC" w:rsidP="006807A8">
      <w:pPr>
        <w:jc w:val="both"/>
        <w:rPr>
          <w:b/>
          <w:bCs/>
        </w:rPr>
      </w:pPr>
      <w:r w:rsidRPr="006807A8">
        <w:rPr>
          <w:b/>
          <w:bCs/>
        </w:rPr>
        <w:t>Uncertainty</w:t>
      </w:r>
    </w:p>
    <w:p w14:paraId="43C96FE1" w14:textId="49380112" w:rsidR="007A62CC" w:rsidRPr="007A62CC" w:rsidRDefault="007A62CC" w:rsidP="00C37986">
      <w:pPr>
        <w:jc w:val="both"/>
      </w:pPr>
      <w:r w:rsidRPr="006807A8">
        <w:rPr>
          <w:b/>
          <w:bCs/>
        </w:rPr>
        <w:t>Model Evaluation</w:t>
      </w:r>
      <w:r w:rsidR="00B3226F">
        <w:rPr>
          <w:b/>
          <w:bCs/>
        </w:rPr>
        <w:t xml:space="preserve">: </w:t>
      </w:r>
      <w:r w:rsidRPr="007A62CC">
        <w:t>To evaluate the model on testing data</w:t>
      </w:r>
      <w:r w:rsidR="00C37986">
        <w:t xml:space="preserve">, </w:t>
      </w:r>
      <w:r w:rsidR="00B3226F">
        <w:t>m</w:t>
      </w:r>
      <w:r w:rsidRPr="007A62CC">
        <w:t>easures</w:t>
      </w:r>
      <w:r w:rsidR="00B3226F">
        <w:t xml:space="preserve">, </w:t>
      </w:r>
      <w:r w:rsidRPr="007A62CC">
        <w:t xml:space="preserve">Mean Absolute Error (MAE), </w:t>
      </w:r>
      <w:r w:rsidR="00C37986">
        <w:t xml:space="preserve">and </w:t>
      </w:r>
      <w:r w:rsidRPr="007A62CC">
        <w:t>Root Mean Squared Error (RMSE)</w:t>
      </w:r>
      <w:r w:rsidR="00B3226F">
        <w:t>,</w:t>
      </w:r>
      <w:r w:rsidRPr="007A62CC">
        <w:t xml:space="preserve"> </w:t>
      </w:r>
      <w:r w:rsidR="00C37986">
        <w:t>were</w:t>
      </w:r>
      <w:r w:rsidRPr="007A62CC">
        <w:t xml:space="preserve"> </w:t>
      </w:r>
      <w:r w:rsidR="00C37986">
        <w:t>calculated</w:t>
      </w:r>
      <w:r w:rsidRPr="007A62CC">
        <w:t xml:space="preserve"> to quantify the model's performance against </w:t>
      </w:r>
      <w:r w:rsidR="00B3226F">
        <w:t xml:space="preserve">the </w:t>
      </w:r>
      <w:r w:rsidRPr="007A62CC">
        <w:t>actual stock prices.</w:t>
      </w:r>
    </w:p>
    <w:p w14:paraId="21D5D97D" w14:textId="6DCFD981" w:rsidR="007A62CC" w:rsidRPr="007A62CC" w:rsidRDefault="007A62CC" w:rsidP="006807A8">
      <w:pPr>
        <w:jc w:val="both"/>
      </w:pPr>
      <w:r w:rsidRPr="006807A8">
        <w:rPr>
          <w:b/>
          <w:bCs/>
        </w:rPr>
        <w:t>Residual Analysis</w:t>
      </w:r>
      <w:r w:rsidRPr="007A62CC">
        <w:t xml:space="preserve">: </w:t>
      </w:r>
      <w:r w:rsidR="00B3226F">
        <w:t>R</w:t>
      </w:r>
      <w:r w:rsidR="00B3226F" w:rsidRPr="007A62CC">
        <w:t>esiduals</w:t>
      </w:r>
      <w:r w:rsidR="00B3226F">
        <w:t xml:space="preserve"> were e</w:t>
      </w:r>
      <w:r w:rsidRPr="007A62CC">
        <w:t>xam</w:t>
      </w:r>
      <w:r w:rsidR="00B3226F">
        <w:t xml:space="preserve">ined to </w:t>
      </w:r>
      <w:r w:rsidRPr="007A62CC">
        <w:t>help understand the model's predictive errors. Persistent patterns or high variability in residuals may suggest that the model has not captured all the underlying structure in the data.</w:t>
      </w:r>
    </w:p>
    <w:p w14:paraId="73E40996" w14:textId="77777777" w:rsidR="00B3226F" w:rsidRDefault="00B3226F" w:rsidP="00B3226F">
      <w:pPr>
        <w:jc w:val="both"/>
        <w:rPr>
          <w:b/>
          <w:bCs/>
        </w:rPr>
      </w:pPr>
    </w:p>
    <w:p w14:paraId="0FDF3A44" w14:textId="77777777" w:rsidR="00D92764" w:rsidRDefault="00D92764" w:rsidP="00B3226F">
      <w:pPr>
        <w:jc w:val="both"/>
        <w:rPr>
          <w:b/>
          <w:bCs/>
        </w:rPr>
      </w:pPr>
    </w:p>
    <w:p w14:paraId="653B92E3" w14:textId="77777777" w:rsidR="00D92764" w:rsidRDefault="00D92764" w:rsidP="00B3226F">
      <w:pPr>
        <w:jc w:val="both"/>
        <w:rPr>
          <w:b/>
          <w:bCs/>
        </w:rPr>
      </w:pPr>
    </w:p>
    <w:p w14:paraId="62324383" w14:textId="3FA4B5E8" w:rsidR="00B3226F" w:rsidRPr="00B3226F" w:rsidRDefault="00B3226F" w:rsidP="00B3226F">
      <w:pPr>
        <w:jc w:val="both"/>
      </w:pPr>
      <w:r w:rsidRPr="00B3226F">
        <w:rPr>
          <w:b/>
          <w:bCs/>
        </w:rPr>
        <w:t xml:space="preserve">Numeric </w:t>
      </w:r>
      <w:r w:rsidRPr="00B3226F">
        <w:rPr>
          <w:b/>
          <w:bCs/>
        </w:rPr>
        <w:t>Tests</w:t>
      </w:r>
      <w:r>
        <w:rPr>
          <w:b/>
          <w:bCs/>
        </w:rPr>
        <w:t xml:space="preserve"> beyond the eye</w:t>
      </w:r>
      <w:r w:rsidRPr="00B3226F">
        <w:t>:</w:t>
      </w:r>
    </w:p>
    <w:p w14:paraId="3D54E503" w14:textId="77777777" w:rsidR="00B3226F" w:rsidRPr="00B3226F" w:rsidRDefault="00B3226F" w:rsidP="00B3226F">
      <w:pPr>
        <w:jc w:val="both"/>
      </w:pPr>
      <w:r w:rsidRPr="00B3226F">
        <w:rPr>
          <w:b/>
          <w:bCs/>
        </w:rPr>
        <w:t>Autocorrelation</w:t>
      </w:r>
      <w:r w:rsidRPr="00B3226F">
        <w:t>:  Correlation of a time series with a lagged version of itself, measures how each observation in a time series is related to its past observations.</w:t>
      </w:r>
    </w:p>
    <w:p w14:paraId="7CE2778E" w14:textId="77777777" w:rsidR="00B3226F" w:rsidRPr="00B3226F" w:rsidRDefault="00B3226F" w:rsidP="00B3226F">
      <w:pPr>
        <w:ind w:left="720"/>
        <w:jc w:val="both"/>
      </w:pPr>
      <w:r w:rsidRPr="00B3226F">
        <w:rPr>
          <w:b/>
          <w:bCs/>
        </w:rPr>
        <w:t>Durbin - Watson Statistic</w:t>
      </w:r>
      <w:r w:rsidRPr="00B3226F">
        <w:t>: Tests for autocorrelation in the residuals of a regression or time series model. It ranges from 0 to 4, where a value near 2 indicates no autocorrelation and Values significantly different from 2 indicate the presence of autocorrelation.</w:t>
      </w:r>
    </w:p>
    <w:p w14:paraId="13D1DFE3" w14:textId="2CE3620B" w:rsidR="00B3226F" w:rsidRPr="00B3226F" w:rsidRDefault="00B3226F" w:rsidP="00B3226F">
      <w:pPr>
        <w:jc w:val="both"/>
      </w:pPr>
      <w:r w:rsidRPr="00B3226F">
        <w:rPr>
          <w:b/>
          <w:bCs/>
        </w:rPr>
        <w:t>Stationarity</w:t>
      </w:r>
      <w:r w:rsidRPr="00B3226F">
        <w:t>: A crucial assumption for many time series models, as it ensures that the statistical properties of the series do not change over time. Significant spikes in Autocorrelation Plot for Residuals at various lags suggests that there may still be patterns in the residuals that are not captured by the trend and seasonal components hence non-stationarity.</w:t>
      </w:r>
    </w:p>
    <w:p w14:paraId="7586C787" w14:textId="77777777" w:rsidR="00B3226F" w:rsidRPr="00B3226F" w:rsidRDefault="00B3226F" w:rsidP="00B3226F">
      <w:pPr>
        <w:ind w:left="720"/>
        <w:jc w:val="both"/>
      </w:pPr>
      <w:r w:rsidRPr="00B3226F">
        <w:rPr>
          <w:b/>
          <w:bCs/>
        </w:rPr>
        <w:t>Augmented Dickey-Fuller (ADF) test</w:t>
      </w:r>
      <w:r w:rsidRPr="00B3226F">
        <w:t>: Used to determine whether a time series is stationary or not. If the test statistic is less than the critical value from the ADF distribution, we reject the null hypothesis (suggesting stationarity). However, if the test statistic is greater than the critical value, we fail to reject the null hypothesis (indicating non-stationarity).</w:t>
      </w:r>
    </w:p>
    <w:p w14:paraId="7C9F603E" w14:textId="77777777" w:rsidR="00B3226F" w:rsidRDefault="00B3226F" w:rsidP="006807A8">
      <w:pPr>
        <w:jc w:val="both"/>
        <w:rPr>
          <w:b/>
          <w:bCs/>
        </w:rPr>
        <w:sectPr w:rsidR="00B3226F" w:rsidSect="00C27023">
          <w:footerReference w:type="default" r:id="rId9"/>
          <w:pgSz w:w="12240" w:h="15840"/>
          <w:pgMar w:top="720" w:right="990" w:bottom="540" w:left="900" w:header="720" w:footer="270" w:gutter="0"/>
          <w:cols w:space="720"/>
          <w:docGrid w:linePitch="360"/>
        </w:sectPr>
      </w:pPr>
    </w:p>
    <w:p w14:paraId="08CFAC0E" w14:textId="21B5C942" w:rsidR="007A62CC" w:rsidRDefault="00A77867" w:rsidP="006807A8">
      <w:pPr>
        <w:jc w:val="both"/>
        <w:rPr>
          <w:b/>
          <w:bCs/>
        </w:rPr>
      </w:pPr>
      <w:r w:rsidRPr="00A77867">
        <w:rPr>
          <w:b/>
          <w:bCs/>
        </w:rPr>
        <w:lastRenderedPageBreak/>
        <w:t>Results:</w:t>
      </w:r>
    </w:p>
    <w:p w14:paraId="77C16D0F" w14:textId="58C62C01" w:rsidR="007A62CC" w:rsidRDefault="00A77867" w:rsidP="006807A8">
      <w:pPr>
        <w:jc w:val="both"/>
      </w:pPr>
      <w:r w:rsidRPr="00A77867">
        <w:rPr>
          <w:b/>
          <w:bCs/>
        </w:rPr>
        <w:drawing>
          <wp:inline distT="0" distB="0" distL="0" distR="0" wp14:anchorId="459300B3" wp14:editId="181C9C9E">
            <wp:extent cx="8401050" cy="6241850"/>
            <wp:effectExtent l="0" t="0" r="0" b="6985"/>
            <wp:docPr id="31012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24738" name=""/>
                    <pic:cNvPicPr/>
                  </pic:nvPicPr>
                  <pic:blipFill>
                    <a:blip r:embed="rId10"/>
                    <a:stretch>
                      <a:fillRect/>
                    </a:stretch>
                  </pic:blipFill>
                  <pic:spPr>
                    <a:xfrm>
                      <a:off x="0" y="0"/>
                      <a:ext cx="8437419" cy="6268872"/>
                    </a:xfrm>
                    <a:prstGeom prst="rect">
                      <a:avLst/>
                    </a:prstGeom>
                  </pic:spPr>
                </pic:pic>
              </a:graphicData>
            </a:graphic>
          </wp:inline>
        </w:drawing>
      </w:r>
    </w:p>
    <w:p w14:paraId="343417EF" w14:textId="76613E9F" w:rsidR="00565B9B" w:rsidRPr="00565B9B" w:rsidRDefault="00565B9B" w:rsidP="006807A8">
      <w:pPr>
        <w:jc w:val="both"/>
        <w:rPr>
          <w:b/>
          <w:bCs/>
        </w:rPr>
      </w:pPr>
      <w:r w:rsidRPr="00565B9B">
        <w:rPr>
          <w:b/>
          <w:bCs/>
        </w:rPr>
        <w:lastRenderedPageBreak/>
        <w:t xml:space="preserve">Seasonality, </w:t>
      </w:r>
      <w:proofErr w:type="gramStart"/>
      <w:r>
        <w:rPr>
          <w:b/>
          <w:bCs/>
        </w:rPr>
        <w:t>S</w:t>
      </w:r>
      <w:r w:rsidRPr="00565B9B">
        <w:rPr>
          <w:b/>
          <w:bCs/>
        </w:rPr>
        <w:t>tationary</w:t>
      </w:r>
      <w:proofErr w:type="gramEnd"/>
      <w:r w:rsidRPr="00565B9B">
        <w:rPr>
          <w:b/>
          <w:bCs/>
        </w:rPr>
        <w:t xml:space="preserve"> and </w:t>
      </w:r>
      <w:r>
        <w:rPr>
          <w:b/>
          <w:bCs/>
        </w:rPr>
        <w:t>A</w:t>
      </w:r>
      <w:r w:rsidRPr="00565B9B">
        <w:rPr>
          <w:b/>
          <w:bCs/>
        </w:rPr>
        <w:t>utocorrelation assumptions</w:t>
      </w:r>
    </w:p>
    <w:p w14:paraId="59C33774" w14:textId="314070EC" w:rsidR="007A62CC" w:rsidRDefault="00565B9B" w:rsidP="006807A8">
      <w:pPr>
        <w:jc w:val="both"/>
      </w:pPr>
      <w:r w:rsidRPr="00565B9B">
        <w:drawing>
          <wp:inline distT="0" distB="0" distL="0" distR="0" wp14:anchorId="598A78B0" wp14:editId="0205E2E3">
            <wp:extent cx="3692525" cy="2769394"/>
            <wp:effectExtent l="0" t="0" r="3175" b="0"/>
            <wp:docPr id="8400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70682" name=""/>
                    <pic:cNvPicPr/>
                  </pic:nvPicPr>
                  <pic:blipFill>
                    <a:blip r:embed="rId11"/>
                    <a:stretch>
                      <a:fillRect/>
                    </a:stretch>
                  </pic:blipFill>
                  <pic:spPr>
                    <a:xfrm>
                      <a:off x="0" y="0"/>
                      <a:ext cx="3697099" cy="2772824"/>
                    </a:xfrm>
                    <a:prstGeom prst="rect">
                      <a:avLst/>
                    </a:prstGeom>
                  </pic:spPr>
                </pic:pic>
              </a:graphicData>
            </a:graphic>
          </wp:inline>
        </w:drawing>
      </w:r>
      <w:r w:rsidRPr="00565B9B">
        <w:rPr>
          <w:noProof/>
        </w:rPr>
        <w:t xml:space="preserve"> </w:t>
      </w:r>
      <w:r w:rsidRPr="00565B9B">
        <w:drawing>
          <wp:inline distT="0" distB="0" distL="0" distR="0" wp14:anchorId="74C8DDC7" wp14:editId="214496BB">
            <wp:extent cx="4953001" cy="998048"/>
            <wp:effectExtent l="0" t="0" r="0" b="0"/>
            <wp:docPr id="89232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5817" name=""/>
                    <pic:cNvPicPr/>
                  </pic:nvPicPr>
                  <pic:blipFill>
                    <a:blip r:embed="rId12"/>
                    <a:stretch>
                      <a:fillRect/>
                    </a:stretch>
                  </pic:blipFill>
                  <pic:spPr>
                    <a:xfrm>
                      <a:off x="0" y="0"/>
                      <a:ext cx="4975319" cy="1002545"/>
                    </a:xfrm>
                    <a:prstGeom prst="rect">
                      <a:avLst/>
                    </a:prstGeom>
                  </pic:spPr>
                </pic:pic>
              </a:graphicData>
            </a:graphic>
          </wp:inline>
        </w:drawing>
      </w:r>
    </w:p>
    <w:p w14:paraId="72D311E7" w14:textId="5CBEFE33" w:rsidR="00565B9B" w:rsidRDefault="00565B9B" w:rsidP="006807A8">
      <w:pPr>
        <w:jc w:val="both"/>
        <w:rPr>
          <w:noProof/>
        </w:rPr>
      </w:pPr>
      <w:r w:rsidRPr="00565B9B">
        <w:rPr>
          <w:noProof/>
        </w:rPr>
        <w:t xml:space="preserve"> </w:t>
      </w:r>
      <w:r w:rsidRPr="00565B9B">
        <w:drawing>
          <wp:inline distT="0" distB="0" distL="0" distR="0" wp14:anchorId="16C8053F" wp14:editId="5912E830">
            <wp:extent cx="4010025" cy="3276600"/>
            <wp:effectExtent l="0" t="0" r="9525" b="0"/>
            <wp:docPr id="128786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0631" name=""/>
                    <pic:cNvPicPr/>
                  </pic:nvPicPr>
                  <pic:blipFill>
                    <a:blip r:embed="rId13"/>
                    <a:stretch>
                      <a:fillRect/>
                    </a:stretch>
                  </pic:blipFill>
                  <pic:spPr>
                    <a:xfrm>
                      <a:off x="0" y="0"/>
                      <a:ext cx="4043182" cy="3303693"/>
                    </a:xfrm>
                    <a:prstGeom prst="rect">
                      <a:avLst/>
                    </a:prstGeom>
                  </pic:spPr>
                </pic:pic>
              </a:graphicData>
            </a:graphic>
          </wp:inline>
        </w:drawing>
      </w:r>
      <w:r w:rsidRPr="00565B9B">
        <w:rPr>
          <w:noProof/>
        </w:rPr>
        <w:t xml:space="preserve"> </w:t>
      </w:r>
      <w:r w:rsidRPr="00565B9B">
        <w:drawing>
          <wp:inline distT="0" distB="0" distL="0" distR="0" wp14:anchorId="1B677A5A" wp14:editId="79477C12">
            <wp:extent cx="4999355" cy="3275610"/>
            <wp:effectExtent l="0" t="0" r="0" b="1270"/>
            <wp:docPr id="97320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08432" name=""/>
                    <pic:cNvPicPr/>
                  </pic:nvPicPr>
                  <pic:blipFill>
                    <a:blip r:embed="rId14"/>
                    <a:stretch>
                      <a:fillRect/>
                    </a:stretch>
                  </pic:blipFill>
                  <pic:spPr>
                    <a:xfrm>
                      <a:off x="0" y="0"/>
                      <a:ext cx="5100436" cy="3341839"/>
                    </a:xfrm>
                    <a:prstGeom prst="rect">
                      <a:avLst/>
                    </a:prstGeom>
                  </pic:spPr>
                </pic:pic>
              </a:graphicData>
            </a:graphic>
          </wp:inline>
        </w:drawing>
      </w:r>
    </w:p>
    <w:p w14:paraId="1504D7C1" w14:textId="459F891A" w:rsidR="00565B9B" w:rsidRDefault="00807A98" w:rsidP="006807A8">
      <w:pPr>
        <w:jc w:val="both"/>
      </w:pPr>
      <w:r w:rsidRPr="00807A98">
        <w:lastRenderedPageBreak/>
        <w:drawing>
          <wp:inline distT="0" distB="0" distL="0" distR="0" wp14:anchorId="145B73A7" wp14:editId="4AFD2AD8">
            <wp:extent cx="8448675" cy="3124835"/>
            <wp:effectExtent l="0" t="0" r="0" b="0"/>
            <wp:docPr id="183857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76212" name=""/>
                    <pic:cNvPicPr/>
                  </pic:nvPicPr>
                  <pic:blipFill>
                    <a:blip r:embed="rId15"/>
                    <a:stretch>
                      <a:fillRect/>
                    </a:stretch>
                  </pic:blipFill>
                  <pic:spPr>
                    <a:xfrm>
                      <a:off x="0" y="0"/>
                      <a:ext cx="8479580" cy="3136266"/>
                    </a:xfrm>
                    <a:prstGeom prst="rect">
                      <a:avLst/>
                    </a:prstGeom>
                  </pic:spPr>
                </pic:pic>
              </a:graphicData>
            </a:graphic>
          </wp:inline>
        </w:drawing>
      </w:r>
    </w:p>
    <w:p w14:paraId="50C77DC8" w14:textId="10314128" w:rsidR="00807A98" w:rsidRDefault="00807A98" w:rsidP="006807A8">
      <w:pPr>
        <w:jc w:val="both"/>
      </w:pPr>
      <w:r w:rsidRPr="00A77867">
        <w:rPr>
          <w:b/>
          <w:bCs/>
        </w:rPr>
        <w:drawing>
          <wp:inline distT="0" distB="0" distL="0" distR="0" wp14:anchorId="4C9D4F15" wp14:editId="3852038C">
            <wp:extent cx="8420100" cy="3286760"/>
            <wp:effectExtent l="0" t="0" r="0" b="8890"/>
            <wp:docPr id="61774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40502" name=""/>
                    <pic:cNvPicPr/>
                  </pic:nvPicPr>
                  <pic:blipFill>
                    <a:blip r:embed="rId16"/>
                    <a:stretch>
                      <a:fillRect/>
                    </a:stretch>
                  </pic:blipFill>
                  <pic:spPr>
                    <a:xfrm>
                      <a:off x="0" y="0"/>
                      <a:ext cx="8482655" cy="3311178"/>
                    </a:xfrm>
                    <a:prstGeom prst="rect">
                      <a:avLst/>
                    </a:prstGeom>
                  </pic:spPr>
                </pic:pic>
              </a:graphicData>
            </a:graphic>
          </wp:inline>
        </w:drawing>
      </w:r>
    </w:p>
    <w:p w14:paraId="5AA8CB4B" w14:textId="77777777" w:rsidR="00807A98" w:rsidRDefault="00807A98" w:rsidP="006807A8">
      <w:pPr>
        <w:jc w:val="both"/>
      </w:pPr>
    </w:p>
    <w:p w14:paraId="25DDA1DD" w14:textId="57E17EC7" w:rsidR="006E06DE" w:rsidRDefault="006E06DE" w:rsidP="006807A8">
      <w:pPr>
        <w:jc w:val="both"/>
      </w:pPr>
      <w:r w:rsidRPr="006E06DE">
        <w:drawing>
          <wp:inline distT="0" distB="0" distL="0" distR="0" wp14:anchorId="55575555" wp14:editId="34FD5832">
            <wp:extent cx="4402455" cy="3695700"/>
            <wp:effectExtent l="0" t="0" r="0" b="0"/>
            <wp:docPr id="91742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26651" name=""/>
                    <pic:cNvPicPr/>
                  </pic:nvPicPr>
                  <pic:blipFill>
                    <a:blip r:embed="rId17"/>
                    <a:stretch>
                      <a:fillRect/>
                    </a:stretch>
                  </pic:blipFill>
                  <pic:spPr>
                    <a:xfrm>
                      <a:off x="0" y="0"/>
                      <a:ext cx="4406597" cy="3699177"/>
                    </a:xfrm>
                    <a:prstGeom prst="rect">
                      <a:avLst/>
                    </a:prstGeom>
                  </pic:spPr>
                </pic:pic>
              </a:graphicData>
            </a:graphic>
          </wp:inline>
        </w:drawing>
      </w:r>
      <w:r w:rsidRPr="006E06DE">
        <w:rPr>
          <w:noProof/>
        </w:rPr>
        <w:t xml:space="preserve"> </w:t>
      </w:r>
      <w:r w:rsidRPr="006E06DE">
        <w:drawing>
          <wp:inline distT="0" distB="0" distL="0" distR="0" wp14:anchorId="65EA48D5" wp14:editId="07D2A28A">
            <wp:extent cx="4343400" cy="3646827"/>
            <wp:effectExtent l="0" t="0" r="0" b="0"/>
            <wp:docPr id="3364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08095" name=""/>
                    <pic:cNvPicPr/>
                  </pic:nvPicPr>
                  <pic:blipFill>
                    <a:blip r:embed="rId18"/>
                    <a:stretch>
                      <a:fillRect/>
                    </a:stretch>
                  </pic:blipFill>
                  <pic:spPr>
                    <a:xfrm>
                      <a:off x="0" y="0"/>
                      <a:ext cx="4352088" cy="3654122"/>
                    </a:xfrm>
                    <a:prstGeom prst="rect">
                      <a:avLst/>
                    </a:prstGeom>
                  </pic:spPr>
                </pic:pic>
              </a:graphicData>
            </a:graphic>
          </wp:inline>
        </w:drawing>
      </w:r>
    </w:p>
    <w:p w14:paraId="6EFBEB56" w14:textId="77777777" w:rsidR="006E06DE" w:rsidRDefault="006E06DE" w:rsidP="006807A8">
      <w:pPr>
        <w:jc w:val="both"/>
      </w:pPr>
    </w:p>
    <w:p w14:paraId="40EC3C4D" w14:textId="5FC996B1" w:rsidR="006E06DE" w:rsidRDefault="006E06DE" w:rsidP="006807A8">
      <w:pPr>
        <w:jc w:val="both"/>
      </w:pPr>
      <w:r w:rsidRPr="006E06DE">
        <w:lastRenderedPageBreak/>
        <w:drawing>
          <wp:inline distT="0" distB="0" distL="0" distR="0" wp14:anchorId="07367E53" wp14:editId="28CDA05F">
            <wp:extent cx="4514850" cy="3533775"/>
            <wp:effectExtent l="0" t="0" r="0" b="9525"/>
            <wp:docPr id="17197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4118" name=""/>
                    <pic:cNvPicPr/>
                  </pic:nvPicPr>
                  <pic:blipFill>
                    <a:blip r:embed="rId19"/>
                    <a:stretch>
                      <a:fillRect/>
                    </a:stretch>
                  </pic:blipFill>
                  <pic:spPr>
                    <a:xfrm>
                      <a:off x="0" y="0"/>
                      <a:ext cx="4519083" cy="3537088"/>
                    </a:xfrm>
                    <a:prstGeom prst="rect">
                      <a:avLst/>
                    </a:prstGeom>
                  </pic:spPr>
                </pic:pic>
              </a:graphicData>
            </a:graphic>
          </wp:inline>
        </w:drawing>
      </w:r>
      <w:r w:rsidRPr="006E06DE">
        <w:rPr>
          <w:noProof/>
        </w:rPr>
        <w:t xml:space="preserve"> </w:t>
      </w:r>
      <w:r w:rsidRPr="006E06DE">
        <w:drawing>
          <wp:inline distT="0" distB="0" distL="0" distR="0" wp14:anchorId="25174BBE" wp14:editId="7A2A33B5">
            <wp:extent cx="4335096" cy="3381375"/>
            <wp:effectExtent l="0" t="0" r="8890" b="0"/>
            <wp:docPr id="17874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873" name=""/>
                    <pic:cNvPicPr/>
                  </pic:nvPicPr>
                  <pic:blipFill>
                    <a:blip r:embed="rId20"/>
                    <a:stretch>
                      <a:fillRect/>
                    </a:stretch>
                  </pic:blipFill>
                  <pic:spPr>
                    <a:xfrm>
                      <a:off x="0" y="0"/>
                      <a:ext cx="4342089" cy="3386829"/>
                    </a:xfrm>
                    <a:prstGeom prst="rect">
                      <a:avLst/>
                    </a:prstGeom>
                  </pic:spPr>
                </pic:pic>
              </a:graphicData>
            </a:graphic>
          </wp:inline>
        </w:drawing>
      </w:r>
    </w:p>
    <w:p w14:paraId="1644EA33" w14:textId="7E1B11F8" w:rsidR="001070F2" w:rsidRDefault="001070F2" w:rsidP="001070F2">
      <w:pPr>
        <w:jc w:val="both"/>
      </w:pPr>
      <w:r w:rsidRPr="001070F2">
        <w:drawing>
          <wp:inline distT="0" distB="0" distL="0" distR="0" wp14:anchorId="6F8D44A3" wp14:editId="198F10A3">
            <wp:extent cx="2229161" cy="438211"/>
            <wp:effectExtent l="0" t="0" r="0" b="0"/>
            <wp:docPr id="166952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28952" name=""/>
                    <pic:cNvPicPr/>
                  </pic:nvPicPr>
                  <pic:blipFill>
                    <a:blip r:embed="rId21"/>
                    <a:stretch>
                      <a:fillRect/>
                    </a:stretch>
                  </pic:blipFill>
                  <pic:spPr>
                    <a:xfrm>
                      <a:off x="0" y="0"/>
                      <a:ext cx="2229161" cy="438211"/>
                    </a:xfrm>
                    <a:prstGeom prst="rect">
                      <a:avLst/>
                    </a:prstGeom>
                  </pic:spPr>
                </pic:pic>
              </a:graphicData>
            </a:graphic>
          </wp:inline>
        </w:drawing>
      </w:r>
    </w:p>
    <w:p w14:paraId="6DAD4EC9" w14:textId="77777777" w:rsidR="00AC65FA" w:rsidRDefault="00AC65FA" w:rsidP="001070F2">
      <w:pPr>
        <w:jc w:val="both"/>
      </w:pPr>
    </w:p>
    <w:p w14:paraId="1F0DDF65" w14:textId="77777777" w:rsidR="00AC65FA" w:rsidRDefault="00AC65FA" w:rsidP="001070F2">
      <w:pPr>
        <w:jc w:val="both"/>
      </w:pPr>
    </w:p>
    <w:p w14:paraId="2CCE85A9" w14:textId="28AB2099" w:rsidR="006E06DE" w:rsidRDefault="000C5A3E" w:rsidP="006807A8">
      <w:pPr>
        <w:jc w:val="both"/>
      </w:pPr>
      <w:r w:rsidRPr="000C5A3E">
        <w:lastRenderedPageBreak/>
        <w:drawing>
          <wp:inline distT="0" distB="0" distL="0" distR="0" wp14:anchorId="480E6805" wp14:editId="5D0F532E">
            <wp:extent cx="7713980" cy="6019800"/>
            <wp:effectExtent l="0" t="0" r="1270" b="0"/>
            <wp:docPr id="28772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27871" name=""/>
                    <pic:cNvPicPr/>
                  </pic:nvPicPr>
                  <pic:blipFill>
                    <a:blip r:embed="rId22"/>
                    <a:stretch>
                      <a:fillRect/>
                    </a:stretch>
                  </pic:blipFill>
                  <pic:spPr>
                    <a:xfrm>
                      <a:off x="0" y="0"/>
                      <a:ext cx="7713980" cy="6019800"/>
                    </a:xfrm>
                    <a:prstGeom prst="rect">
                      <a:avLst/>
                    </a:prstGeom>
                  </pic:spPr>
                </pic:pic>
              </a:graphicData>
            </a:graphic>
          </wp:inline>
        </w:drawing>
      </w:r>
    </w:p>
    <w:p w14:paraId="7CE5E948" w14:textId="77777777" w:rsidR="0025612A" w:rsidRDefault="0025612A" w:rsidP="006807A8">
      <w:pPr>
        <w:jc w:val="both"/>
        <w:sectPr w:rsidR="0025612A" w:rsidSect="00565B9B">
          <w:pgSz w:w="15840" w:h="12240" w:orient="landscape"/>
          <w:pgMar w:top="900" w:right="720" w:bottom="990" w:left="540" w:header="720" w:footer="270" w:gutter="0"/>
          <w:cols w:space="720"/>
          <w:docGrid w:linePitch="360"/>
        </w:sectPr>
      </w:pPr>
    </w:p>
    <w:p w14:paraId="349F3238" w14:textId="0FA29519" w:rsidR="00AC65FA" w:rsidRPr="005C15B5" w:rsidRDefault="00AC65FA" w:rsidP="006807A8">
      <w:pPr>
        <w:jc w:val="both"/>
        <w:rPr>
          <w:b/>
          <w:bCs/>
        </w:rPr>
      </w:pPr>
      <w:r w:rsidRPr="005C15B5">
        <w:rPr>
          <w:b/>
          <w:bCs/>
        </w:rPr>
        <w:lastRenderedPageBreak/>
        <w:t>Findings</w:t>
      </w:r>
      <w:r w:rsidR="005C15B5" w:rsidRPr="005C15B5">
        <w:rPr>
          <w:b/>
          <w:bCs/>
        </w:rPr>
        <w:t xml:space="preserve"> and Interpretation:</w:t>
      </w:r>
    </w:p>
    <w:p w14:paraId="566F166D" w14:textId="215406E2" w:rsidR="005C15B5" w:rsidRPr="00E02F21" w:rsidRDefault="005C15B5" w:rsidP="005C15B5">
      <w:pPr>
        <w:jc w:val="both"/>
      </w:pPr>
      <w:r w:rsidRPr="005C15B5">
        <w:rPr>
          <w:b/>
          <w:bCs/>
        </w:rPr>
        <w:t>T</w:t>
      </w:r>
      <w:r w:rsidRPr="005C15B5">
        <w:rPr>
          <w:b/>
          <w:bCs/>
        </w:rPr>
        <w:t xml:space="preserve">rend </w:t>
      </w:r>
      <w:r w:rsidRPr="005C15B5">
        <w:rPr>
          <w:b/>
          <w:bCs/>
        </w:rPr>
        <w:t>and S</w:t>
      </w:r>
      <w:r w:rsidRPr="005C15B5">
        <w:rPr>
          <w:b/>
          <w:bCs/>
        </w:rPr>
        <w:t>easonality</w:t>
      </w:r>
      <w:r>
        <w:t xml:space="preserve">: </w:t>
      </w:r>
      <w:r w:rsidRPr="00E02F21">
        <w:t>There is a visible and significant up-trend a</w:t>
      </w:r>
      <w:r>
        <w:t xml:space="preserve">s well as </w:t>
      </w:r>
      <w:r w:rsidRPr="00E02F21">
        <w:t>seasonality in the</w:t>
      </w:r>
      <w:r>
        <w:t xml:space="preserve"> NVDIA stock prices</w:t>
      </w:r>
      <w:r w:rsidRPr="00E02F21">
        <w:t xml:space="preserve"> data. </w:t>
      </w:r>
    </w:p>
    <w:p w14:paraId="7EBC32AE" w14:textId="11AAC067" w:rsidR="005C15B5" w:rsidRDefault="005C15B5" w:rsidP="005C15B5">
      <w:pPr>
        <w:jc w:val="both"/>
      </w:pPr>
      <w:r w:rsidRPr="005C15B5">
        <w:rPr>
          <w:b/>
          <w:bCs/>
        </w:rPr>
        <w:t>Autocorrelation</w:t>
      </w:r>
      <w:r>
        <w:t xml:space="preserve">: </w:t>
      </w:r>
      <w:r w:rsidRPr="00E02F21">
        <w:t>Positive value of the Durbin – Watson test</w:t>
      </w:r>
      <w:r>
        <w:t xml:space="preserve"> (0.73)</w:t>
      </w:r>
      <w:r w:rsidRPr="00E02F21">
        <w:t xml:space="preserve"> indicates positive autocorrelation present suggesting that past values may influence future values in a positive manner. </w:t>
      </w:r>
    </w:p>
    <w:p w14:paraId="14F12A4F" w14:textId="03A2D83A" w:rsidR="005C15B5" w:rsidRPr="00E02F21" w:rsidRDefault="005C15B5" w:rsidP="005C15B5">
      <w:pPr>
        <w:jc w:val="both"/>
      </w:pPr>
      <w:r w:rsidRPr="0025612A">
        <w:rPr>
          <w:b/>
          <w:bCs/>
        </w:rPr>
        <w:t>Stationarity</w:t>
      </w:r>
      <w:r>
        <w:t xml:space="preserve">: </w:t>
      </w:r>
      <w:r w:rsidRPr="00E02F21">
        <w:t xml:space="preserve">Significant spikes </w:t>
      </w:r>
      <w:r>
        <w:t xml:space="preserve">were observed </w:t>
      </w:r>
      <w:r w:rsidRPr="00E02F21">
        <w:t xml:space="preserve">in </w:t>
      </w:r>
      <w:r>
        <w:t>the a</w:t>
      </w:r>
      <w:r w:rsidRPr="00E02F21">
        <w:t xml:space="preserve">utocorrelation </w:t>
      </w:r>
      <w:r>
        <w:t>p</w:t>
      </w:r>
      <w:r w:rsidRPr="00E02F21">
        <w:t xml:space="preserve">lot </w:t>
      </w:r>
      <w:r>
        <w:t>of</w:t>
      </w:r>
      <w:r w:rsidRPr="00E02F21">
        <w:t xml:space="preserve"> </w:t>
      </w:r>
      <w:r>
        <w:t>r</w:t>
      </w:r>
      <w:r w:rsidRPr="00E02F21">
        <w:t>esiduals at various lags suggest that there may still be patterns in the residuals that are not captured by the trend and seasonal components hence non-stationarity.</w:t>
      </w:r>
      <w:r>
        <w:t xml:space="preserve"> This confirmed by the Augmented Dickey-Fuller (ADF) test for stationarity (statistic = </w:t>
      </w:r>
      <w:r w:rsidR="0025612A">
        <w:t>3.65</w:t>
      </w:r>
      <w:r>
        <w:t>; p-value &gt; 0.05).</w:t>
      </w:r>
    </w:p>
    <w:p w14:paraId="4BE99B5C" w14:textId="0B9A5746" w:rsidR="00AC65FA" w:rsidRDefault="0025612A" w:rsidP="00AC65FA">
      <w:pPr>
        <w:jc w:val="both"/>
      </w:pPr>
      <w:r w:rsidRPr="006807A8">
        <w:rPr>
          <w:b/>
          <w:bCs/>
        </w:rPr>
        <w:t>Model Evaluation</w:t>
      </w:r>
      <w:r>
        <w:rPr>
          <w:b/>
          <w:bCs/>
        </w:rPr>
        <w:t>/goodness of fit</w:t>
      </w:r>
      <w:r>
        <w:rPr>
          <w:b/>
          <w:bCs/>
        </w:rPr>
        <w:t xml:space="preserve">: </w:t>
      </w:r>
      <w:r w:rsidR="00AC65FA">
        <w:t>The Mean Absolute Error (MAE) of 18.74 indicates that, on average, the forecasts are off by approximately 18.74 units from the actual values.</w:t>
      </w:r>
      <w:r>
        <w:t xml:space="preserve"> </w:t>
      </w:r>
      <w:r w:rsidR="00AC65FA">
        <w:t xml:space="preserve">Since RMSE involves squaring the errors before taking the square root, it tends to penalize larger errors more heavily than MAE. </w:t>
      </w:r>
      <w:r>
        <w:t xml:space="preserve"> </w:t>
      </w:r>
      <w:r w:rsidR="00AC65FA">
        <w:t>The RMSE value of 27.29 means that, on average, the forecasts deviate</w:t>
      </w:r>
      <w:r>
        <w:t>d</w:t>
      </w:r>
      <w:r w:rsidR="00AC65FA">
        <w:t xml:space="preserve"> from the actual values by approximately 27.29 units.</w:t>
      </w:r>
    </w:p>
    <w:p w14:paraId="2CC3D8C8" w14:textId="77777777" w:rsidR="00AC65FA" w:rsidRDefault="00AC65FA" w:rsidP="006807A8">
      <w:pPr>
        <w:jc w:val="both"/>
      </w:pPr>
    </w:p>
    <w:p w14:paraId="1E132A95" w14:textId="540E92ED" w:rsidR="00AC65FA" w:rsidRDefault="0025612A" w:rsidP="006807A8">
      <w:pPr>
        <w:jc w:val="both"/>
      </w:pPr>
      <w:r>
        <w:rPr>
          <w:b/>
          <w:bCs/>
        </w:rPr>
        <w:t>What could have caused the sudden upward spike in the stock price?</w:t>
      </w:r>
    </w:p>
    <w:p w14:paraId="1EFFE6FF" w14:textId="550D5E42" w:rsidR="007112E3" w:rsidRDefault="007112E3" w:rsidP="006807A8">
      <w:pPr>
        <w:jc w:val="both"/>
      </w:pPr>
      <w:r>
        <w:t xml:space="preserve">The explanation for the spike after crossing over the forecast line </w:t>
      </w:r>
      <w:r w:rsidR="0025612A">
        <w:t xml:space="preserve">after </w:t>
      </w:r>
      <w:r>
        <w:t xml:space="preserve">the second </w:t>
      </w:r>
      <w:r w:rsidR="0025612A">
        <w:t>attempt</w:t>
      </w:r>
      <w:r>
        <w:t xml:space="preserve"> may be attributed to </w:t>
      </w:r>
      <w:r w:rsidR="00526D3E">
        <w:t>strong earnings reports</w:t>
      </w:r>
      <w:r w:rsidR="0025612A">
        <w:t xml:space="preserve"> (economic data)</w:t>
      </w:r>
      <w:r w:rsidR="00526D3E">
        <w:t xml:space="preserve">, </w:t>
      </w:r>
      <w:r>
        <w:t xml:space="preserve">the CHIPS and Science Act signed into law by the president </w:t>
      </w:r>
      <w:r w:rsidR="00526D3E">
        <w:t xml:space="preserve">(news) </w:t>
      </w:r>
      <w:r>
        <w:t xml:space="preserve">that acted as a catalyst for semi-conductor </w:t>
      </w:r>
      <w:r w:rsidR="0025612A">
        <w:t xml:space="preserve">industrial group </w:t>
      </w:r>
      <w:r>
        <w:t xml:space="preserve">stocks and </w:t>
      </w:r>
      <w:r w:rsidR="0025612A">
        <w:t xml:space="preserve">also </w:t>
      </w:r>
      <w:r>
        <w:t>to the break-out of the formed “cup” (consolidation phase) of the famous “</w:t>
      </w:r>
      <w:r w:rsidRPr="00655DD7">
        <w:t>Cup and Handle</w:t>
      </w:r>
      <w:r>
        <w:t xml:space="preserve">” technical </w:t>
      </w:r>
      <w:r w:rsidRPr="00655DD7">
        <w:t>pattern</w:t>
      </w:r>
      <w:r>
        <w:t xml:space="preserve">. </w:t>
      </w:r>
      <w:r w:rsidR="0025612A">
        <w:t>Furthermore</w:t>
      </w:r>
      <w:r>
        <w:t xml:space="preserve">, the markets tend to favor the leading stocks of every </w:t>
      </w:r>
      <w:r w:rsidR="0025612A">
        <w:t>sector/</w:t>
      </w:r>
      <w:r>
        <w:t>industrial group and NVDA le</w:t>
      </w:r>
      <w:r w:rsidR="0025612A">
        <w:t>d</w:t>
      </w:r>
      <w:r>
        <w:t xml:space="preserve"> the semi-conductors.</w:t>
      </w:r>
    </w:p>
    <w:p w14:paraId="1B781304" w14:textId="77777777" w:rsidR="007112E3" w:rsidRDefault="007112E3" w:rsidP="006807A8">
      <w:pPr>
        <w:jc w:val="both"/>
        <w:rPr>
          <w:b/>
          <w:bCs/>
        </w:rPr>
      </w:pPr>
    </w:p>
    <w:p w14:paraId="4F53D005" w14:textId="7CCC1DD5" w:rsidR="00EE7BB4" w:rsidRPr="00EE7BB4" w:rsidRDefault="00EE7BB4" w:rsidP="006807A8">
      <w:pPr>
        <w:jc w:val="both"/>
        <w:rPr>
          <w:b/>
          <w:bCs/>
        </w:rPr>
      </w:pPr>
      <w:r w:rsidRPr="00EE7BB4">
        <w:rPr>
          <w:b/>
          <w:bCs/>
        </w:rPr>
        <w:t>The Cup and Handle pattern</w:t>
      </w:r>
      <w:r w:rsidR="00526D3E">
        <w:rPr>
          <w:b/>
          <w:bCs/>
        </w:rPr>
        <w:t>/strategy</w:t>
      </w:r>
    </w:p>
    <w:p w14:paraId="7FBFB931" w14:textId="759835A8" w:rsidR="000C5A3E" w:rsidRDefault="00EE7BB4" w:rsidP="006807A8">
      <w:pPr>
        <w:jc w:val="both"/>
      </w:pPr>
      <w:r w:rsidRPr="00655DD7">
        <w:t>The Cup and Handle pattern</w:t>
      </w:r>
      <w:r w:rsidR="00655DD7" w:rsidRPr="00655DD7">
        <w:t xml:space="preserve">, first </w:t>
      </w:r>
      <w:r w:rsidR="00655DD7" w:rsidRPr="00655DD7">
        <w:t>described by William J. O'Neil in his 1988 book on technical analysis, </w:t>
      </w:r>
      <w:r w:rsidR="007112E3">
        <w:t>‘</w:t>
      </w:r>
      <w:r w:rsidR="00655DD7" w:rsidRPr="00655DD7">
        <w:t>How to Make Money in Stocks</w:t>
      </w:r>
      <w:r w:rsidR="007112E3">
        <w:t>’</w:t>
      </w:r>
      <w:r w:rsidR="00655DD7" w:rsidRPr="00655DD7">
        <w:t>,</w:t>
      </w:r>
      <w:r w:rsidRPr="00655DD7">
        <w:t xml:space="preserve"> is </w:t>
      </w:r>
      <w:r w:rsidR="00655DD7" w:rsidRPr="00655DD7">
        <w:t>observed</w:t>
      </w:r>
      <w:r w:rsidR="00655DD7">
        <w:t xml:space="preserve"> in the NVDIA data. It is </w:t>
      </w:r>
      <w:r>
        <w:t>just one of many technical analysis tools used by traders to identify potential buying opportunities in stocks. As with any technical pattern, it's important to combine it with other forms of analysis and risk management techniques to make informed trading decisions. Additionally, patterns in trading are probabilistic, meaning they can fail or succeed, so risk management is crucial.</w:t>
      </w:r>
    </w:p>
    <w:p w14:paraId="4694712C" w14:textId="74775370" w:rsidR="00805C4F" w:rsidRDefault="00655DD7" w:rsidP="006807A8">
      <w:pPr>
        <w:jc w:val="both"/>
      </w:pPr>
      <w:r>
        <w:t xml:space="preserve">If </w:t>
      </w:r>
      <w:r>
        <w:t>a stock has been in an uptrend, followed by a period of consolidation where it forms a cup shape. During this phase, the volume decreases as the price moves lower and then starts to round up forming the cup. After the cup formation, there's a brief pullback forming a handle with lower volume. The breakout occurs when the price moves above the high of the handle, often accompanied by increased volume, signaling a potential bullish continuation.</w:t>
      </w:r>
    </w:p>
    <w:p w14:paraId="605604BA" w14:textId="28CBCBA9" w:rsidR="00655DD7" w:rsidRDefault="006F158A" w:rsidP="006807A8">
      <w:pPr>
        <w:jc w:val="both"/>
      </w:pPr>
      <w:r w:rsidRPr="006F158A">
        <w:drawing>
          <wp:inline distT="0" distB="0" distL="0" distR="0" wp14:anchorId="2D50CDD0" wp14:editId="35AB93FC">
            <wp:extent cx="6858000" cy="2059388"/>
            <wp:effectExtent l="0" t="0" r="0" b="0"/>
            <wp:docPr id="81201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17091" name=""/>
                    <pic:cNvPicPr/>
                  </pic:nvPicPr>
                  <pic:blipFill>
                    <a:blip r:embed="rId23"/>
                    <a:stretch>
                      <a:fillRect/>
                    </a:stretch>
                  </pic:blipFill>
                  <pic:spPr>
                    <a:xfrm>
                      <a:off x="0" y="0"/>
                      <a:ext cx="6866789" cy="2062027"/>
                    </a:xfrm>
                    <a:prstGeom prst="rect">
                      <a:avLst/>
                    </a:prstGeom>
                  </pic:spPr>
                </pic:pic>
              </a:graphicData>
            </a:graphic>
          </wp:inline>
        </w:drawing>
      </w:r>
    </w:p>
    <w:p w14:paraId="3F6E8DDB" w14:textId="173FC6E0" w:rsidR="00526D3E" w:rsidRDefault="00526D3E" w:rsidP="006807A8">
      <w:pPr>
        <w:jc w:val="both"/>
      </w:pPr>
      <w:r>
        <w:lastRenderedPageBreak/>
        <w:t xml:space="preserve">Markets are assumed to be efficient, hence </w:t>
      </w:r>
      <w:r>
        <w:t>The Efficient Market Hypothesis (EMH)</w:t>
      </w:r>
      <w:r>
        <w:t>, but human behavior and cognitive biases can lead to market inefficiencies, that invalidate</w:t>
      </w:r>
      <w:r w:rsidR="0011244F">
        <w:t xml:space="preserve"> </w:t>
      </w:r>
      <w:r>
        <w:t>forecasts/statistical models, such as overreaction or underreaction to news which can be exploited by skilled investors/traders.</w:t>
      </w:r>
    </w:p>
    <w:p w14:paraId="3B88E914" w14:textId="77777777" w:rsidR="0011244F" w:rsidRDefault="0011244F" w:rsidP="00B3226F">
      <w:pPr>
        <w:jc w:val="both"/>
        <w:rPr>
          <w:b/>
          <w:bCs/>
        </w:rPr>
      </w:pPr>
    </w:p>
    <w:p w14:paraId="50F3481E" w14:textId="78F71FB9" w:rsidR="00B3226F" w:rsidRPr="006807A8" w:rsidRDefault="00B3226F" w:rsidP="00B3226F">
      <w:pPr>
        <w:jc w:val="both"/>
        <w:rPr>
          <w:b/>
          <w:bCs/>
        </w:rPr>
      </w:pPr>
      <w:r w:rsidRPr="006807A8">
        <w:rPr>
          <w:b/>
          <w:bCs/>
        </w:rPr>
        <w:t>Consequences of Model Errors</w:t>
      </w:r>
    </w:p>
    <w:p w14:paraId="20227E44" w14:textId="77777777" w:rsidR="00B3226F" w:rsidRPr="007A62CC" w:rsidRDefault="00B3226F" w:rsidP="00B3226F">
      <w:pPr>
        <w:jc w:val="both"/>
      </w:pPr>
      <w:r w:rsidRPr="007A62CC">
        <w:t>The errors in the model, reflected in the residuals, have implications for forecasting NVIDIA stock prices:</w:t>
      </w:r>
    </w:p>
    <w:p w14:paraId="6652C899" w14:textId="77777777" w:rsidR="00B3226F" w:rsidRPr="007A62CC" w:rsidRDefault="00B3226F" w:rsidP="00B3226F">
      <w:pPr>
        <w:jc w:val="both"/>
      </w:pPr>
      <w:r w:rsidRPr="006807A8">
        <w:rPr>
          <w:b/>
          <w:bCs/>
        </w:rPr>
        <w:t>Forecast Reliability</w:t>
      </w:r>
      <w:r w:rsidRPr="007A62CC">
        <w:t>: High residual errors indicate potential challenges in accurately predicting future stock prices. This uncertainty can impact financial decisions and risk assessments based on the forecast.</w:t>
      </w:r>
    </w:p>
    <w:p w14:paraId="10E683E1" w14:textId="77777777" w:rsidR="00B3226F" w:rsidRPr="007A62CC" w:rsidRDefault="00B3226F" w:rsidP="00B3226F">
      <w:pPr>
        <w:jc w:val="both"/>
      </w:pPr>
      <w:r w:rsidRPr="006807A8">
        <w:rPr>
          <w:b/>
          <w:bCs/>
        </w:rPr>
        <w:t>Structural Insights</w:t>
      </w:r>
      <w:r w:rsidRPr="007A62CC">
        <w:t>: Persistent patterns or non-random behavior in residuals suggest that additional factors or variables may influence NVIDIA stock prices, beyond those accounted for in the current model. Exploring and incorporating such factors could improve forecast accuracy.</w:t>
      </w:r>
    </w:p>
    <w:p w14:paraId="765E1099" w14:textId="77777777" w:rsidR="00B3226F" w:rsidRDefault="00B3226F" w:rsidP="00B3226F">
      <w:pPr>
        <w:jc w:val="both"/>
        <w:rPr>
          <w:b/>
          <w:bCs/>
        </w:rPr>
      </w:pPr>
    </w:p>
    <w:p w14:paraId="11AFB0D3" w14:textId="77777777" w:rsidR="00B3226F" w:rsidRPr="006807A8" w:rsidRDefault="00B3226F" w:rsidP="00B3226F">
      <w:pPr>
        <w:jc w:val="both"/>
        <w:rPr>
          <w:b/>
          <w:bCs/>
        </w:rPr>
      </w:pPr>
      <w:r w:rsidRPr="006807A8">
        <w:rPr>
          <w:b/>
          <w:bCs/>
        </w:rPr>
        <w:t>Conclusion</w:t>
      </w:r>
    </w:p>
    <w:p w14:paraId="1C1F5038" w14:textId="77777777" w:rsidR="00B3226F" w:rsidRDefault="00B3226F" w:rsidP="00B3226F">
      <w:pPr>
        <w:jc w:val="both"/>
      </w:pPr>
      <w:r w:rsidRPr="007A62CC">
        <w:t>In conclusion, the seasonal and trend decomposition model provide</w:t>
      </w:r>
      <w:r>
        <w:t>d</w:t>
      </w:r>
      <w:r w:rsidRPr="007A62CC">
        <w:t xml:space="preserve"> valuable insights into the historical trends and patterns in NVIDIA stock prices. However, residual analysis indicates remaining uncertainty and potential for further model refinement. Continued monitoring and adjustment based on new data and insights will enhance the accuracy and reliability of future forecasts.</w:t>
      </w:r>
    </w:p>
    <w:p w14:paraId="0E627B43" w14:textId="77777777" w:rsidR="0011244F" w:rsidRDefault="0011244F" w:rsidP="0011244F">
      <w:pPr>
        <w:jc w:val="both"/>
      </w:pPr>
      <w:hyperlink r:id="rId24" w:history="1">
        <w:r>
          <w:rPr>
            <w:rStyle w:val="Hyperlink"/>
          </w:rPr>
          <w:t>Cup and Handle Pattern: How to Trade and Target with an Example (investopedia.com)</w:t>
        </w:r>
      </w:hyperlink>
    </w:p>
    <w:p w14:paraId="55873395" w14:textId="16F4C73B" w:rsidR="00BB0D7A" w:rsidRPr="00E02F21" w:rsidRDefault="0011244F" w:rsidP="006807A8">
      <w:pPr>
        <w:jc w:val="both"/>
      </w:pPr>
      <w:hyperlink r:id="rId25" w:anchor=":~:text=The%20efficient%20market%20hypothesis%20%28EMH%29%20or%20theory%20states,benefit%20from%20investing%20in%20a%20low-cost%2C%20passive%20portfolio." w:history="1">
        <w:r>
          <w:rPr>
            <w:rStyle w:val="Hyperlink"/>
          </w:rPr>
          <w:t>Efficient Market Hypothesis (EMH): Definition and Critique (investopedia.com)</w:t>
        </w:r>
      </w:hyperlink>
    </w:p>
    <w:sectPr w:rsidR="00BB0D7A" w:rsidRPr="00E02F21" w:rsidSect="00B3226F">
      <w:pgSz w:w="12240" w:h="15840"/>
      <w:pgMar w:top="720" w:right="990" w:bottom="540" w:left="90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9C586" w14:textId="77777777" w:rsidR="00E3799C" w:rsidRDefault="00E3799C" w:rsidP="00C27023">
      <w:pPr>
        <w:spacing w:after="0" w:line="240" w:lineRule="auto"/>
      </w:pPr>
      <w:r>
        <w:separator/>
      </w:r>
    </w:p>
  </w:endnote>
  <w:endnote w:type="continuationSeparator" w:id="0">
    <w:p w14:paraId="6859A2EA" w14:textId="77777777" w:rsidR="00E3799C" w:rsidRDefault="00E3799C" w:rsidP="00C2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6913133"/>
      <w:docPartObj>
        <w:docPartGallery w:val="Page Numbers (Bottom of Page)"/>
        <w:docPartUnique/>
      </w:docPartObj>
    </w:sdtPr>
    <w:sdtEndPr>
      <w:rPr>
        <w:noProof/>
      </w:rPr>
    </w:sdtEndPr>
    <w:sdtContent>
      <w:p w14:paraId="6046681D" w14:textId="55C2338E" w:rsidR="00C27023" w:rsidRDefault="00C27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C8755" w14:textId="77777777" w:rsidR="00C27023" w:rsidRDefault="00C27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56790" w14:textId="77777777" w:rsidR="00E3799C" w:rsidRDefault="00E3799C" w:rsidP="00C27023">
      <w:pPr>
        <w:spacing w:after="0" w:line="240" w:lineRule="auto"/>
      </w:pPr>
      <w:r>
        <w:separator/>
      </w:r>
    </w:p>
  </w:footnote>
  <w:footnote w:type="continuationSeparator" w:id="0">
    <w:p w14:paraId="3EDE6F35" w14:textId="77777777" w:rsidR="00E3799C" w:rsidRDefault="00E3799C" w:rsidP="00C27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1107"/>
    <w:multiLevelType w:val="multilevel"/>
    <w:tmpl w:val="EF5A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0137D"/>
    <w:multiLevelType w:val="multilevel"/>
    <w:tmpl w:val="A3C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D054F"/>
    <w:multiLevelType w:val="multilevel"/>
    <w:tmpl w:val="89B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064B"/>
    <w:multiLevelType w:val="multilevel"/>
    <w:tmpl w:val="325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A72CB"/>
    <w:multiLevelType w:val="hybridMultilevel"/>
    <w:tmpl w:val="3004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36114"/>
    <w:multiLevelType w:val="multilevel"/>
    <w:tmpl w:val="FA4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11366">
    <w:abstractNumId w:val="5"/>
  </w:num>
  <w:num w:numId="2" w16cid:durableId="974217077">
    <w:abstractNumId w:val="4"/>
  </w:num>
  <w:num w:numId="3" w16cid:durableId="1909263900">
    <w:abstractNumId w:val="3"/>
  </w:num>
  <w:num w:numId="4" w16cid:durableId="1139498690">
    <w:abstractNumId w:val="0"/>
  </w:num>
  <w:num w:numId="5" w16cid:durableId="943541393">
    <w:abstractNumId w:val="1"/>
  </w:num>
  <w:num w:numId="6" w16cid:durableId="46396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01"/>
    <w:rsid w:val="000C5A3E"/>
    <w:rsid w:val="001070F2"/>
    <w:rsid w:val="0011244F"/>
    <w:rsid w:val="00114FD2"/>
    <w:rsid w:val="00131CE0"/>
    <w:rsid w:val="001477DC"/>
    <w:rsid w:val="001E5FA6"/>
    <w:rsid w:val="0025126C"/>
    <w:rsid w:val="0025612A"/>
    <w:rsid w:val="002562AA"/>
    <w:rsid w:val="00341816"/>
    <w:rsid w:val="003620B3"/>
    <w:rsid w:val="003A02BD"/>
    <w:rsid w:val="003F2FD4"/>
    <w:rsid w:val="004A0CC6"/>
    <w:rsid w:val="004E6865"/>
    <w:rsid w:val="005018F1"/>
    <w:rsid w:val="00504179"/>
    <w:rsid w:val="00526D3E"/>
    <w:rsid w:val="00530FAA"/>
    <w:rsid w:val="005376D7"/>
    <w:rsid w:val="00555017"/>
    <w:rsid w:val="00565B9B"/>
    <w:rsid w:val="005C15B5"/>
    <w:rsid w:val="00606997"/>
    <w:rsid w:val="00640143"/>
    <w:rsid w:val="00655DD7"/>
    <w:rsid w:val="00663750"/>
    <w:rsid w:val="006807A8"/>
    <w:rsid w:val="006E06DE"/>
    <w:rsid w:val="006F158A"/>
    <w:rsid w:val="007112E3"/>
    <w:rsid w:val="007A62CC"/>
    <w:rsid w:val="00805C4F"/>
    <w:rsid w:val="00807A98"/>
    <w:rsid w:val="00957F41"/>
    <w:rsid w:val="009A78F4"/>
    <w:rsid w:val="009B5151"/>
    <w:rsid w:val="009E0378"/>
    <w:rsid w:val="009E2E9A"/>
    <w:rsid w:val="009E340B"/>
    <w:rsid w:val="00A77867"/>
    <w:rsid w:val="00A87358"/>
    <w:rsid w:val="00A9314E"/>
    <w:rsid w:val="00AC65FA"/>
    <w:rsid w:val="00AD2D50"/>
    <w:rsid w:val="00B15DA1"/>
    <w:rsid w:val="00B3226F"/>
    <w:rsid w:val="00B602B7"/>
    <w:rsid w:val="00BA26A9"/>
    <w:rsid w:val="00BB0D7A"/>
    <w:rsid w:val="00BC0701"/>
    <w:rsid w:val="00C27023"/>
    <w:rsid w:val="00C37986"/>
    <w:rsid w:val="00D14AEB"/>
    <w:rsid w:val="00D530FB"/>
    <w:rsid w:val="00D85B05"/>
    <w:rsid w:val="00D92764"/>
    <w:rsid w:val="00E02F21"/>
    <w:rsid w:val="00E3799C"/>
    <w:rsid w:val="00EE7BB4"/>
    <w:rsid w:val="00F076B4"/>
    <w:rsid w:val="00F07AAF"/>
    <w:rsid w:val="00F33FA5"/>
    <w:rsid w:val="00F3724C"/>
    <w:rsid w:val="00F8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EA255"/>
  <w15:chartTrackingRefBased/>
  <w15:docId w15:val="{0206CADD-F0EA-4B75-8EE0-254F9965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62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A62C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0701"/>
    <w:rPr>
      <w:b/>
      <w:bCs/>
    </w:rPr>
  </w:style>
  <w:style w:type="character" w:styleId="HTMLCode">
    <w:name w:val="HTML Code"/>
    <w:basedOn w:val="DefaultParagraphFont"/>
    <w:uiPriority w:val="99"/>
    <w:semiHidden/>
    <w:unhideWhenUsed/>
    <w:rsid w:val="00BC0701"/>
    <w:rPr>
      <w:rFonts w:ascii="Courier New" w:eastAsia="Times New Roman" w:hAnsi="Courier New" w:cs="Courier New"/>
      <w:sz w:val="20"/>
      <w:szCs w:val="20"/>
    </w:rPr>
  </w:style>
  <w:style w:type="paragraph" w:styleId="ListParagraph">
    <w:name w:val="List Paragraph"/>
    <w:basedOn w:val="Normal"/>
    <w:uiPriority w:val="34"/>
    <w:qFormat/>
    <w:rsid w:val="00BC0701"/>
    <w:pPr>
      <w:ind w:left="720"/>
      <w:contextualSpacing/>
    </w:pPr>
  </w:style>
  <w:style w:type="paragraph" w:styleId="Header">
    <w:name w:val="header"/>
    <w:basedOn w:val="Normal"/>
    <w:link w:val="HeaderChar"/>
    <w:uiPriority w:val="99"/>
    <w:unhideWhenUsed/>
    <w:rsid w:val="00C27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23"/>
  </w:style>
  <w:style w:type="paragraph" w:styleId="Footer">
    <w:name w:val="footer"/>
    <w:basedOn w:val="Normal"/>
    <w:link w:val="FooterChar"/>
    <w:uiPriority w:val="99"/>
    <w:unhideWhenUsed/>
    <w:rsid w:val="00C27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23"/>
  </w:style>
  <w:style w:type="character" w:customStyle="1" w:styleId="katex-mathml">
    <w:name w:val="katex-mathml"/>
    <w:basedOn w:val="DefaultParagraphFont"/>
    <w:rsid w:val="00D14AEB"/>
  </w:style>
  <w:style w:type="character" w:customStyle="1" w:styleId="mord">
    <w:name w:val="mord"/>
    <w:basedOn w:val="DefaultParagraphFont"/>
    <w:rsid w:val="00D14AEB"/>
  </w:style>
  <w:style w:type="character" w:customStyle="1" w:styleId="Heading3Char">
    <w:name w:val="Heading 3 Char"/>
    <w:basedOn w:val="DefaultParagraphFont"/>
    <w:link w:val="Heading3"/>
    <w:uiPriority w:val="9"/>
    <w:rsid w:val="007A62C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A62CC"/>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3F2FD4"/>
    <w:rPr>
      <w:color w:val="0000FF"/>
      <w:u w:val="single"/>
    </w:rPr>
  </w:style>
  <w:style w:type="character" w:styleId="Emphasis">
    <w:name w:val="Emphasis"/>
    <w:basedOn w:val="DefaultParagraphFont"/>
    <w:uiPriority w:val="20"/>
    <w:qFormat/>
    <w:rsid w:val="00655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47559">
      <w:bodyDiv w:val="1"/>
      <w:marLeft w:val="0"/>
      <w:marRight w:val="0"/>
      <w:marTop w:val="0"/>
      <w:marBottom w:val="0"/>
      <w:divBdr>
        <w:top w:val="none" w:sz="0" w:space="0" w:color="auto"/>
        <w:left w:val="none" w:sz="0" w:space="0" w:color="auto"/>
        <w:bottom w:val="none" w:sz="0" w:space="0" w:color="auto"/>
        <w:right w:val="none" w:sz="0" w:space="0" w:color="auto"/>
      </w:divBdr>
    </w:div>
    <w:div w:id="1927373864">
      <w:bodyDiv w:val="1"/>
      <w:marLeft w:val="0"/>
      <w:marRight w:val="0"/>
      <w:marTop w:val="0"/>
      <w:marBottom w:val="0"/>
      <w:divBdr>
        <w:top w:val="none" w:sz="0" w:space="0" w:color="auto"/>
        <w:left w:val="none" w:sz="0" w:space="0" w:color="auto"/>
        <w:bottom w:val="none" w:sz="0" w:space="0" w:color="auto"/>
        <w:right w:val="none" w:sz="0" w:space="0" w:color="auto"/>
      </w:divBdr>
    </w:div>
    <w:div w:id="214002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stocks/charts/NVDA/nvidia/stock-price-histor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vestopedia.com/terms/e/efficientmarkethypothesis.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nvestopedia.com/terms/c/cupandhandle.as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EAE3-C316-4AF0-83BB-21352867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10</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35</cp:revision>
  <dcterms:created xsi:type="dcterms:W3CDTF">2024-06-29T07:48:00Z</dcterms:created>
  <dcterms:modified xsi:type="dcterms:W3CDTF">2024-06-29T19:23:00Z</dcterms:modified>
</cp:coreProperties>
</file>