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100"/>
        <w:jc w:val="center"/>
      </w:pPr>
      <w:r>
        <w:rPr>
          <w:rFonts w:ascii="Arial" w:cs="Arial" w:eastAsia="Arial" w:hAnsi="Arial"/>
          <w:b/>
          <w:bCs/>
          <w:color w:val="AAAAAA"/>
          <w:sz w:val="20"/>
          <w:szCs w:val="20"/>
        </w:rPr>
        <w:t xml:space="preserve">CENTRALE CASABLANCA  —  CODING WEEK  —  MARS 2026</w:t>
      </w:r>
    </w:p>
    <w:p>
      <w:pPr>
        <w:spacing w:before="0" w:after="80"/>
      </w:pPr>
      <w:r>
        <w:t xml:space="preserve"/>
      </w:r>
    </w:p>
    <w:p>
      <w:pPr>
        <w:pBdr>
          <w:top w:val="single" w:color="7B2D8B" w:sz="8" w:space="8"/>
          <w:bottom w:val="single" w:color="7B2D8B" w:sz="8" w:space="8"/>
        </w:pBdr>
        <w:spacing w:before="100" w:after="100"/>
        <w:jc w:val="center"/>
      </w:pPr>
      <w:r>
        <w:rPr>
          <w:rFonts w:ascii="Arial" w:cs="Arial" w:eastAsia="Arial" w:hAnsi="Arial"/>
          <w:b/>
          <w:bCs/>
          <w:color w:val="7B2D8B"/>
          <w:sz w:val="38"/>
          <w:szCs w:val="38"/>
        </w:rPr>
        <w:t xml:space="preserve">PROJET 5 : APPLICATION DE SOUTIEN</w:t>
      </w:r>
    </w:p>
    <w:p>
      <w:pPr>
        <w:spacing w:before="60" w:after="60"/>
        <w:jc w:val="center"/>
      </w:pPr>
      <w:r>
        <w:rPr>
          <w:rFonts w:ascii="Arial" w:cs="Arial" w:eastAsia="Arial" w:hAnsi="Arial"/>
          <w:b/>
          <w:bCs/>
          <w:color w:val="7B2D8B"/>
          <w:sz w:val="38"/>
          <w:szCs w:val="38"/>
        </w:rPr>
        <w:t xml:space="preserve">À LA DÉCISION MÉDICALE</w:t>
      </w:r>
    </w:p>
    <w:p>
      <w:pPr>
        <w:spacing w:before="0" w:after="80"/>
      </w:pPr>
      <w:r>
        <w:t xml:space="preserve"/>
      </w:r>
    </w:p>
    <w:p>
      <w:pPr>
        <w:jc w:val="center"/>
      </w:pPr>
      <w:r>
        <w:rPr>
          <w:rFonts w:ascii="Arial" w:cs="Arial" w:eastAsia="Arial" w:hAnsi="Arial"/>
          <w:b/>
          <w:bCs/>
          <w:color w:val="2E75B6"/>
          <w:sz w:val="26"/>
          <w:szCs w:val="26"/>
        </w:rPr>
        <w:t xml:space="preserve">Diagnostic de l'Appendicite Pédiatrique avec ML Explicable (SHAP)</w:t>
      </w:r>
    </w:p>
    <w:p>
      <w:pPr>
        <w:spacing w:before="0" w:after="160"/>
      </w:pPr>
      <w:r>
        <w:t xml:space="preserve"/>
      </w:r>
    </w:p>
    <w:p>
      <w:pPr>
        <w:jc w:val="center"/>
      </w:pPr>
      <w:r>
        <w:rPr>
          <w:rFonts w:ascii="Arial" w:cs="Arial" w:eastAsia="Arial" w:hAnsi="Arial"/>
          <w:b/>
          <w:bCs/>
          <w:color w:val="555555"/>
          <w:sz w:val="28"/>
          <w:szCs w:val="28"/>
        </w:rPr>
        <w:t xml:space="preserve">ANALYSE PRÉLIMINAIRE DES DONNÉES</w:t>
      </w:r>
    </w:p>
    <w:p>
      <w:pPr>
        <w:spacing w:before="0" w:after="240"/>
      </w:pPr>
      <w:r>
        <w:t xml:space="preserve"/>
      </w:r>
    </w:p>
    <w:p>
      <w:pPr>
        <w:spacing w:before="120" w:after="60"/>
        <w:jc w:val="center"/>
      </w:pPr>
      <w:r>
        <w:rPr>
          <w:rFonts w:ascii="Arial" w:cs="Arial" w:eastAsia="Arial" w:hAnsi="Arial"/>
          <w:color w:val="888888"/>
          <w:sz w:val="22"/>
          <w:szCs w:val="22"/>
        </w:rPr>
        <w:t xml:space="preserve">Réalisé par :</w:t>
      </w:r>
    </w:p>
    <w:p>
      <w:pPr>
        <w:spacing w:before="40" w:after="40"/>
        <w:jc w:val="center"/>
      </w:pPr>
      <w:r>
        <w:rPr>
          <w:rFonts w:ascii="Arial" w:cs="Arial" w:eastAsia="Arial" w:hAnsi="Arial"/>
          <w:b/>
          <w:bCs/>
          <w:color w:val="333333"/>
          <w:sz w:val="24"/>
          <w:szCs w:val="24"/>
        </w:rPr>
        <w:t xml:space="preserve">BONZOU Ange Sarah</w:t>
      </w:r>
    </w:p>
    <w:p>
      <w:pPr>
        <w:spacing w:before="40" w:after="40"/>
        <w:jc w:val="center"/>
      </w:pPr>
      <w:r>
        <w:rPr>
          <w:rFonts w:ascii="Arial" w:cs="Arial" w:eastAsia="Arial" w:hAnsi="Arial"/>
          <w:b/>
          <w:bCs/>
          <w:color w:val="333333"/>
          <w:sz w:val="24"/>
          <w:szCs w:val="24"/>
        </w:rPr>
        <w:t xml:space="preserve">DIALLO Nassirou Amadou Oumar</w:t>
      </w:r>
    </w:p>
    <w:p>
      <w:pPr>
        <w:spacing w:before="0" w:after="160"/>
      </w:pPr>
      <w:r>
        <w:t xml:space="preserve"/>
      </w:r>
    </w:p>
    <w:p>
      <w:pPr>
        <w:jc w:val="center"/>
      </w:pPr>
      <w:r>
        <w:rPr>
          <w:rFonts w:ascii="Arial" w:cs="Arial" w:eastAsia="Arial" w:hAnsi="Arial"/>
          <w:color w:val="999999"/>
          <w:sz w:val="22"/>
          <w:szCs w:val="22"/>
        </w:rPr>
        <w:t xml:space="preserve">Mars 2026</w:t>
      </w:r>
    </w:p>
    <w:p>
      <w:r>
        <w:br w:type="page"/>
      </w:r>
    </w:p>
    <w:p>
      <w:pPr>
        <w:pStyle w:val="Heading1"/>
        <w:spacing w:before="200" w:after="200"/>
      </w:pPr>
      <w:r>
        <w:rPr>
          <w:rFonts w:ascii="Arial" w:cs="Arial" w:eastAsia="Arial" w:hAnsi="Arial"/>
          <w:b/>
          <w:bCs/>
          <w:color w:val="7B2D8B"/>
          <w:sz w:val="30"/>
          <w:szCs w:val="30"/>
        </w:rPr>
        <w:t xml:space="preserve">SOMMAIRE</w:t>
      </w:r>
    </w:p>
    <w:p>
      <w:pPr>
        <w:spacing w:before="80" w:after="80"/>
      </w:pPr>
      <w:r>
        <w:rPr>
          <w:rFonts w:ascii="Arial" w:cs="Arial" w:eastAsia="Arial" w:hAnsi="Arial"/>
          <w:color w:val="333333"/>
          <w:sz w:val="22"/>
          <w:szCs w:val="22"/>
        </w:rPr>
        <w:t xml:space="preserve">1.  Introduction</w:t>
      </w:r>
    </w:p>
    <w:p>
      <w:pPr>
        <w:spacing w:before="80" w:after="80"/>
      </w:pPr>
      <w:r>
        <w:rPr>
          <w:rFonts w:ascii="Arial" w:cs="Arial" w:eastAsia="Arial" w:hAnsi="Arial"/>
          <w:color w:val="333333"/>
          <w:sz w:val="22"/>
          <w:szCs w:val="22"/>
        </w:rPr>
        <w:t xml:space="preserve">2.  Valeurs manquantes</w:t>
      </w:r>
    </w:p>
    <w:p>
      <w:pPr>
        <w:spacing w:before="80" w:after="80"/>
      </w:pPr>
      <w:r>
        <w:rPr>
          <w:rFonts w:ascii="Arial" w:cs="Arial" w:eastAsia="Arial" w:hAnsi="Arial"/>
          <w:color w:val="333333"/>
          <w:sz w:val="22"/>
          <w:szCs w:val="22"/>
        </w:rPr>
        <w:t xml:space="preserve">3.  Valeurs aberrantes</w:t>
      </w:r>
    </w:p>
    <w:p>
      <w:pPr>
        <w:spacing w:before="80" w:after="80"/>
      </w:pPr>
      <w:r>
        <w:rPr>
          <w:rFonts w:ascii="Arial" w:cs="Arial" w:eastAsia="Arial" w:hAnsi="Arial"/>
          <w:color w:val="333333"/>
          <w:sz w:val="22"/>
          <w:szCs w:val="22"/>
        </w:rPr>
        <w:t xml:space="preserve">4.  Déséquilibre des classes</w:t>
      </w:r>
    </w:p>
    <w:p>
      <w:pPr>
        <w:spacing w:before="80" w:after="80"/>
      </w:pPr>
      <w:r>
        <w:rPr>
          <w:rFonts w:ascii="Arial" w:cs="Arial" w:eastAsia="Arial" w:hAnsi="Arial"/>
          <w:color w:val="333333"/>
          <w:sz w:val="22"/>
          <w:szCs w:val="22"/>
        </w:rPr>
        <w:t xml:space="preserve">5.  Corrélation</w:t>
      </w:r>
    </w:p>
    <w:p>
      <w:pPr>
        <w:spacing w:before="80" w:after="80"/>
      </w:pPr>
      <w:r>
        <w:rPr>
          <w:rFonts w:ascii="Arial" w:cs="Arial" w:eastAsia="Arial" w:hAnsi="Arial"/>
          <w:color w:val="333333"/>
          <w:sz w:val="22"/>
          <w:szCs w:val="22"/>
        </w:rPr>
        <w:t xml:space="preserve">6.  Prompt Engineering</w:t>
      </w:r>
    </w:p>
    <w:p>
      <w:r>
        <w:br w:type="page"/>
      </w:r>
    </w:p>
    <w:p>
      <w:pPr>
        <w:pStyle w:val="Heading1"/>
        <w:pBdr>
          <w:bottom w:val="single" w:color="7B2D8B" w:sz="8" w:space="6"/>
        </w:pBdr>
        <w:spacing w:before="400" w:after="180"/>
      </w:pPr>
      <w:r>
        <w:rPr>
          <w:rFonts w:ascii="Arial" w:cs="Arial" w:eastAsia="Arial" w:hAnsi="Arial"/>
          <w:b/>
          <w:bCs/>
          <w:color w:val="7B2D8B"/>
          <w:sz w:val="30"/>
          <w:szCs w:val="30"/>
        </w:rPr>
        <w:t xml:space="preserve">1. Introduction</w:t>
      </w:r>
    </w:p>
    <w:p>
      <w:pPr>
        <w:spacing w:before="80" w:after="80"/>
        <w:jc w:val="both"/>
      </w:pPr>
      <w:r>
        <w:rPr>
          <w:rFonts w:ascii="Arial" w:cs="Arial" w:eastAsia="Arial" w:hAnsi="Arial"/>
          <w:color w:val="333333"/>
          <w:sz w:val="22"/>
          <w:szCs w:val="22"/>
        </w:rPr>
        <w:t xml:space="preserve">Avant toute modélisation, une compréhension approfondie du dataset est indispensable. Cette première partie couvre l'ensemble du travail d'analyse exploratoire et de préparation des données, depuis l'inspection brute du dataset jusqu'au traitement des corrélations entre variables.</w:t>
      </w:r>
    </w:p>
    <w:p>
      <w:pPr>
        <w:spacing w:before="0" w:after="80"/>
      </w:pPr>
      <w:r>
        <w:t xml:space="preserve"/>
      </w:r>
    </w:p>
    <w:p>
      <w:pPr>
        <w:spacing w:before="80" w:after="80"/>
        <w:jc w:val="both"/>
      </w:pPr>
      <w:r>
        <w:rPr>
          <w:rFonts w:ascii="Arial" w:cs="Arial" w:eastAsia="Arial" w:hAnsi="Arial"/>
          <w:color w:val="333333"/>
          <w:sz w:val="22"/>
          <w:szCs w:val="22"/>
        </w:rPr>
        <w:t xml:space="preserve">Le dataset utilisé est le Regensburg Pediatric Appendicitis Dataset, disponible sur l'UCI Machine Learning Repository. Il regroupe 783 patients pédiatriques décrits par 58 variables couvrant quatre dimensions complémentaires : les informations démographiques du patient, les symptômes cliniques recueillis à l'examen, les résultats biologiques issus de la prise de sang et de l'analyse urinaire, et les données échographiques. La variable cible est Diagnosis, qui indique si le patient souffre d'une appendicite confirmée ou non.</w:t>
      </w:r>
    </w:p>
    <w:p>
      <w:pPr>
        <w:spacing w:before="0" w:after="80"/>
      </w:pPr>
      <w:r>
        <w:t xml:space="preserve"/>
      </w:r>
    </w:p>
    <w:p>
      <w:pPr>
        <w:spacing w:before="80" w:after="80"/>
        <w:jc w:val="both"/>
      </w:pPr>
      <w:r>
        <w:rPr>
          <w:rFonts w:ascii="Arial" w:cs="Arial" w:eastAsia="Arial" w:hAnsi="Arial"/>
          <w:color w:val="333333"/>
          <w:sz w:val="22"/>
          <w:szCs w:val="22"/>
        </w:rPr>
        <w:t xml:space="preserve">L'analyse s'est articulée autour de quatre axes majeurs : la vérification de la qualité des données — valeurs manquantes, valeurs aberrantes et distribution des classes —, l'identification et la suppression des variables post-diagnostiques, l'évaluation de l'équilibre entre les classes, et enfin l'analyse des corrélations entre variables. Chaque décision a été guidée par deux impératifs indissociables : la rigueur méthodologique propre à la data science et la pertinence clinique indispensable à un outil d'aide au diagnostic pédiatrique.</w:t>
      </w:r>
    </w:p>
    <w:p>
      <w:pPr>
        <w:spacing w:before="0" w:after="80"/>
      </w:pPr>
      <w:r>
        <w:t xml:space="preserve"/>
      </w:r>
    </w:p>
    <w:p>
      <w:pPr>
        <w:pStyle w:val="Heading1"/>
        <w:pBdr>
          <w:bottom w:val="single" w:color="7B2D8B" w:sz="8" w:space="6"/>
        </w:pBdr>
        <w:spacing w:before="400" w:after="180"/>
      </w:pPr>
      <w:r>
        <w:rPr>
          <w:rFonts w:ascii="Arial" w:cs="Arial" w:eastAsia="Arial" w:hAnsi="Arial"/>
          <w:b/>
          <w:bCs/>
          <w:color w:val="7B2D8B"/>
          <w:sz w:val="30"/>
          <w:szCs w:val="30"/>
        </w:rPr>
        <w:t xml:space="preserve">2. Valeurs Manquantes</w:t>
      </w:r>
    </w:p>
    <w:p>
      <w:pPr>
        <w:spacing w:before="80" w:after="80"/>
        <w:jc w:val="both"/>
      </w:pPr>
      <w:r>
        <w:rPr>
          <w:rFonts w:ascii="Arial" w:cs="Arial" w:eastAsia="Arial" w:hAnsi="Arial"/>
          <w:color w:val="333333"/>
          <w:sz w:val="22"/>
          <w:szCs w:val="22"/>
        </w:rPr>
        <w:t xml:space="preserve">Le dataset brut présentait 14 008 valeurs manquantes réparties sur 56 colonnes de manière hétérogène. Afin de structurer le traitement, nous avons classé ces colonnes selon trois niveaux de criticité.</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2.1 Niveau critique — Suppression</w:t>
      </w:r>
    </w:p>
    <w:p>
      <w:pPr>
        <w:spacing w:before="80" w:after="80"/>
        <w:jc w:val="both"/>
      </w:pPr>
      <w:r>
        <w:rPr>
          <w:rFonts w:ascii="Arial" w:cs="Arial" w:eastAsia="Arial" w:hAnsi="Arial"/>
          <w:color w:val="333333"/>
          <w:sz w:val="22"/>
          <w:szCs w:val="22"/>
        </w:rPr>
        <w:t xml:space="preserve">Les colonnes présentant plus de 70 % de valeurs manquantes ont été supprimées. Avec un tel taux, aucune technique d'imputation ne peut restituer une information fiable sans introduire un biais majeur. Les colonnes concernées sont les suivantes :</w:t>
      </w:r>
    </w:p>
    <w:p>
      <w:pPr>
        <w:spacing w:before="0" w:after="80"/>
      </w:pPr>
      <w:r>
        <w:t xml:space="preserve"/>
      </w:r>
    </w:p>
    <w:p>
      <w:pPr>
        <w:spacing w:before="80" w:after="80"/>
        <w:jc w:val="left"/>
      </w:pPr>
      <w:r>
        <w:rPr>
          <w:rFonts w:ascii="Arial" w:cs="Arial" w:eastAsia="Arial" w:hAnsi="Arial"/>
          <w:color w:val="333333"/>
          <w:sz w:val="22"/>
          <w:szCs w:val="22"/>
        </w:rPr>
        <w:t xml:space="preserve">Abscess_Location, Gynecological_Findings, Conglomerate_of_Bowel_Loops, Segmented_Neutrophils, Ileus, Perfusion, Enteritis, Appendicolith, Coprostasis, Perforation, Appendicular_Abscess, Bowel_Wall_Thickening, Lymph_Nodes_Location, Target_Sign, Meteorism, Pathological_Lymph_Nodes, Appendix_Wall_Layers, Surrounding_Tissue_Reaction.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2.2 Niveau modéré — Imputation</w:t>
      </w:r>
    </w:p>
    <w:p>
      <w:pPr>
        <w:spacing w:before="80" w:after="80"/>
        <w:jc w:val="both"/>
      </w:pPr>
      <w:r>
        <w:rPr>
          <w:rFonts w:ascii="Arial" w:cs="Arial" w:eastAsia="Arial" w:hAnsi="Arial"/>
          <w:color w:val="333333"/>
          <w:sz w:val="22"/>
          <w:szCs w:val="22"/>
        </w:rPr>
        <w:t xml:space="preserve">Les colonnes présentant entre 20 % et 37 % de valeurs manquantes ont été conservées et imputées. Les variables concernées sont Appendix_Diameter, RBC_in_Urine, Ketones_in_Urine, WBC_in_Urine et Ipsilateral_Rebound_Tenderness. Ces variables ont une valeur diagnostique importante — notamment le diamètre appendiculaire, critère échographique gold standard — ce qui justifie leur conservation malgré le taux de données manquantes.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2.3 Niveau faible — Imputation</w:t>
      </w:r>
    </w:p>
    <w:p>
      <w:pPr>
        <w:spacing w:before="80" w:after="80"/>
        <w:jc w:val="both"/>
      </w:pPr>
      <w:r>
        <w:rPr>
          <w:rFonts w:ascii="Arial" w:cs="Arial" w:eastAsia="Arial" w:hAnsi="Arial"/>
          <w:color w:val="333333"/>
          <w:sz w:val="22"/>
          <w:szCs w:val="22"/>
        </w:rPr>
        <w:t xml:space="preserve">Les colonnes présentant moins de 15 % de valeurs manquantes ont été conservées et imputées. Cette catégorie regroupe la grande majorité des variables cliniques et biologiques du dataset.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2.4 Méthode d'imputation</w:t>
      </w:r>
    </w:p>
    <w:p>
      <w:pPr>
        <w:spacing w:before="80" w:after="80"/>
        <w:jc w:val="both"/>
      </w:pPr>
      <w:r>
        <w:rPr>
          <w:rFonts w:ascii="Arial" w:cs="Arial" w:eastAsia="Arial" w:hAnsi="Arial"/>
          <w:color w:val="333333"/>
          <w:sz w:val="22"/>
          <w:szCs w:val="22"/>
        </w:rPr>
        <w:t xml:space="preserve">La stratégie d'imputation a été différenciée selon la nature des variables. Pour les variables numériques, les valeurs manquantes ont été remplacées par la médiane de la colonne correspondante. La médiane a été préférée à la moyenne car elle est robuste aux valeurs aberrantes, fréquentes dans les données biologiques. Pour les variables catégorielles, les valeurs manquantes ont été remplacées par le mode, c'est-à-dire la valeur la plus fréquente de la colonne, ce qui préserve la distribution naturelle des modalités.</w:t>
      </w:r>
    </w:p>
    <w:p>
      <w:pPr>
        <w:spacing w:before="0" w:after="80"/>
      </w:pPr>
      <w:r>
        <w:t xml:space="preserve"/>
      </w:r>
    </w:p>
    <w:p>
      <w:pPr>
        <w:pStyle w:val="Heading1"/>
        <w:pBdr>
          <w:bottom w:val="single" w:color="7B2D8B" w:sz="8" w:space="6"/>
        </w:pBdr>
        <w:spacing w:before="400" w:after="180"/>
      </w:pPr>
      <w:r>
        <w:rPr>
          <w:rFonts w:ascii="Arial" w:cs="Arial" w:eastAsia="Arial" w:hAnsi="Arial"/>
          <w:b/>
          <w:bCs/>
          <w:color w:val="7B2D8B"/>
          <w:sz w:val="30"/>
          <w:szCs w:val="30"/>
        </w:rPr>
        <w:t xml:space="preserve">3. Valeurs Aberrantes</w:t>
      </w:r>
    </w:p>
    <w:p>
      <w:pPr>
        <w:spacing w:before="80" w:after="80"/>
        <w:jc w:val="both"/>
      </w:pPr>
      <w:r>
        <w:rPr>
          <w:rFonts w:ascii="Arial" w:cs="Arial" w:eastAsia="Arial" w:hAnsi="Arial"/>
          <w:color w:val="333333"/>
          <w:sz w:val="22"/>
          <w:szCs w:val="22"/>
        </w:rPr>
        <w:t xml:space="preserve">Le traitement des valeurs aberrantes s'est déroulé en deux étapes distinctes selon la nature de l'anomalie détectée.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3.1 Valeurs biologiquement impossibles</w:t>
      </w:r>
    </w:p>
    <w:p>
      <w:pPr>
        <w:spacing w:before="80" w:after="80"/>
        <w:jc w:val="both"/>
      </w:pPr>
      <w:r>
        <w:rPr>
          <w:rFonts w:ascii="Arial" w:cs="Arial" w:eastAsia="Arial" w:hAnsi="Arial"/>
          <w:color w:val="333333"/>
          <w:sz w:val="22"/>
          <w:szCs w:val="22"/>
        </w:rPr>
        <w:t xml:space="preserve">Certaines valeurs sont biologiquement impossibles — par exemple une température corporelle de 0°C ou un taux de leucocytes négatif. Ces valeurs résultent d'erreurs de saisie ou de capteurs défaillants et ne peuvent en aucun cas représenter un état clinique réel. Elles ont été directement supprimées sans autre traitement. D'autres valeurs, bien que biologiquement possibles, étaient sans pertinence diagnostique dans notre contexte et ont également été retirées.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3.2 Détection par méthode IQR</w:t>
      </w:r>
    </w:p>
    <w:p>
      <w:pPr>
        <w:spacing w:before="80" w:after="80"/>
        <w:jc w:val="both"/>
      </w:pPr>
      <w:r>
        <w:rPr>
          <w:rFonts w:ascii="Arial" w:cs="Arial" w:eastAsia="Arial" w:hAnsi="Arial"/>
          <w:color w:val="333333"/>
          <w:sz w:val="22"/>
          <w:szCs w:val="22"/>
        </w:rPr>
        <w:t xml:space="preserve">Pour les valeurs aberrantes non évidentes, nous avons utilisé la méthode de l'Interquartile Range (IQR). Cette méthode définit des bornes au-delà desquelles une valeur est considérée comme aberrante, en se basant sur les quartiles Q1 et Q3. Elle présente l'avantage d'être robuste aux valeurs extrêmes existantes car elle ne repose pas sur la moyenne ni l'écart-type, qui seraient eux-mêmes influencés par ces valeurs.</w:t>
      </w:r>
    </w:p>
    <w:p>
      <w:pPr>
        <w:spacing w:before="0" w:after="80"/>
      </w:pPr>
      <w:r>
        <w:t xml:space="preserve"/>
      </w:r>
    </w:p>
    <w:p>
      <w:pPr>
        <w:pBdr>
          <w:left w:val="single" w:color="2E75B6" w:sz="14"/>
        </w:pBdr>
        <w:shd w:fill="EAF2FB" w:val="clear"/>
        <w:spacing w:before="160" w:after="160"/>
        <w:ind w:left="600" w:right="600"/>
      </w:pPr>
      <w:r>
        <w:rPr>
          <w:rFonts w:ascii="Arial" w:cs="Arial" w:eastAsia="Arial" w:hAnsi="Arial"/>
          <w:i/>
          <w:iCs/>
          <w:color w:val="333333"/>
          <w:sz w:val="22"/>
          <w:szCs w:val="22"/>
        </w:rPr>
        <w:t xml:space="preserve">Formule IQR : Borne inférieure = Q1 − 1.5 × IQR     |     Borne supérieure = Q3 + 1.5 × IQR     où IQR = Q3 − Q1</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3.3 Traitement par Winsorisation</w:t>
      </w:r>
    </w:p>
    <w:p>
      <w:pPr>
        <w:spacing w:before="80" w:after="80"/>
        <w:jc w:val="both"/>
      </w:pPr>
      <w:r>
        <w:rPr>
          <w:rFonts w:ascii="Arial" w:cs="Arial" w:eastAsia="Arial" w:hAnsi="Arial"/>
          <w:color w:val="333333"/>
          <w:sz w:val="22"/>
          <w:szCs w:val="22"/>
        </w:rPr>
        <w:t xml:space="preserve">Les valeurs détectées par l'IQR ont été traitées par winsorisation plutôt que par suppression. La winsorisation est une technique qui remplace les valeurs extrêmes par les valeurs aux bornes définies, sans supprimer aucune ligne du dataset. Cette approche présente deux avantages majeurs : elle conserve l'intégralité des observations, ce qui est précieux avec un dataset de taille limitée, et elle atténue l'influence des extrêmes sans les effacer complètement.</w:t>
      </w:r>
    </w:p>
    <w:p>
      <w:pPr>
        <w:spacing w:before="80" w:after="80"/>
        <w:jc w:val="both"/>
      </w:pPr>
      <w:r>
        <w:rPr>
          <w:rFonts w:ascii="Arial" w:cs="Arial" w:eastAsia="Arial" w:hAnsi="Arial"/>
          <w:color w:val="333333"/>
          <w:sz w:val="22"/>
          <w:szCs w:val="22"/>
        </w:rPr>
        <w:t xml:space="preserve">La méthode tient son nom du statisticien Charles Winsor, qui l'a popularisée comme alternative à la suppression des outliers.</w:t>
      </w:r>
    </w:p>
    <w:p>
      <w:pPr>
        <w:spacing w:before="0" w:after="80"/>
      </w:pPr>
      <w:r>
        <w:t xml:space="preserve"/>
      </w:r>
    </w:p>
    <w:p>
      <w:pPr>
        <w:pStyle w:val="Heading1"/>
        <w:pBdr>
          <w:bottom w:val="single" w:color="7B2D8B" w:sz="8" w:space="6"/>
        </w:pBdr>
        <w:spacing w:before="400" w:after="180"/>
      </w:pPr>
      <w:r>
        <w:rPr>
          <w:rFonts w:ascii="Arial" w:cs="Arial" w:eastAsia="Arial" w:hAnsi="Arial"/>
          <w:b/>
          <w:bCs/>
          <w:color w:val="7B2D8B"/>
          <w:sz w:val="30"/>
          <w:szCs w:val="30"/>
        </w:rPr>
        <w:t xml:space="preserve">4. Déséquilibre des Classes</w:t>
      </w:r>
    </w:p>
    <w:p>
      <w:pPr>
        <w:spacing w:before="80" w:after="80"/>
        <w:jc w:val="both"/>
      </w:pPr>
      <w:r>
        <w:rPr>
          <w:rFonts w:ascii="Arial" w:cs="Arial" w:eastAsia="Arial" w:hAnsi="Arial"/>
          <w:color w:val="333333"/>
          <w:sz w:val="22"/>
          <w:szCs w:val="22"/>
        </w:rPr>
        <w:t xml:space="preserve">L'évaluation de l'équilibre du dataset constitue une étape critique avant tout entraînement d'un modèle de classification. Un déséquilibre prononcé peut conduire le modèle à favoriser systématiquement la classe majoritaire, au détriment de la détection de la classe minoritaire.</w:t>
      </w:r>
    </w:p>
    <w:p>
      <w:pPr>
        <w:spacing w:before="0" w:after="80"/>
      </w:pPr>
      <w:r>
        <w:t xml:space="preserve"/>
      </w:r>
    </w:p>
    <w:p>
      <w:pPr>
        <w:spacing w:before="80" w:after="80"/>
        <w:jc w:val="both"/>
      </w:pPr>
      <w:r>
        <w:rPr>
          <w:rFonts w:ascii="Arial" w:cs="Arial" w:eastAsia="Arial" w:hAnsi="Arial"/>
          <w:color w:val="333333"/>
          <w:sz w:val="22"/>
          <w:szCs w:val="22"/>
        </w:rPr>
        <w:t xml:space="preserve">Dans notre dataset, la distribution de la variable cible Diagnosis est la suivante : 59,4 % des patients présentent une appendicite confirmée et 40,6 % n'en présentent pas, soit un ratio approximatif de 60/40.</w:t>
      </w:r>
    </w:p>
    <w:p>
      <w:pPr>
        <w:spacing w:before="0" w:after="80"/>
      </w:pPr>
      <w:r>
        <w:t xml:space="preserve"/>
      </w:r>
    </w:p>
    <w:p>
      <w:pPr>
        <w:pBdr>
          <w:left w:val="single" w:color="7B2D8B" w:sz="14"/>
        </w:pBdr>
        <w:shd w:fill="F3ECF8" w:val="clear"/>
        <w:spacing w:before="160" w:after="160"/>
        <w:ind w:left="600" w:right="600"/>
      </w:pPr>
      <w:r>
        <w:rPr>
          <w:rFonts w:ascii="Arial" w:cs="Arial" w:eastAsia="Arial" w:hAnsi="Arial"/>
          <w:i/>
          <w:iCs/>
          <w:color w:val="333333"/>
          <w:sz w:val="22"/>
          <w:szCs w:val="22"/>
        </w:rPr>
        <w:t xml:space="preserve">Le jeu de données est considéré comme approximativement équilibré. Ce ratio de 60/40 n'affectera pas significativement les performances des modèles de machine learning envisagés. Aucune technique de rééquilibrage (SMOTE, undersampling, oversampling) n'a donc été appliquée.</w:t>
      </w:r>
    </w:p>
    <w:p>
      <w:pPr>
        <w:spacing w:before="0" w:after="80"/>
      </w:pPr>
      <w:r>
        <w:t xml:space="preserve"/>
      </w:r>
    </w:p>
    <w:p>
      <w:pPr>
        <w:spacing w:before="80" w:after="80"/>
        <w:jc w:val="both"/>
      </w:pPr>
      <w:r>
        <w:rPr>
          <w:rFonts w:ascii="Arial" w:cs="Arial" w:eastAsia="Arial" w:hAnsi="Arial"/>
          <w:color w:val="333333"/>
          <w:sz w:val="22"/>
          <w:szCs w:val="22"/>
        </w:rPr>
        <w:t xml:space="preserve">En revanche, nous avons appliqué le paramètre class_weight='balanced' dans les modèles pour tenir compte de ce léger écart et éviter toute dérive vers la classe majoritaire lors de l'optimisation des paramètres.</w:t>
      </w:r>
    </w:p>
    <w:p>
      <w:pPr>
        <w:spacing w:before="0" w:after="80"/>
      </w:pPr>
      <w:r>
        <w:t xml:space="preserve"/>
      </w:r>
    </w:p>
    <w:p>
      <w:pPr>
        <w:pStyle w:val="Heading1"/>
        <w:pBdr>
          <w:bottom w:val="single" w:color="7B2D8B" w:sz="8" w:space="6"/>
        </w:pBdr>
        <w:spacing w:before="400" w:after="180"/>
      </w:pPr>
      <w:r>
        <w:rPr>
          <w:rFonts w:ascii="Arial" w:cs="Arial" w:eastAsia="Arial" w:hAnsi="Arial"/>
          <w:b/>
          <w:bCs/>
          <w:color w:val="7B2D8B"/>
          <w:sz w:val="30"/>
          <w:szCs w:val="30"/>
        </w:rPr>
        <w:t xml:space="preserve">5. Corrélation</w:t>
      </w:r>
    </w:p>
    <w:p>
      <w:pPr>
        <w:spacing w:before="80" w:after="80"/>
        <w:jc w:val="both"/>
      </w:pPr>
      <w:r>
        <w:rPr>
          <w:rFonts w:ascii="Arial" w:cs="Arial" w:eastAsia="Arial" w:hAnsi="Arial"/>
          <w:color w:val="333333"/>
          <w:sz w:val="22"/>
          <w:szCs w:val="22"/>
        </w:rPr>
        <w:t xml:space="preserve">L'analyse de corrélation a permis d'identifier neuf paires de variables présentant un coefficient de Pearson supérieur ou égal à 0,71. Face à ces redondances, deux approches étaient envisageables : la PCA (Principal Component Analysis) ou la sélection par expertise domaine.</w:t>
      </w:r>
    </w:p>
    <w:p>
      <w:pPr>
        <w:spacing w:before="0" w:after="80"/>
      </w:pPr>
      <w:r>
        <w:t xml:space="preserve"/>
      </w:r>
    </w:p>
    <w:p>
      <w:pPr>
        <w:spacing w:before="80" w:after="80"/>
        <w:jc w:val="both"/>
      </w:pPr>
      <w:r>
        <w:rPr>
          <w:rFonts w:ascii="Arial" w:cs="Arial" w:eastAsia="Arial" w:hAnsi="Arial"/>
          <w:color w:val="333333"/>
          <w:sz w:val="22"/>
          <w:szCs w:val="22"/>
        </w:rPr>
        <w:t xml:space="preserve">Nous avons écarté la PCA car elle transforme les variables en composantes abstraites incompréhensibles médicalement, ce qui rendrait les explications SHAP inutilisables par un pédiatre. Un médecin ne peut pas agir sur « Composante 3 = 0,82 ». Il peut en revanche agir sur « CRP élevée + leucocytose + douleur en fosse iliaque droite ». Nous avons donc opté pour une sélection manuelle guidée par la pertinence clinique de chaque variable.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5.1 Dummy Variable Trap</w:t>
      </w:r>
    </w:p>
    <w:p>
      <w:pPr>
        <w:spacing w:before="80" w:after="80"/>
        <w:jc w:val="both"/>
      </w:pPr>
      <w:r>
        <w:rPr>
          <w:rFonts w:ascii="Arial" w:cs="Arial" w:eastAsia="Arial" w:hAnsi="Arial"/>
          <w:color w:val="333333"/>
          <w:sz w:val="22"/>
          <w:szCs w:val="22"/>
        </w:rPr>
        <w:t xml:space="preserve">Peritonitis_no et Stool_normal ont été supprimées car elles sont des modalités de référence rendues redondantes par l'encodage one-hot. Lorsqu'on encode une variable catégorielle sans supprimer la modalité de référence, la somme des colonnes vaut toujours 1, créant une redondance mathématique parfaite. Ce qui compte cliniquement, c'est la déviation par rapport à la normale — la présence d'une péritonite ou d'un transit anormal — et non la normalité elle-même.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5.2 Variables Morphologiques</w:t>
      </w:r>
    </w:p>
    <w:p>
      <w:pPr>
        <w:spacing w:before="80" w:after="80"/>
        <w:jc w:val="both"/>
      </w:pPr>
      <w:r>
        <w:rPr>
          <w:rFonts w:ascii="Arial" w:cs="Arial" w:eastAsia="Arial" w:hAnsi="Arial"/>
          <w:color w:val="333333"/>
          <w:sz w:val="22"/>
          <w:szCs w:val="22"/>
        </w:rPr>
        <w:t xml:space="preserve">Height et Weight ont été supprimées au profit de Age et BMI. La croissance pédiatrique crée une corrélation naturelle entre l'âge, la taille et le poids, sans que la taille ou le poids brut n'apportent de valeur diagnostique propre dans le contexte de l'appendicite. L'âge est cliniquement pertinent — pic d'incidence entre 10 et 12 ans, présentation atypique avant 5 ans — tandis que l'IMC est l'indicateur nutritionnel standardisé en pédiatrie.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5.3 Variables Biologiques Redondantes</w:t>
      </w:r>
    </w:p>
    <w:p>
      <w:pPr>
        <w:spacing w:before="80" w:after="80"/>
        <w:jc w:val="both"/>
      </w:pPr>
      <w:r>
        <w:rPr>
          <w:rFonts w:ascii="Arial" w:cs="Arial" w:eastAsia="Arial" w:hAnsi="Arial"/>
          <w:color w:val="333333"/>
          <w:sz w:val="22"/>
          <w:szCs w:val="22"/>
        </w:rPr>
        <w:t xml:space="preserve">Trois suppressions ont été effectuées dans cette catégorie. Neutrophilia_yes, binarisation appauvrie de Neutrophil_Percentage, a été supprimée car la valeur continue est plus informative : une neutrophilie à 76 % et une à 95 % n'ont pas la même signification pronostique. RBC_Count a cédé sa place à Hemoglobin, le marqueur clinique standard pour évaluer la capacité oxyphorique du sang. Enfin, CRP_log, dérivé mathématique direct de CRP par transformation logarithmique, a été retiré pour éviter la double-comptabilisation.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5.4 Scores Composites</w:t>
      </w:r>
    </w:p>
    <w:p>
      <w:pPr>
        <w:spacing w:before="80" w:after="80"/>
        <w:jc w:val="both"/>
      </w:pPr>
      <w:r>
        <w:rPr>
          <w:rFonts w:ascii="Arial" w:cs="Arial" w:eastAsia="Arial" w:hAnsi="Arial"/>
          <w:color w:val="333333"/>
          <w:sz w:val="22"/>
          <w:szCs w:val="22"/>
        </w:rPr>
        <w:t xml:space="preserve">Les deux scores composites Alvarado et PAS (Paediatric Appendicitis Score) ont été supprimés car ils agrègent des variables déjà présentes dans le dataset — WBC_Count, Body_Temperature, Nausea, Lower_Right_Abd_Pain, Migratory_Pain. Les conserver en parallèle des features brutes aurait introduit une double-comptabilisation et appauvri les explications SHAP. Sans ces scores, SHAP peut produire des explications granulaires et actionnables : « WBC élevé + douleur en FID + fièvre → appendicite probable », directement exploitables par le pédiatre.</w:t>
      </w:r>
    </w:p>
    <w:p>
      <w:pPr>
        <w:spacing w:before="0" w:after="80"/>
      </w:pPr>
      <w:r>
        <w:t xml:space="preserve"/>
      </w:r>
    </w:p>
    <w:p>
      <w:pPr>
        <w:pBdr>
          <w:left w:val="single" w:color="7B2D8B" w:sz="14"/>
        </w:pBdr>
        <w:shd w:fill="F3ECF8" w:val="clear"/>
        <w:spacing w:before="160" w:after="160"/>
        <w:ind w:left="600" w:right="600"/>
      </w:pPr>
      <w:r>
        <w:rPr>
          <w:rFonts w:ascii="Arial" w:cs="Arial" w:eastAsia="Arial" w:hAnsi="Arial"/>
          <w:i/>
          <w:iCs/>
          <w:color w:val="333333"/>
          <w:sz w:val="22"/>
          <w:szCs w:val="22"/>
        </w:rPr>
        <w:t xml:space="preserve">Au terme de ce processus, le dataset final passe de 41 à 27 colonnes pour 776 patients, sans aucune fuite de données ni redondance. Les performances validées expérimentalement donnent un AUC de 0,951 et une accuracy de 89,4 % avec LightGBM.</w:t>
      </w:r>
    </w:p>
    <w:p>
      <w:pPr>
        <w:spacing w:before="0" w:after="80"/>
      </w:pPr>
      <w:r>
        <w:t xml:space="preserve"/>
      </w:r>
    </w:p>
    <w:p>
      <w:pPr>
        <w:pStyle w:val="Heading1"/>
        <w:pBdr>
          <w:bottom w:val="single" w:color="7B2D8B" w:sz="8" w:space="6"/>
        </w:pBdr>
        <w:spacing w:before="400" w:after="180"/>
      </w:pPr>
      <w:r>
        <w:rPr>
          <w:rFonts w:ascii="Arial" w:cs="Arial" w:eastAsia="Arial" w:hAnsi="Arial"/>
          <w:b/>
          <w:bCs/>
          <w:color w:val="7B2D8B"/>
          <w:sz w:val="30"/>
          <w:szCs w:val="30"/>
        </w:rPr>
        <w:t xml:space="preserve">6. Prompt Engineering</w:t>
      </w:r>
    </w:p>
    <w:p>
      <w:pPr>
        <w:pStyle w:val="Heading2"/>
        <w:spacing w:before="280" w:after="120"/>
      </w:pPr>
      <w:r>
        <w:rPr>
          <w:rFonts w:ascii="Arial" w:cs="Arial" w:eastAsia="Arial" w:hAnsi="Arial"/>
          <w:b/>
          <w:bCs/>
          <w:color w:val="2E75B6"/>
          <w:sz w:val="26"/>
          <w:szCs w:val="26"/>
        </w:rPr>
        <w:t xml:space="preserve">6.1 Tâche sélectionnée</w:t>
      </w:r>
    </w:p>
    <w:p>
      <w:pPr>
        <w:spacing w:before="80" w:after="80"/>
        <w:jc w:val="both"/>
      </w:pPr>
      <w:r>
        <w:rPr>
          <w:rFonts w:ascii="Arial" w:cs="Arial" w:eastAsia="Arial" w:hAnsi="Arial"/>
          <w:color w:val="333333"/>
          <w:sz w:val="22"/>
          <w:szCs w:val="22"/>
        </w:rPr>
        <w:t xml:space="preserve">La tâche documentée ici est l'analyse exploratoire des données et la sélection des features, réalisée avec l'aide de l'outil Claude (Anthropic). Cette tâche a été choisie car elle est au cœur du projet et ses décisions ont un impact direct sur la qualité du modèle final.</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6.2 Apport de l'IA</w:t>
      </w:r>
    </w:p>
    <w:p>
      <w:pPr>
        <w:spacing w:before="80" w:after="80"/>
        <w:jc w:val="both"/>
      </w:pPr>
      <w:r>
        <w:rPr>
          <w:rFonts w:ascii="Arial" w:cs="Arial" w:eastAsia="Arial" w:hAnsi="Arial"/>
          <w:color w:val="333333"/>
          <w:sz w:val="22"/>
          <w:szCs w:val="22"/>
        </w:rPr>
        <w:t xml:space="preserve">L'IA nous a assistés sur plusieurs points précis au cours de cette phase d'analyse.</w:t>
      </w:r>
    </w:p>
    <w:p>
      <w:pPr>
        <w:spacing w:before="0" w:after="80"/>
      </w:pPr>
      <w:r>
        <w:t xml:space="preserve"/>
      </w:r>
    </w:p>
    <w:p>
      <w:pPr>
        <w:pStyle w:val="ListParagraph"/>
        <w:numPr>
          <w:ilvl w:val="0"/>
          <w:numId w:val="2"/>
        </w:numPr>
        <w:spacing w:before="60" w:after="60"/>
      </w:pPr>
      <w:r>
        <w:rPr>
          <w:rFonts w:ascii="Arial" w:cs="Arial" w:eastAsia="Arial" w:hAnsi="Arial"/>
          <w:b/>
          <w:bCs/>
          <w:color w:val="333333"/>
          <w:sz w:val="22"/>
          <w:szCs w:val="22"/>
        </w:rPr>
        <w:t xml:space="preserve">Gestion des valeurs manquantes : </w:t>
      </w:r>
      <w:r>
        <w:rPr>
          <w:rFonts w:ascii="Arial" w:cs="Arial" w:eastAsia="Arial" w:hAnsi="Arial"/>
          <w:color w:val="333333"/>
          <w:sz w:val="22"/>
          <w:szCs w:val="22"/>
        </w:rPr>
        <w:t xml:space="preserve">fourniture de la méthode et du code pour l'imputation des variables non numériques (remplacement par le mode).</w:t>
      </w:r>
    </w:p>
    <w:p>
      <w:pPr>
        <w:pStyle w:val="ListParagraph"/>
        <w:numPr>
          <w:ilvl w:val="0"/>
          <w:numId w:val="2"/>
        </w:numPr>
        <w:spacing w:before="60" w:after="60"/>
      </w:pPr>
      <w:r>
        <w:rPr>
          <w:rFonts w:ascii="Arial" w:cs="Arial" w:eastAsia="Arial" w:hAnsi="Arial"/>
          <w:b/>
          <w:bCs/>
          <w:color w:val="333333"/>
          <w:sz w:val="22"/>
          <w:szCs w:val="22"/>
        </w:rPr>
        <w:t xml:space="preserve">Gestion des valeurs aberrantes : </w:t>
      </w:r>
      <w:r>
        <w:rPr>
          <w:rFonts w:ascii="Arial" w:cs="Arial" w:eastAsia="Arial" w:hAnsi="Arial"/>
          <w:color w:val="333333"/>
          <w:sz w:val="22"/>
          <w:szCs w:val="22"/>
        </w:rPr>
        <w:t xml:space="preserve">fourniture de la méthode IQR et du code de détection, ainsi que l'implémentation de la winsorisation.</w:t>
      </w:r>
    </w:p>
    <w:p>
      <w:pPr>
        <w:pStyle w:val="ListParagraph"/>
        <w:numPr>
          <w:ilvl w:val="0"/>
          <w:numId w:val="2"/>
        </w:numPr>
        <w:spacing w:before="60" w:after="60"/>
      </w:pPr>
      <w:r>
        <w:rPr>
          <w:rFonts w:ascii="Arial" w:cs="Arial" w:eastAsia="Arial" w:hAnsi="Arial"/>
          <w:b/>
          <w:bCs/>
          <w:color w:val="333333"/>
          <w:sz w:val="22"/>
          <w:szCs w:val="22"/>
        </w:rPr>
        <w:t xml:space="preserve">Déséquilibre des classes : </w:t>
      </w:r>
      <w:r>
        <w:rPr>
          <w:rFonts w:ascii="Arial" w:cs="Arial" w:eastAsia="Arial" w:hAnsi="Arial"/>
          <w:color w:val="333333"/>
          <w:sz w:val="22"/>
          <w:szCs w:val="22"/>
        </w:rPr>
        <w:t xml:space="preserve">calcul du ratio et interprétation de l'impact sur les modèles.</w:t>
      </w:r>
    </w:p>
    <w:p>
      <w:pPr>
        <w:pStyle w:val="ListParagraph"/>
        <w:numPr>
          <w:ilvl w:val="0"/>
          <w:numId w:val="2"/>
        </w:numPr>
        <w:spacing w:before="60" w:after="60"/>
      </w:pPr>
      <w:r>
        <w:rPr>
          <w:rFonts w:ascii="Arial" w:cs="Arial" w:eastAsia="Arial" w:hAnsi="Arial"/>
          <w:b/>
          <w:bCs/>
          <w:color w:val="333333"/>
          <w:sz w:val="22"/>
          <w:szCs w:val="22"/>
        </w:rPr>
        <w:t xml:space="preserve">Corrélation : </w:t>
      </w:r>
      <w:r>
        <w:rPr>
          <w:rFonts w:ascii="Arial" w:cs="Arial" w:eastAsia="Arial" w:hAnsi="Arial"/>
          <w:color w:val="333333"/>
          <w:sz w:val="22"/>
          <w:szCs w:val="22"/>
        </w:rPr>
        <w:t xml:space="preserve">analyse paire par paire combinant expertise data science et expertise médicale pédiatrique pour justifier chaque suppression.</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6.3 Prompts utilisés</w:t>
      </w:r>
    </w:p>
    <w:p>
      <w:pPr>
        <w:spacing w:before="0" w:after="80"/>
      </w:pPr>
      <w:r>
        <w:t xml:space="preserve"/>
      </w:r>
    </w:p>
    <w:p>
      <w:pPr>
        <w:spacing w:before="60" w:after="40"/>
      </w:pPr>
      <w:r>
        <w:rPr>
          <w:rFonts w:ascii="Arial" w:cs="Arial" w:eastAsia="Arial" w:hAnsi="Arial"/>
          <w:b/>
          <w:bCs/>
          <w:color w:val="7B2D8B"/>
          <w:sz w:val="22"/>
          <w:szCs w:val="22"/>
        </w:rPr>
        <w:t xml:space="preserve">Prompt 1 — Traitement des corrélations</w:t>
      </w:r>
    </w:p>
    <w:p>
      <w:pPr>
        <w:pBdr>
          <w:left w:val="single" w:color="AAAAAA" w:sz="10"/>
        </w:pBdr>
        <w:shd w:fill="F7F7F7" w:val="clear"/>
        <w:spacing w:before="80" w:after="80"/>
        <w:ind w:left="500" w:right="500"/>
      </w:pPr>
      <w:r>
        <w:rPr>
          <w:rFonts w:ascii="Arial" w:cs="Arial" w:eastAsia="Arial" w:hAnsi="Arial"/>
          <w:i/>
          <w:iCs/>
          <w:color w:val="444444"/>
          <w:sz w:val="21"/>
          <w:szCs w:val="21"/>
        </w:rPr>
        <w:t xml:space="preserve">« Suite à notre analyse exploratoire, nous avons obtenu une liste de variables fortement corrélées. En combinant ton expertise en data science et en diagnostic pédiatrique, quelle est la méthode idéale pour traiter ces corrélations tout en préservant la pertinence clinique des variables pour le diagnostic ? »</w:t>
      </w:r>
    </w:p>
    <w:p>
      <w:pPr>
        <w:spacing w:before="0" w:after="80"/>
      </w:pPr>
      <w:r>
        <w:t xml:space="preserve"/>
      </w:r>
    </w:p>
    <w:p>
      <w:pPr>
        <w:spacing w:before="80" w:after="80"/>
        <w:jc w:val="both"/>
      </w:pPr>
      <w:r>
        <w:rPr>
          <w:rFonts w:ascii="Arial" w:cs="Arial" w:eastAsia="Arial" w:hAnsi="Arial"/>
          <w:color w:val="333333"/>
          <w:sz w:val="22"/>
          <w:szCs w:val="22"/>
        </w:rPr>
        <w:t xml:space="preserve">Résultat obtenu : justification claire du rejet de la PCA au profit d'une sélection par expertise domaine, avec une analyse médicale détaillée paire par paire pour chacune des neuf corrélations identifiées.</w:t>
      </w:r>
    </w:p>
    <w:p>
      <w:pPr>
        <w:spacing w:before="0" w:after="80"/>
      </w:pPr>
      <w:r>
        <w:t xml:space="preserve"/>
      </w:r>
    </w:p>
    <w:p>
      <w:pPr>
        <w:spacing w:before="60" w:after="40"/>
      </w:pPr>
      <w:r>
        <w:rPr>
          <w:rFonts w:ascii="Arial" w:cs="Arial" w:eastAsia="Arial" w:hAnsi="Arial"/>
          <w:b/>
          <w:bCs/>
          <w:color w:val="7B2D8B"/>
          <w:sz w:val="22"/>
          <w:szCs w:val="22"/>
        </w:rPr>
        <w:t xml:space="preserve">Prompt 2 — Stratégie pour les scores composites</w:t>
      </w:r>
    </w:p>
    <w:p>
      <w:pPr>
        <w:pBdr>
          <w:left w:val="single" w:color="AAAAAA" w:sz="10"/>
        </w:pBdr>
        <w:shd w:fill="F7F7F7" w:val="clear"/>
        <w:spacing w:before="80" w:after="80"/>
        <w:ind w:left="500" w:right="500"/>
      </w:pPr>
      <w:r>
        <w:rPr>
          <w:rFonts w:ascii="Arial" w:cs="Arial" w:eastAsia="Arial" w:hAnsi="Arial"/>
          <w:i/>
          <w:iCs/>
          <w:color w:val="444444"/>
          <w:sz w:val="21"/>
          <w:szCs w:val="21"/>
        </w:rPr>
        <w:t xml:space="preserve">« Peux-tu détailler et comparer les deux stratégies envisageables pour la gestion des scores composites, en précisant les avantages et inconvénients de chacune dans notre contexte médical ? »</w:t>
      </w:r>
    </w:p>
    <w:p>
      <w:pPr>
        <w:spacing w:before="0" w:after="80"/>
      </w:pPr>
      <w:r>
        <w:t xml:space="preserve"/>
      </w:r>
    </w:p>
    <w:p>
      <w:pPr>
        <w:spacing w:before="80" w:after="80"/>
        <w:jc w:val="both"/>
      </w:pPr>
      <w:r>
        <w:rPr>
          <w:rFonts w:ascii="Arial" w:cs="Arial" w:eastAsia="Arial" w:hAnsi="Arial"/>
          <w:color w:val="333333"/>
          <w:sz w:val="22"/>
          <w:szCs w:val="22"/>
        </w:rPr>
        <w:t xml:space="preserve">Résultat obtenu : comparaison structurée des deux stratégies (garder le PAS seul vs. supprimer les deux scores), avec validation expérimentale des performances dans chaque configuration. Ce résultat a orienté le choix final vers la Stratégie B — features brutes uniquement.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6.4 Efficacité des prompts et apport personnel</w:t>
      </w:r>
    </w:p>
    <w:p>
      <w:pPr>
        <w:spacing w:before="80" w:after="80"/>
        <w:jc w:val="both"/>
      </w:pPr>
      <w:r>
        <w:rPr>
          <w:rFonts w:ascii="Arial" w:cs="Arial" w:eastAsia="Arial" w:hAnsi="Arial"/>
          <w:color w:val="333333"/>
          <w:sz w:val="22"/>
          <w:szCs w:val="22"/>
        </w:rPr>
        <w:t xml:space="preserve">Les prompts les plus efficaces étaient ceux qui combinaient explicitement le contexte technique et le contexte médical. Mentionner « diagnostic pédiatrique » en plus de « data science » a permis d'obtenir des justifications médicalement fondées et directement exploitables, plutôt que des recommandations purement algorithmiques.</w:t>
      </w:r>
    </w:p>
    <w:p>
      <w:pPr>
        <w:spacing w:before="0" w:after="80"/>
      </w:pPr>
      <w:r>
        <w:t xml:space="preserve"/>
      </w:r>
    </w:p>
    <w:p>
      <w:pPr>
        <w:spacing w:before="80" w:after="80"/>
        <w:jc w:val="both"/>
      </w:pPr>
      <w:r>
        <w:rPr>
          <w:rFonts w:ascii="Arial" w:cs="Arial" w:eastAsia="Arial" w:hAnsi="Arial"/>
          <w:color w:val="333333"/>
          <w:sz w:val="22"/>
          <w:szCs w:val="22"/>
        </w:rPr>
        <w:t xml:space="preserve">L'apport personnel de l'équipe réside principalement dans la vision clinique et la prise de décision. Chaque réponse obtenue a fait l'objet de vérifications et de recherches complémentaires pour s'assurer de son exactitude médicale. C'est l'équipe qui a posé les bonnes questions, fixé les contraintes cliniques — notamment la limite de 10 features pour l'interface — et validé les choix finaux. L'IA a fourni le raisonnement technique ; l'équipe a assuré la pertinence médicale et la cohérence globale du projet.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6.5 Améliorations potentielles</w:t>
      </w:r>
    </w:p>
    <w:p>
      <w:pPr>
        <w:spacing w:before="80" w:after="80"/>
        <w:jc w:val="both"/>
      </w:pPr>
      <w:r>
        <w:rPr>
          <w:rFonts w:ascii="Arial" w:cs="Arial" w:eastAsia="Arial" w:hAnsi="Arial"/>
          <w:color w:val="333333"/>
          <w:sz w:val="22"/>
          <w:szCs w:val="22"/>
        </w:rPr>
        <w:t xml:space="preserve">Fournir dès le premier prompt la liste complète des variables avec leur description médicale détaillée aurait permis d'obtenir des recommandations encore plus précises sans nécessiter plusieurs échanges. De même, inclure dès le départ les contraintes d'interface — nombre maximum de champs, type d'utilisateur final — aurait accéléré la convergence vers les décisions finales.</w:t>
      </w:r>
    </w:p>
    <w:p>
      <w:pPr>
        <w:spacing w:before="0" w:after="160"/>
      </w:pPr>
      <w:r>
        <w:t xml:space="preserve"/>
      </w:r>
    </w:p>
    <w:p>
      <w:pPr>
        <w:pBdr>
          <w:top w:val="single" w:color="CCCCCC" w:sz="4"/>
        </w:pBdr>
        <w:spacing w:before="240" w:after="0"/>
        <w:jc w:val="center"/>
      </w:pPr>
      <w:r>
        <w:rPr>
          <w:rFonts w:ascii="Arial" w:cs="Arial" w:eastAsia="Arial" w:hAnsi="Arial"/>
          <w:color w:val="AAAAAA"/>
          <w:sz w:val="18"/>
          <w:szCs w:val="18"/>
        </w:rPr>
        <w:t xml:space="preserve">Centrale Casablanca  —  Coding Week Mars 2026  —  Projet 5  —  Analyse Préliminaire des Données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Projet 5  —  Analyse Préliminaire des Données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7B2D8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2026-03-15T14:53:44.009Z</dcterms:created>
  <dcterms:modified xsi:type="dcterms:W3CDTF">2026-03-15T14:53:44.027Z</dcterms:modified>
</cp:coreProperties>
</file>

<file path=docProps/custom.xml><?xml version="1.0" encoding="utf-8"?>
<Properties xmlns="http://schemas.openxmlformats.org/officeDocument/2006/custom-properties" xmlns:vt="http://schemas.openxmlformats.org/officeDocument/2006/docPropsVTypes"/>
</file>