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3.png" ContentType="image/jpeg"/>
  <Override PartName="/word/media/image4.png" ContentType="image/jpeg"/>
  <Override PartName="/word/media/image5.png" ContentType="image/jpeg"/>
  <Override PartName="/word/media/image6.png" ContentType="image/jpeg"/>
  <Override PartName="/word/media/image7.png" ContentType="image/jpeg"/>
  <Override PartName="/word/media/image8.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AgriPilot Technical Architecture and User Guide</w:t>
      </w:r>
    </w:p>
    <w:p>
      <w:r>
        <w:rPr>
          <w:b/>
          <w:color w:val="2C735F"/>
          <w:sz w:val="24"/>
        </w:rPr>
        <w:t>System design, business flows and operating instructions for the deployed CRM</w:t>
      </w:r>
    </w:p>
    <w:p>
      <w:pPr>
        <w:spacing w:after="360"/>
      </w:pPr>
      <w:r>
        <w:t>Prepared for SCEA Vatan et fils, EARL Artemis and SCEA des Bonnédanes  |  6 October 2026</w:t>
      </w:r>
    </w:p>
    <w:p>
      <w:r>
        <w:t>This guide explains how the current AgriPilot demonstrator is structured, how information should move through the production system, and how operators use the principal screens. The system is designed around multi-company traceability and explicit human validation. External integrations shown in the interface are currently simulated.</w:t>
      </w:r>
    </w:p>
    <w:p>
      <w:pPr>
        <w:pStyle w:val="Heading1"/>
      </w:pPr>
      <w:r>
        <w:t>1 System overview</w:t>
      </w:r>
    </w:p>
    <w:p>
      <w:r>
        <w:t>AgriPilot provides one operational surface for three legal entities. The cockpit consolidates decisions, while every future persisted record must retain an enterprise identifier. A dedicated Terrain mode reduces navigation to the primary field workflows: dashboard, parcel intervention, voice, passport scanning and cameras.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89"/>
        <w:gridCol w:w="3389"/>
        <w:gridCol w:w="3389"/>
      </w:tblGrid>
      <w:tr>
        <w:trPr>
          <w:tblHeader w:val="true"/>
        </w:trPr>
        <w:tc>
          <w:tcPr>
            <w:tcW w:type="dxa" w:w="1512"/>
            <w:shd w:fill="173C34"/>
            <w:tcMar>
              <w:top w:w="100" w:type="dxa"/>
              <w:start w:w="110" w:type="dxa"/>
              <w:bottom w:w="100" w:type="dxa"/>
              <w:end w:w="110" w:type="dxa"/>
            </w:tcMar>
            <w:vAlign w:val="center"/>
          </w:tcPr>
          <w:p>
            <w:r>
              <w:rPr>
                <w:b/>
                <w:color w:val="FFFFFF"/>
                <w:sz w:val="16"/>
              </w:rPr>
              <w:t>Layer</w:t>
            </w:r>
          </w:p>
        </w:tc>
        <w:tc>
          <w:tcPr>
            <w:tcW w:type="dxa" w:w="3816"/>
            <w:shd w:fill="173C34"/>
            <w:tcMar>
              <w:top w:w="100" w:type="dxa"/>
              <w:start w:w="110" w:type="dxa"/>
              <w:bottom w:w="100" w:type="dxa"/>
              <w:end w:w="110" w:type="dxa"/>
            </w:tcMar>
            <w:vAlign w:val="center"/>
          </w:tcPr>
          <w:p>
            <w:r>
              <w:rPr>
                <w:b/>
                <w:color w:val="FFFFFF"/>
                <w:sz w:val="16"/>
              </w:rPr>
              <w:t>Current build</w:t>
            </w:r>
          </w:p>
        </w:tc>
        <w:tc>
          <w:tcPr>
            <w:tcW w:type="dxa" w:w="3816"/>
            <w:shd w:fill="173C34"/>
            <w:tcMar>
              <w:top w:w="100" w:type="dxa"/>
              <w:start w:w="110" w:type="dxa"/>
              <w:bottom w:w="100" w:type="dxa"/>
              <w:end w:w="110" w:type="dxa"/>
            </w:tcMar>
            <w:vAlign w:val="center"/>
          </w:tcPr>
          <w:p>
            <w:r>
              <w:rPr>
                <w:b/>
                <w:color w:val="FFFFFF"/>
                <w:sz w:val="16"/>
              </w:rPr>
              <w:t>Production target</w:t>
            </w:r>
          </w:p>
        </w:tc>
      </w:tr>
      <w:tr>
        <w:trPr>
          <w:cantSplit/>
        </w:trPr>
        <w:tc>
          <w:tcPr>
            <w:tcW w:type="dxa" w:w="1512"/>
            <w:tcMar>
              <w:top w:w="100" w:type="dxa"/>
              <w:start w:w="110" w:type="dxa"/>
              <w:bottom w:w="100" w:type="dxa"/>
              <w:end w:w="110" w:type="dxa"/>
            </w:tcMar>
            <w:vAlign w:val="center"/>
          </w:tcPr>
          <w:p>
            <w:pPr>
              <w:spacing w:after="0" w:line="252" w:lineRule="auto"/>
            </w:pPr>
            <w:r>
              <w:rPr>
                <w:sz w:val="15"/>
              </w:rPr>
              <w:t>Presentation</w:t>
            </w:r>
          </w:p>
        </w:tc>
        <w:tc>
          <w:tcPr>
            <w:tcW w:type="dxa" w:w="3816"/>
            <w:tcMar>
              <w:top w:w="100" w:type="dxa"/>
              <w:start w:w="110" w:type="dxa"/>
              <w:bottom w:w="100" w:type="dxa"/>
              <w:end w:w="110" w:type="dxa"/>
            </w:tcMar>
            <w:vAlign w:val="center"/>
          </w:tcPr>
          <w:p>
            <w:pPr>
              <w:spacing w:after="0" w:line="252" w:lineRule="auto"/>
            </w:pPr>
            <w:r>
              <w:rPr>
                <w:sz w:val="15"/>
              </w:rPr>
              <w:t>Responsive TypeScript interface with desktop and terrain navigation</w:t>
            </w:r>
          </w:p>
        </w:tc>
        <w:tc>
          <w:tcPr>
            <w:tcW w:type="dxa" w:w="3816"/>
            <w:tcMar>
              <w:top w:w="100" w:type="dxa"/>
              <w:start w:w="110" w:type="dxa"/>
              <w:bottom w:w="100" w:type="dxa"/>
              <w:end w:w="110" w:type="dxa"/>
            </w:tcMar>
            <w:vAlign w:val="center"/>
          </w:tcPr>
          <w:p>
            <w:pPr>
              <w:spacing w:after="0" w:line="252" w:lineRule="auto"/>
            </w:pPr>
            <w:r>
              <w:rPr>
                <w:sz w:val="15"/>
              </w:rPr>
              <w:t>Installable offline-first PWA</w:t>
            </w:r>
          </w:p>
        </w:tc>
      </w:tr>
      <w:tr>
        <w:trPr>
          <w:cantSplit/>
        </w:trPr>
        <w:tc>
          <w:tcPr>
            <w:tcW w:type="dxa" w:w="1512"/>
            <w:tcMar>
              <w:top w:w="100" w:type="dxa"/>
              <w:start w:w="110" w:type="dxa"/>
              <w:bottom w:w="100" w:type="dxa"/>
              <w:end w:w="110" w:type="dxa"/>
            </w:tcMar>
            <w:vAlign w:val="center"/>
            <w:shd w:fill="F4F7F5"/>
          </w:tcPr>
          <w:p>
            <w:pPr>
              <w:spacing w:after="0" w:line="252" w:lineRule="auto"/>
            </w:pPr>
            <w:r>
              <w:rPr>
                <w:sz w:val="15"/>
              </w:rPr>
              <w:t>Application</w:t>
            </w:r>
          </w:p>
        </w:tc>
        <w:tc>
          <w:tcPr>
            <w:tcW w:type="dxa" w:w="3816"/>
            <w:tcMar>
              <w:top w:w="100" w:type="dxa"/>
              <w:start w:w="110" w:type="dxa"/>
              <w:bottom w:w="100" w:type="dxa"/>
              <w:end w:w="110" w:type="dxa"/>
            </w:tcMar>
            <w:vAlign w:val="center"/>
            <w:shd w:fill="F4F7F5"/>
          </w:tcPr>
          <w:p>
            <w:pPr>
              <w:spacing w:after="0" w:line="252" w:lineRule="auto"/>
            </w:pPr>
            <w:r>
              <w:rPr>
                <w:sz w:val="15"/>
              </w:rPr>
              <w:t>Client-side workflows, calculations and confirmation feedback</w:t>
            </w:r>
          </w:p>
        </w:tc>
        <w:tc>
          <w:tcPr>
            <w:tcW w:type="dxa" w:w="3816"/>
            <w:tcMar>
              <w:top w:w="100" w:type="dxa"/>
              <w:start w:w="110" w:type="dxa"/>
              <w:bottom w:w="100" w:type="dxa"/>
              <w:end w:w="110" w:type="dxa"/>
            </w:tcMar>
            <w:vAlign w:val="center"/>
            <w:shd w:fill="F4F7F5"/>
          </w:tcPr>
          <w:p>
            <w:pPr>
              <w:spacing w:after="0" w:line="252" w:lineRule="auto"/>
            </w:pPr>
            <w:r>
              <w:rPr>
                <w:sz w:val="15"/>
              </w:rPr>
              <w:t>Server-side domain services and policy enforcement</w:t>
            </w:r>
          </w:p>
        </w:tc>
      </w:tr>
      <w:tr>
        <w:trPr>
          <w:cantSplit/>
        </w:trPr>
        <w:tc>
          <w:tcPr>
            <w:tcW w:type="dxa" w:w="1512"/>
            <w:tcMar>
              <w:top w:w="100" w:type="dxa"/>
              <w:start w:w="110" w:type="dxa"/>
              <w:bottom w:w="100" w:type="dxa"/>
              <w:end w:w="110" w:type="dxa"/>
            </w:tcMar>
            <w:vAlign w:val="center"/>
          </w:tcPr>
          <w:p>
            <w:pPr>
              <w:spacing w:after="0" w:line="252" w:lineRule="auto"/>
            </w:pPr>
            <w:r>
              <w:rPr>
                <w:sz w:val="15"/>
              </w:rPr>
              <w:t>Data</w:t>
            </w:r>
          </w:p>
        </w:tc>
        <w:tc>
          <w:tcPr>
            <w:tcW w:type="dxa" w:w="3816"/>
            <w:tcMar>
              <w:top w:w="100" w:type="dxa"/>
              <w:start w:w="110" w:type="dxa"/>
              <w:bottom w:w="100" w:type="dxa"/>
              <w:end w:w="110" w:type="dxa"/>
            </w:tcMar>
            <w:vAlign w:val="center"/>
          </w:tcPr>
          <w:p>
            <w:pPr>
              <w:spacing w:after="0" w:line="252" w:lineRule="auto"/>
            </w:pPr>
            <w:r>
              <w:rPr>
                <w:sz w:val="15"/>
              </w:rPr>
              <w:t>Representative in-interface records</w:t>
            </w:r>
          </w:p>
        </w:tc>
        <w:tc>
          <w:tcPr>
            <w:tcW w:type="dxa" w:w="3816"/>
            <w:tcMar>
              <w:top w:w="100" w:type="dxa"/>
              <w:start w:w="110" w:type="dxa"/>
              <w:bottom w:w="100" w:type="dxa"/>
              <w:end w:w="110" w:type="dxa"/>
            </w:tcMar>
            <w:vAlign w:val="center"/>
          </w:tcPr>
          <w:p>
            <w:pPr>
              <w:spacing w:after="0" w:line="252" w:lineRule="auto"/>
            </w:pPr>
            <w:r>
              <w:rPr>
                <w:sz w:val="15"/>
              </w:rPr>
              <w:t>EU-hosted PostgreSQL or equivalent, object storage and backups</w:t>
            </w:r>
          </w:p>
        </w:tc>
      </w:tr>
      <w:tr>
        <w:trPr>
          <w:cantSplit/>
        </w:trPr>
        <w:tc>
          <w:tcPr>
            <w:tcW w:type="dxa" w:w="1512"/>
            <w:tcMar>
              <w:top w:w="100" w:type="dxa"/>
              <w:start w:w="110" w:type="dxa"/>
              <w:bottom w:w="100" w:type="dxa"/>
              <w:end w:w="110" w:type="dxa"/>
            </w:tcMar>
            <w:vAlign w:val="center"/>
            <w:shd w:fill="F4F7F5"/>
          </w:tcPr>
          <w:p>
            <w:pPr>
              <w:spacing w:after="0" w:line="252" w:lineRule="auto"/>
            </w:pPr>
            <w:r>
              <w:rPr>
                <w:sz w:val="15"/>
              </w:rPr>
              <w:t>Integration</w:t>
            </w:r>
          </w:p>
        </w:tc>
        <w:tc>
          <w:tcPr>
            <w:tcW w:type="dxa" w:w="3816"/>
            <w:tcMar>
              <w:top w:w="100" w:type="dxa"/>
              <w:start w:w="110" w:type="dxa"/>
              <w:bottom w:w="100" w:type="dxa"/>
              <w:end w:w="110" w:type="dxa"/>
            </w:tcMar>
            <w:vAlign w:val="center"/>
            <w:shd w:fill="F4F7F5"/>
          </w:tcPr>
          <w:p>
            <w:pPr>
              <w:spacing w:after="0" w:line="252" w:lineRule="auto"/>
            </w:pPr>
            <w:r>
              <w:rPr>
                <w:sz w:val="15"/>
              </w:rPr>
              <w:t>Safe simulations</w:t>
            </w:r>
          </w:p>
        </w:tc>
        <w:tc>
          <w:tcPr>
            <w:tcW w:type="dxa" w:w="3816"/>
            <w:tcMar>
              <w:top w:w="100" w:type="dxa"/>
              <w:start w:w="110" w:type="dxa"/>
              <w:bottom w:w="100" w:type="dxa"/>
              <w:end w:w="110" w:type="dxa"/>
            </w:tcMar>
            <w:vAlign w:val="center"/>
            <w:shd w:fill="F4F7F5"/>
          </w:tcPr>
          <w:p>
            <w:pPr>
              <w:spacing w:after="0" w:line="252" w:lineRule="auto"/>
            </w:pPr>
            <w:r>
              <w:rPr>
                <w:sz w:val="15"/>
              </w:rPr>
              <w:t>Boviclic, Gmail/Outlook, DMSS, IGN, weather, Sheets, FMBV/MATIF, Twilio/Resend</w:t>
            </w:r>
          </w:p>
        </w:tc>
      </w:tr>
      <w:tr>
        <w:trPr>
          <w:cantSplit/>
        </w:trPr>
        <w:tc>
          <w:tcPr>
            <w:tcW w:type="dxa" w:w="1512"/>
            <w:tcMar>
              <w:top w:w="100" w:type="dxa"/>
              <w:start w:w="110" w:type="dxa"/>
              <w:bottom w:w="100" w:type="dxa"/>
              <w:end w:w="110" w:type="dxa"/>
            </w:tcMar>
            <w:vAlign w:val="center"/>
          </w:tcPr>
          <w:p>
            <w:pPr>
              <w:spacing w:after="0" w:line="252" w:lineRule="auto"/>
            </w:pPr>
            <w:r>
              <w:rPr>
                <w:sz w:val="15"/>
              </w:rPr>
              <w:t>Security</w:t>
            </w:r>
          </w:p>
        </w:tc>
        <w:tc>
          <w:tcPr>
            <w:tcW w:type="dxa" w:w="3816"/>
            <w:tcMar>
              <w:top w:w="100" w:type="dxa"/>
              <w:start w:w="110" w:type="dxa"/>
              <w:bottom w:w="100" w:type="dxa"/>
              <w:end w:w="110" w:type="dxa"/>
            </w:tcMar>
            <w:vAlign w:val="center"/>
          </w:tcPr>
          <w:p>
            <w:pPr>
              <w:spacing w:after="0" w:line="252" w:lineRule="auto"/>
            </w:pPr>
            <w:r>
              <w:rPr>
                <w:sz w:val="15"/>
              </w:rPr>
              <w:t>No active external writes or public camera URLs</w:t>
            </w:r>
          </w:p>
        </w:tc>
        <w:tc>
          <w:tcPr>
            <w:tcW w:type="dxa" w:w="3816"/>
            <w:tcMar>
              <w:top w:w="100" w:type="dxa"/>
              <w:start w:w="110" w:type="dxa"/>
              <w:bottom w:w="100" w:type="dxa"/>
              <w:end w:w="110" w:type="dxa"/>
            </w:tcMar>
            <w:vAlign w:val="center"/>
          </w:tcPr>
          <w:p>
            <w:pPr>
              <w:spacing w:after="0" w:line="252" w:lineRule="auto"/>
            </w:pPr>
            <w:r>
              <w:rPr>
                <w:sz w:val="15"/>
              </w:rPr>
              <w:t>Authentication, roles, encrypted secrets, signed media access and audit retention</w:t>
            </w:r>
          </w:p>
        </w:tc>
      </w:tr>
    </w:tbl>
    <w:p>
      <w:pPr>
        <w:spacing w:after="20"/>
      </w:pPr>
    </w:p>
    <w:p>
      <w:pPr>
        <w:pStyle w:val="Heading1"/>
      </w:pPr>
      <w:r>
        <w:t>2 Component architecture</w:t>
      </w:r>
    </w:p>
    <w:p>
      <w:r>
        <w:t>The browser application presents the cockpit and terrain views. In production, domain services should own validation and calculations, a relational database should store structured records, object storage should hold images and clips, and an integration layer should isolate third party APIs. Every accepted command creates a Journal event in the same transaction as the business record.</w:t>
      </w:r>
    </w:p>
    <w:p>
      <w:pPr>
        <w:jc w:val="center"/>
      </w:pPr>
      <w:r>
        <w:drawing>
          <wp:inline xmlns:a="http://schemas.openxmlformats.org/drawingml/2006/main" xmlns:pic="http://schemas.openxmlformats.org/drawingml/2006/picture">
            <wp:extent cx="6263640" cy="4126633"/>
            <wp:docPr id="1" name="Picture 1"/>
            <wp:cNvGraphicFramePr>
              <a:graphicFrameLocks noChangeAspect="1"/>
            </wp:cNvGraphicFramePr>
            <a:graphic>
              <a:graphicData uri="http://schemas.openxmlformats.org/drawingml/2006/picture">
                <pic:pic>
                  <pic:nvPicPr>
                    <pic:cNvPr id="0" name="class-diagram.png"/>
                    <pic:cNvPicPr/>
                  </pic:nvPicPr>
                  <pic:blipFill>
                    <a:blip r:embed="rId10"/>
                    <a:stretch>
                      <a:fillRect/>
                    </a:stretch>
                  </pic:blipFill>
                  <pic:spPr>
                    <a:xfrm>
                      <a:off x="0" y="0"/>
                      <a:ext cx="6263640" cy="4126633"/>
                    </a:xfrm>
                    <a:prstGeom prst="rect"/>
                  </pic:spPr>
                </pic:pic>
              </a:graphicData>
            </a:graphic>
          </wp:inline>
        </w:drawing>
      </w:r>
    </w:p>
    <w:p>
      <w:pPr>
        <w:jc w:val="center"/>
      </w:pPr>
      <w:r>
        <w:rPr>
          <w:i/>
        </w:rPr>
        <w:t>Figure 1  Core domain model and principal relationships</w:t>
      </w:r>
    </w:p>
    <w:p>
      <w:pPr>
        <w:pStyle w:val="Heading1"/>
      </w:pPr>
      <w:r>
        <w:t>3 Core data model</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89"/>
        <w:gridCol w:w="3389"/>
        <w:gridCol w:w="3389"/>
      </w:tblGrid>
      <w:tr>
        <w:trPr>
          <w:tblHeader w:val="true"/>
        </w:trPr>
        <w:tc>
          <w:tcPr>
            <w:tcW w:type="dxa" w:w="1728"/>
            <w:shd w:fill="173C34"/>
            <w:tcMar>
              <w:top w:w="100" w:type="dxa"/>
              <w:start w:w="110" w:type="dxa"/>
              <w:bottom w:w="100" w:type="dxa"/>
              <w:end w:w="110" w:type="dxa"/>
            </w:tcMar>
            <w:vAlign w:val="center"/>
          </w:tcPr>
          <w:p>
            <w:r>
              <w:rPr>
                <w:b/>
                <w:color w:val="FFFFFF"/>
                <w:sz w:val="16"/>
              </w:rPr>
              <w:t>Class</w:t>
            </w:r>
          </w:p>
        </w:tc>
        <w:tc>
          <w:tcPr>
            <w:tcW w:type="dxa" w:w="3744"/>
            <w:shd w:fill="173C34"/>
            <w:tcMar>
              <w:top w:w="100" w:type="dxa"/>
              <w:start w:w="110" w:type="dxa"/>
              <w:bottom w:w="100" w:type="dxa"/>
              <w:end w:w="110" w:type="dxa"/>
            </w:tcMar>
            <w:vAlign w:val="center"/>
          </w:tcPr>
          <w:p>
            <w:r>
              <w:rPr>
                <w:b/>
                <w:color w:val="FFFFFF"/>
                <w:sz w:val="16"/>
              </w:rPr>
              <w:t>Key responsibility</w:t>
            </w:r>
          </w:p>
        </w:tc>
        <w:tc>
          <w:tcPr>
            <w:tcW w:type="dxa" w:w="3960"/>
            <w:shd w:fill="173C34"/>
            <w:tcMar>
              <w:top w:w="100" w:type="dxa"/>
              <w:start w:w="110" w:type="dxa"/>
              <w:bottom w:w="100" w:type="dxa"/>
              <w:end w:w="110" w:type="dxa"/>
            </w:tcMar>
            <w:vAlign w:val="center"/>
          </w:tcPr>
          <w:p>
            <w:r>
              <w:rPr>
                <w:b/>
                <w:color w:val="FFFFFF"/>
                <w:sz w:val="16"/>
              </w:rPr>
              <w:t>Primary relationships</w:t>
            </w:r>
          </w:p>
        </w:tc>
      </w:tr>
      <w:tr>
        <w:trPr>
          <w:cantSplit/>
        </w:trPr>
        <w:tc>
          <w:tcPr>
            <w:tcW w:type="dxa" w:w="1728"/>
            <w:tcMar>
              <w:top w:w="100" w:type="dxa"/>
              <w:start w:w="110" w:type="dxa"/>
              <w:bottom w:w="100" w:type="dxa"/>
              <w:end w:w="110" w:type="dxa"/>
            </w:tcMar>
            <w:vAlign w:val="center"/>
          </w:tcPr>
          <w:p>
            <w:pPr>
              <w:spacing w:after="0" w:line="252" w:lineRule="auto"/>
            </w:pPr>
            <w:r>
              <w:rPr>
                <w:sz w:val="15"/>
              </w:rPr>
              <w:t>Entreprise</w:t>
            </w:r>
          </w:p>
        </w:tc>
        <w:tc>
          <w:tcPr>
            <w:tcW w:type="dxa" w:w="3744"/>
            <w:tcMar>
              <w:top w:w="100" w:type="dxa"/>
              <w:start w:w="110" w:type="dxa"/>
              <w:bottom w:w="100" w:type="dxa"/>
              <w:end w:w="110" w:type="dxa"/>
            </w:tcMar>
            <w:vAlign w:val="center"/>
          </w:tcPr>
          <w:p>
            <w:pPr>
              <w:spacing w:after="0" w:line="252" w:lineRule="auto"/>
            </w:pPr>
            <w:r>
              <w:rPr>
                <w:sz w:val="15"/>
              </w:rPr>
              <w:t>Legal ownership boundary for every business record</w:t>
            </w:r>
          </w:p>
        </w:tc>
        <w:tc>
          <w:tcPr>
            <w:tcW w:type="dxa" w:w="3960"/>
            <w:tcMar>
              <w:top w:w="100" w:type="dxa"/>
              <w:start w:w="110" w:type="dxa"/>
              <w:bottom w:w="100" w:type="dxa"/>
              <w:end w:w="110" w:type="dxa"/>
            </w:tcMar>
            <w:vAlign w:val="center"/>
          </w:tcPr>
          <w:p>
            <w:pPr>
              <w:spacing w:after="0" w:line="252" w:lineRule="auto"/>
            </w:pPr>
            <w:r>
              <w:rPr>
                <w:sz w:val="15"/>
              </w:rPr>
              <w:t>Owns parcels, animals, sales, invoices and Journal entries</w:t>
            </w:r>
          </w:p>
        </w:tc>
      </w:tr>
      <w:tr>
        <w:trPr>
          <w:cantSplit/>
        </w:trPr>
        <w:tc>
          <w:tcPr>
            <w:tcW w:type="dxa" w:w="1728"/>
            <w:tcMar>
              <w:top w:w="100" w:type="dxa"/>
              <w:start w:w="110" w:type="dxa"/>
              <w:bottom w:w="100" w:type="dxa"/>
              <w:end w:w="110" w:type="dxa"/>
            </w:tcMar>
            <w:vAlign w:val="center"/>
            <w:shd w:fill="F4F7F5"/>
          </w:tcPr>
          <w:p>
            <w:pPr>
              <w:spacing w:after="0" w:line="252" w:lineRule="auto"/>
            </w:pPr>
            <w:r>
              <w:rPr>
                <w:sz w:val="15"/>
              </w:rPr>
              <w:t>Parcelle</w:t>
            </w:r>
          </w:p>
        </w:tc>
        <w:tc>
          <w:tcPr>
            <w:tcW w:type="dxa" w:w="3744"/>
            <w:tcMar>
              <w:top w:w="100" w:type="dxa"/>
              <w:start w:w="110" w:type="dxa"/>
              <w:bottom w:w="100" w:type="dxa"/>
              <w:end w:w="110" w:type="dxa"/>
            </w:tcMar>
            <w:vAlign w:val="center"/>
            <w:shd w:fill="F4F7F5"/>
          </w:tcPr>
          <w:p>
            <w:pPr>
              <w:spacing w:after="0" w:line="252" w:lineRule="auto"/>
            </w:pPr>
            <w:r>
              <w:rPr>
                <w:sz w:val="15"/>
              </w:rPr>
              <w:t>Crop, area, geometry and field history</w:t>
            </w:r>
          </w:p>
        </w:tc>
        <w:tc>
          <w:tcPr>
            <w:tcW w:type="dxa" w:w="3960"/>
            <w:tcMar>
              <w:top w:w="100" w:type="dxa"/>
              <w:start w:w="110" w:type="dxa"/>
              <w:bottom w:w="100" w:type="dxa"/>
              <w:end w:w="110" w:type="dxa"/>
            </w:tcMar>
            <w:vAlign w:val="center"/>
            <w:shd w:fill="F4F7F5"/>
          </w:tcPr>
          <w:p>
            <w:pPr>
              <w:spacing w:after="0" w:line="252" w:lineRule="auto"/>
            </w:pPr>
            <w:r>
              <w:rPr>
                <w:sz w:val="15"/>
              </w:rPr>
              <w:t>Receives interventions and wheat diagnostics</w:t>
            </w:r>
          </w:p>
        </w:tc>
      </w:tr>
      <w:tr>
        <w:trPr>
          <w:cantSplit/>
        </w:trPr>
        <w:tc>
          <w:tcPr>
            <w:tcW w:type="dxa" w:w="1728"/>
            <w:tcMar>
              <w:top w:w="100" w:type="dxa"/>
              <w:start w:w="110" w:type="dxa"/>
              <w:bottom w:w="100" w:type="dxa"/>
              <w:end w:w="110" w:type="dxa"/>
            </w:tcMar>
            <w:vAlign w:val="center"/>
          </w:tcPr>
          <w:p>
            <w:pPr>
              <w:spacing w:after="0" w:line="252" w:lineRule="auto"/>
            </w:pPr>
            <w:r>
              <w:rPr>
                <w:sz w:val="15"/>
              </w:rPr>
              <w:t>Intervention</w:t>
            </w:r>
          </w:p>
        </w:tc>
        <w:tc>
          <w:tcPr>
            <w:tcW w:type="dxa" w:w="3744"/>
            <w:tcMar>
              <w:top w:w="100" w:type="dxa"/>
              <w:start w:w="110" w:type="dxa"/>
              <w:bottom w:w="100" w:type="dxa"/>
              <w:end w:w="110" w:type="dxa"/>
            </w:tcMar>
            <w:vAlign w:val="center"/>
          </w:tcPr>
          <w:p>
            <w:pPr>
              <w:spacing w:after="0" w:line="252" w:lineRule="auto"/>
            </w:pPr>
            <w:r>
              <w:rPr>
                <w:sz w:val="15"/>
              </w:rPr>
              <w:t>Dated field operation with input, dose, weather and cost</w:t>
            </w:r>
          </w:p>
        </w:tc>
        <w:tc>
          <w:tcPr>
            <w:tcW w:type="dxa" w:w="3960"/>
            <w:tcMar>
              <w:top w:w="100" w:type="dxa"/>
              <w:start w:w="110" w:type="dxa"/>
              <w:bottom w:w="100" w:type="dxa"/>
              <w:end w:w="110" w:type="dxa"/>
            </w:tcMar>
            <w:vAlign w:val="center"/>
          </w:tcPr>
          <w:p>
            <w:pPr>
              <w:spacing w:after="0" w:line="252" w:lineRule="auto"/>
            </w:pPr>
            <w:r>
              <w:rPr>
                <w:sz w:val="15"/>
              </w:rPr>
              <w:t>Belongs to a parcel and company</w:t>
            </w:r>
          </w:p>
        </w:tc>
      </w:tr>
      <w:tr>
        <w:trPr>
          <w:cantSplit/>
        </w:trPr>
        <w:tc>
          <w:tcPr>
            <w:tcW w:type="dxa" w:w="1728"/>
            <w:tcMar>
              <w:top w:w="100" w:type="dxa"/>
              <w:start w:w="110" w:type="dxa"/>
              <w:bottom w:w="100" w:type="dxa"/>
              <w:end w:w="110" w:type="dxa"/>
            </w:tcMar>
            <w:vAlign w:val="center"/>
            <w:shd w:fill="F4F7F5"/>
          </w:tcPr>
          <w:p>
            <w:pPr>
              <w:spacing w:after="0" w:line="252" w:lineRule="auto"/>
            </w:pPr>
            <w:r>
              <w:rPr>
                <w:sz w:val="15"/>
              </w:rPr>
              <w:t>Animal</w:t>
            </w:r>
          </w:p>
        </w:tc>
        <w:tc>
          <w:tcPr>
            <w:tcW w:type="dxa" w:w="3744"/>
            <w:tcMar>
              <w:top w:w="100" w:type="dxa"/>
              <w:start w:w="110" w:type="dxa"/>
              <w:bottom w:w="100" w:type="dxa"/>
              <w:end w:w="110" w:type="dxa"/>
            </w:tcMar>
            <w:vAlign w:val="center"/>
            <w:shd w:fill="F4F7F5"/>
          </w:tcPr>
          <w:p>
            <w:pPr>
              <w:spacing w:after="0" w:line="252" w:lineRule="auto"/>
            </w:pPr>
            <w:r>
              <w:rPr>
                <w:sz w:val="15"/>
              </w:rPr>
              <w:t>National identity, pedigree, birth and lifecycle state</w:t>
            </w:r>
          </w:p>
        </w:tc>
        <w:tc>
          <w:tcPr>
            <w:tcW w:type="dxa" w:w="3960"/>
            <w:tcMar>
              <w:top w:w="100" w:type="dxa"/>
              <w:start w:w="110" w:type="dxa"/>
              <w:bottom w:w="100" w:type="dxa"/>
              <w:end w:w="110" w:type="dxa"/>
            </w:tcMar>
            <w:vAlign w:val="center"/>
            <w:shd w:fill="F4F7F5"/>
          </w:tcPr>
          <w:p>
            <w:pPr>
              <w:spacing w:after="0" w:line="252" w:lineRule="auto"/>
            </w:pPr>
            <w:r>
              <w:rPr>
                <w:sz w:val="15"/>
              </w:rPr>
              <w:t>Belongs to a company; may link to media and sales</w:t>
            </w:r>
          </w:p>
        </w:tc>
      </w:tr>
      <w:tr>
        <w:trPr>
          <w:cantSplit/>
        </w:trPr>
        <w:tc>
          <w:tcPr>
            <w:tcW w:type="dxa" w:w="1728"/>
            <w:tcMar>
              <w:top w:w="100" w:type="dxa"/>
              <w:start w:w="110" w:type="dxa"/>
              <w:bottom w:w="100" w:type="dxa"/>
              <w:end w:w="110" w:type="dxa"/>
            </w:tcMar>
            <w:vAlign w:val="center"/>
          </w:tcPr>
          <w:p>
            <w:pPr>
              <w:spacing w:after="0" w:line="252" w:lineRule="auto"/>
            </w:pPr>
            <w:r>
              <w:rPr>
                <w:sz w:val="15"/>
              </w:rPr>
              <w:t>Fournisseur</w:t>
            </w:r>
          </w:p>
        </w:tc>
        <w:tc>
          <w:tcPr>
            <w:tcW w:type="dxa" w:w="3744"/>
            <w:tcMar>
              <w:top w:w="100" w:type="dxa"/>
              <w:start w:w="110" w:type="dxa"/>
              <w:bottom w:w="100" w:type="dxa"/>
              <w:end w:w="110" w:type="dxa"/>
            </w:tcMar>
            <w:vAlign w:val="center"/>
          </w:tcPr>
          <w:p>
            <w:pPr>
              <w:spacing w:after="0" w:line="252" w:lineRule="auto"/>
            </w:pPr>
            <w:r>
              <w:rPr>
                <w:sz w:val="15"/>
              </w:rPr>
              <w:t>Agricultural taxonomy, contacts and purchasing history</w:t>
            </w:r>
          </w:p>
        </w:tc>
        <w:tc>
          <w:tcPr>
            <w:tcW w:type="dxa" w:w="3960"/>
            <w:tcMar>
              <w:top w:w="100" w:type="dxa"/>
              <w:start w:w="110" w:type="dxa"/>
              <w:bottom w:w="100" w:type="dxa"/>
              <w:end w:w="110" w:type="dxa"/>
            </w:tcMar>
            <w:vAlign w:val="center"/>
          </w:tcPr>
          <w:p>
            <w:pPr>
              <w:spacing w:after="0" w:line="252" w:lineRule="auto"/>
            </w:pPr>
            <w:r>
              <w:rPr>
                <w:sz w:val="15"/>
              </w:rPr>
              <w:t>Receives orders; links to invoices</w:t>
            </w:r>
          </w:p>
        </w:tc>
      </w:tr>
      <w:tr>
        <w:trPr>
          <w:cantSplit/>
        </w:trPr>
        <w:tc>
          <w:tcPr>
            <w:tcW w:type="dxa" w:w="1728"/>
            <w:tcMar>
              <w:top w:w="100" w:type="dxa"/>
              <w:start w:w="110" w:type="dxa"/>
              <w:bottom w:w="100" w:type="dxa"/>
              <w:end w:w="110" w:type="dxa"/>
            </w:tcMar>
            <w:vAlign w:val="center"/>
            <w:shd w:fill="F4F7F5"/>
          </w:tcPr>
          <w:p>
            <w:pPr>
              <w:spacing w:after="0" w:line="252" w:lineRule="auto"/>
            </w:pPr>
            <w:r>
              <w:rPr>
                <w:sz w:val="15"/>
              </w:rPr>
              <w:t>Camera and Alert</w:t>
            </w:r>
          </w:p>
        </w:tc>
        <w:tc>
          <w:tcPr>
            <w:tcW w:type="dxa" w:w="3744"/>
            <w:tcMar>
              <w:top w:w="100" w:type="dxa"/>
              <w:start w:w="110" w:type="dxa"/>
              <w:bottom w:w="100" w:type="dxa"/>
              <w:end w:w="110" w:type="dxa"/>
            </w:tcMar>
            <w:vAlign w:val="center"/>
            <w:shd w:fill="F4F7F5"/>
          </w:tcPr>
          <w:p>
            <w:pPr>
              <w:spacing w:after="0" w:line="252" w:lineRule="auto"/>
            </w:pPr>
            <w:r>
              <w:rPr>
                <w:sz w:val="15"/>
              </w:rPr>
              <w:t>Secured device metadata and AI detection events</w:t>
            </w:r>
          </w:p>
        </w:tc>
        <w:tc>
          <w:tcPr>
            <w:tcW w:type="dxa" w:w="3960"/>
            <w:tcMar>
              <w:top w:w="100" w:type="dxa"/>
              <w:start w:w="110" w:type="dxa"/>
              <w:bottom w:w="100" w:type="dxa"/>
              <w:end w:w="110" w:type="dxa"/>
            </w:tcMar>
            <w:vAlign w:val="center"/>
            <w:shd w:fill="F4F7F5"/>
          </w:tcPr>
          <w:p>
            <w:pPr>
              <w:spacing w:after="0" w:line="252" w:lineRule="auto"/>
            </w:pPr>
            <w:r>
              <w:rPr>
                <w:sz w:val="15"/>
              </w:rPr>
              <w:t>Links evidence to animals, parcels and Journal</w:t>
            </w:r>
          </w:p>
        </w:tc>
      </w:tr>
      <w:tr>
        <w:trPr>
          <w:cantSplit/>
        </w:trPr>
        <w:tc>
          <w:tcPr>
            <w:tcW w:type="dxa" w:w="1728"/>
            <w:tcMar>
              <w:top w:w="100" w:type="dxa"/>
              <w:start w:w="110" w:type="dxa"/>
              <w:bottom w:w="100" w:type="dxa"/>
              <w:end w:w="110" w:type="dxa"/>
            </w:tcMar>
            <w:vAlign w:val="center"/>
          </w:tcPr>
          <w:p>
            <w:pPr>
              <w:spacing w:after="0" w:line="252" w:lineRule="auto"/>
            </w:pPr>
            <w:r>
              <w:rPr>
                <w:sz w:val="15"/>
              </w:rPr>
              <w:t>Journal</w:t>
            </w:r>
          </w:p>
        </w:tc>
        <w:tc>
          <w:tcPr>
            <w:tcW w:type="dxa" w:w="3744"/>
            <w:tcMar>
              <w:top w:w="100" w:type="dxa"/>
              <w:start w:w="110" w:type="dxa"/>
              <w:bottom w:w="100" w:type="dxa"/>
              <w:end w:w="110" w:type="dxa"/>
            </w:tcMar>
            <w:vAlign w:val="center"/>
          </w:tcPr>
          <w:p>
            <w:pPr>
              <w:spacing w:after="0" w:line="252" w:lineRule="auto"/>
            </w:pPr>
            <w:r>
              <w:rPr>
                <w:sz w:val="15"/>
              </w:rPr>
              <w:t>Immutable audit narrative of commands, data, calculations and approvals</w:t>
            </w:r>
          </w:p>
        </w:tc>
        <w:tc>
          <w:tcPr>
            <w:tcW w:type="dxa" w:w="3960"/>
            <w:tcMar>
              <w:top w:w="100" w:type="dxa"/>
              <w:start w:w="110" w:type="dxa"/>
              <w:bottom w:w="100" w:type="dxa"/>
              <w:end w:w="110" w:type="dxa"/>
            </w:tcMar>
            <w:vAlign w:val="center"/>
          </w:tcPr>
          <w:p>
            <w:pPr>
              <w:spacing w:after="0" w:line="252" w:lineRule="auto"/>
            </w:pPr>
            <w:r>
              <w:rPr>
                <w:sz w:val="15"/>
              </w:rPr>
              <w:t>References company, user and capture identifiers</w:t>
            </w:r>
          </w:p>
        </w:tc>
      </w:tr>
    </w:tbl>
    <w:p>
      <w:pPr>
        <w:spacing w:after="20"/>
      </w:pPr>
    </w:p>
    <w:p>
      <w:pPr>
        <w:pStyle w:val="Heading1"/>
      </w:pPr>
      <w:r>
        <w:t>4 Business flow</w:t>
      </w:r>
    </w:p>
    <w:p>
      <w:pPr>
        <w:jc w:val="center"/>
      </w:pPr>
      <w:r>
        <w:drawing>
          <wp:inline xmlns:a="http://schemas.openxmlformats.org/drawingml/2006/main" xmlns:pic="http://schemas.openxmlformats.org/drawingml/2006/picture">
            <wp:extent cx="6263640" cy="2652836"/>
            <wp:docPr id="2" name="Picture 2"/>
            <wp:cNvGraphicFramePr>
              <a:graphicFrameLocks noChangeAspect="1"/>
            </wp:cNvGraphicFramePr>
            <a:graphic>
              <a:graphicData uri="http://schemas.openxmlformats.org/drawingml/2006/picture">
                <pic:pic>
                  <pic:nvPicPr>
                    <pic:cNvPr id="0" name="business-flow.png"/>
                    <pic:cNvPicPr/>
                  </pic:nvPicPr>
                  <pic:blipFill>
                    <a:blip r:embed="rId11"/>
                    <a:stretch>
                      <a:fillRect/>
                    </a:stretch>
                  </pic:blipFill>
                  <pic:spPr>
                    <a:xfrm>
                      <a:off x="0" y="0"/>
                      <a:ext cx="6263640" cy="2652836"/>
                    </a:xfrm>
                    <a:prstGeom prst="rect"/>
                  </pic:spPr>
                </pic:pic>
              </a:graphicData>
            </a:graphic>
          </wp:inline>
        </w:drawing>
      </w:r>
    </w:p>
    <w:p>
      <w:pPr>
        <w:jc w:val="center"/>
      </w:pPr>
      <w:r>
        <w:rPr>
          <w:i/>
        </w:rPr>
        <w:t>Figure 2  Standard capture to integration flow</w:t>
      </w:r>
    </w:p>
    <w:p>
      <w:pPr>
        <w:pStyle w:val="Heading2"/>
      </w:pPr>
      <w:r>
        <w:t>4.1 Parcel intervention</w:t>
      </w:r>
    </w:p>
    <w:p>
      <w:r>
        <w:t>The operator selects or speaks the parcel, operation, product and dose. AgriPilot enriches the draft with parcel area, weather, available stock and cost. The operator reviews the calculated total and confirms. Production processing then writes the intervention and stock movement, appends the Journal event and queues a Sheets or Isagri synchronization.</w:t>
      </w:r>
    </w:p>
    <w:p>
      <w:pPr>
        <w:pStyle w:val="Heading2"/>
      </w:pPr>
      <w:r>
        <w:t>4.2 Birth and passport</w:t>
      </w:r>
    </w:p>
    <w:p>
      <w:r>
        <w:t>A voice declaration or passport photo pre-fills animal identity and pedigree. A relevant CAM-01 capture may be proposed as evidence. The operator selects the owning company and validates the fields. Production processing creates the animal, stores media, writes the Journal and submits the approved Boviclic declaration.</w:t>
      </w:r>
    </w:p>
    <w:p>
      <w:pPr>
        <w:pStyle w:val="Heading2"/>
      </w:pPr>
      <w:r>
        <w:t>4.3 Supplier purchase</w:t>
      </w:r>
    </w:p>
    <w:p>
      <w:r>
        <w:t>A need is classified using the agricultural supplier taxonomy. Candidate suppliers are ranked and message drafts are generated. Nothing leaves the system until the operator approves a draft. After a quote is selected, the order state advances and the later invoice is matched to the company and order.</w:t>
      </w:r>
    </w:p>
    <w:p>
      <w:pPr>
        <w:pStyle w:val="Heading1"/>
      </w:pPr>
      <w:r>
        <w:t>5 Operating guide</w:t>
      </w:r>
    </w:p>
    <w:p>
      <w:pPr>
        <w:pStyle w:val="Heading2"/>
      </w:pPr>
      <w:r>
        <w:t>5.1 Use the control centre</w:t>
      </w:r>
    </w:p>
    <w:p>
      <w:pPr>
        <w:jc w:val="center"/>
      </w:pPr>
      <w:r>
        <w:drawing>
          <wp:inline xmlns:a="http://schemas.openxmlformats.org/drawingml/2006/main" xmlns:pic="http://schemas.openxmlformats.org/drawingml/2006/picture">
            <wp:extent cx="5715000" cy="5699147"/>
            <wp:docPr id="3" name="Picture 3"/>
            <wp:cNvGraphicFramePr>
              <a:graphicFrameLocks noChangeAspect="1"/>
            </wp:cNvGraphicFramePr>
            <a:graphic>
              <a:graphicData uri="http://schemas.openxmlformats.org/drawingml/2006/picture">
                <pic:pic>
                  <pic:nvPicPr>
                    <pic:cNvPr id="0" name="01-dashboard.png"/>
                    <pic:cNvPicPr/>
                  </pic:nvPicPr>
                  <pic:blipFill>
                    <a:blip r:embed="rId12"/>
                    <a:stretch>
                      <a:fillRect/>
                    </a:stretch>
                  </pic:blipFill>
                  <pic:spPr>
                    <a:xfrm>
                      <a:off x="0" y="0"/>
                      <a:ext cx="5715000" cy="5699147"/>
                    </a:xfrm>
                    <a:prstGeom prst="rect"/>
                  </pic:spPr>
                </pic:pic>
              </a:graphicData>
            </a:graphic>
          </wp:inline>
        </w:drawing>
      </w:r>
    </w:p>
    <w:p>
      <w:pPr>
        <w:spacing w:after="40"/>
      </w:pPr>
      <w:r>
        <w:t>1.  Review the four KPIs for cash, invoices, available grain and calvings.</w:t>
      </w:r>
    </w:p>
    <w:p>
      <w:pPr>
        <w:spacing w:after="40"/>
      </w:pPr>
      <w:r>
        <w:t>2.  Check the live camera area and prioritised alerts.</w:t>
      </w:r>
    </w:p>
    <w:p>
      <w:pPr>
        <w:spacing w:after="40"/>
      </w:pPr>
      <w:r>
        <w:t>3.  Use the left navigation on desktop or the menu button on compact screens.</w:t>
      </w:r>
    </w:p>
    <w:p>
      <w:pPr>
        <w:spacing w:after="40"/>
      </w:pPr>
      <w:r>
        <w:t>4.  Select Mode terrain for the field-optimised bottom navigation.</w:t>
      </w:r>
    </w:p>
    <w:p>
      <w:pPr>
        <w:pStyle w:val="Heading2"/>
      </w:pPr>
      <w:r>
        <w:t>5.2 Record a parcel intervention</w:t>
      </w:r>
    </w:p>
    <w:p>
      <w:pPr>
        <w:jc w:val="center"/>
      </w:pPr>
      <w:r>
        <w:drawing>
          <wp:inline xmlns:a="http://schemas.openxmlformats.org/drawingml/2006/main" xmlns:pic="http://schemas.openxmlformats.org/drawingml/2006/picture">
            <wp:extent cx="5715000" cy="5699147"/>
            <wp:docPr id="4" name="Picture 4"/>
            <wp:cNvGraphicFramePr>
              <a:graphicFrameLocks noChangeAspect="1"/>
            </wp:cNvGraphicFramePr>
            <a:graphic>
              <a:graphicData uri="http://schemas.openxmlformats.org/drawingml/2006/picture">
                <pic:pic>
                  <pic:nvPicPr>
                    <pic:cNvPr id="0" name="02-parcelles.png"/>
                    <pic:cNvPicPr/>
                  </pic:nvPicPr>
                  <pic:blipFill>
                    <a:blip r:embed="rId13"/>
                    <a:stretch>
                      <a:fillRect/>
                    </a:stretch>
                  </pic:blipFill>
                  <pic:spPr>
                    <a:xfrm>
                      <a:off x="0" y="0"/>
                      <a:ext cx="5715000" cy="5699147"/>
                    </a:xfrm>
                    <a:prstGeom prst="rect"/>
                  </pic:spPr>
                </pic:pic>
              </a:graphicData>
            </a:graphic>
          </wp:inline>
        </w:drawing>
      </w:r>
    </w:p>
    <w:p>
      <w:pPr>
        <w:spacing w:after="40"/>
      </w:pPr>
      <w:r>
        <w:t>5.  Open Parcelles et intrants.</w:t>
      </w:r>
    </w:p>
    <w:p>
      <w:pPr>
        <w:spacing w:after="40"/>
      </w:pPr>
      <w:r>
        <w:t>6.  Select a parcel to review its crop, area, status and recent history.</w:t>
      </w:r>
    </w:p>
    <w:p>
      <w:pPr>
        <w:spacing w:after="40"/>
      </w:pPr>
      <w:r>
        <w:t>7.  Choose Nouvelle intervention.</w:t>
      </w:r>
    </w:p>
    <w:p>
      <w:pPr>
        <w:spacing w:after="40"/>
      </w:pPr>
      <w:r>
        <w:t>8.  Enter operation type, product, dose, nitrogen units and treated area.</w:t>
      </w:r>
    </w:p>
    <w:p>
      <w:pPr>
        <w:spacing w:after="40"/>
      </w:pPr>
      <w:r>
        <w:t>9.  Review total quantity, cost and remaining stock, then validate.</w:t>
      </w:r>
    </w:p>
    <w:p>
      <w:pPr>
        <w:pStyle w:val="Heading2"/>
      </w:pPr>
      <w:r>
        <w:t>5.3 Scan a bovine passport</w:t>
      </w:r>
    </w:p>
    <w:p>
      <w:pPr>
        <w:jc w:val="center"/>
      </w:pPr>
      <w:r>
        <w:drawing>
          <wp:inline xmlns:a="http://schemas.openxmlformats.org/drawingml/2006/main" xmlns:pic="http://schemas.openxmlformats.org/drawingml/2006/picture">
            <wp:extent cx="5715000" cy="5699147"/>
            <wp:docPr id="5" name="Picture 5"/>
            <wp:cNvGraphicFramePr>
              <a:graphicFrameLocks noChangeAspect="1"/>
            </wp:cNvGraphicFramePr>
            <a:graphic>
              <a:graphicData uri="http://schemas.openxmlformats.org/drawingml/2006/picture">
                <pic:pic>
                  <pic:nvPicPr>
                    <pic:cNvPr id="0" name="03-passeport.png"/>
                    <pic:cNvPicPr/>
                  </pic:nvPicPr>
                  <pic:blipFill>
                    <a:blip r:embed="rId14"/>
                    <a:stretch>
                      <a:fillRect/>
                    </a:stretch>
                  </pic:blipFill>
                  <pic:spPr>
                    <a:xfrm>
                      <a:off x="0" y="0"/>
                      <a:ext cx="5715000" cy="5699147"/>
                    </a:xfrm>
                    <a:prstGeom prst="rect"/>
                  </pic:spPr>
                </pic:pic>
              </a:graphicData>
            </a:graphic>
          </wp:inline>
        </w:drawing>
      </w:r>
    </w:p>
    <w:p>
      <w:pPr>
        <w:spacing w:after="40"/>
      </w:pPr>
      <w:r>
        <w:t>10.  Open Scan passeport.</w:t>
      </w:r>
    </w:p>
    <w:p>
      <w:pPr>
        <w:spacing w:after="40"/>
      </w:pPr>
      <w:r>
        <w:t>11.  Frame the passport in the scanning area and press the yellow shutter.</w:t>
      </w:r>
    </w:p>
    <w:p>
      <w:pPr>
        <w:spacing w:after="40"/>
      </w:pPr>
      <w:r>
        <w:t>12.  Review national number, work number, breed, sex, birth date and destination company.</w:t>
      </w:r>
    </w:p>
    <w:p>
      <w:pPr>
        <w:spacing w:after="40"/>
      </w:pPr>
      <w:r>
        <w:t>13.  Correct uncertain OCR fields before choosing Create in herd.</w:t>
      </w:r>
    </w:p>
    <w:p>
      <w:pPr>
        <w:spacing w:after="40"/>
      </w:pPr>
      <w:r>
        <w:t>14.  Keep the Boviclic submission pending until the human validation step is complete.</w:t>
      </w:r>
    </w:p>
    <w:p>
      <w:pPr>
        <w:pStyle w:val="Heading2"/>
      </w:pPr>
      <w:r>
        <w:t>5.4 Validate a wheat diagnosis</w:t>
      </w:r>
    </w:p>
    <w:p>
      <w:pPr>
        <w:jc w:val="center"/>
      </w:pPr>
      <w:r>
        <w:drawing>
          <wp:inline xmlns:a="http://schemas.openxmlformats.org/drawingml/2006/main" xmlns:pic="http://schemas.openxmlformats.org/drawingml/2006/picture">
            <wp:extent cx="5715000" cy="5699147"/>
            <wp:docPr id="6" name="Picture 6"/>
            <wp:cNvGraphicFramePr>
              <a:graphicFrameLocks noChangeAspect="1"/>
            </wp:cNvGraphicFramePr>
            <a:graphic>
              <a:graphicData uri="http://schemas.openxmlformats.org/drawingml/2006/picture">
                <pic:pic>
                  <pic:nvPicPr>
                    <pic:cNvPr id="0" name="04-diagnostic.png"/>
                    <pic:cNvPicPr/>
                  </pic:nvPicPr>
                  <pic:blipFill>
                    <a:blip r:embed="rId15"/>
                    <a:stretch>
                      <a:fillRect/>
                    </a:stretch>
                  </pic:blipFill>
                  <pic:spPr>
                    <a:xfrm>
                      <a:off x="0" y="0"/>
                      <a:ext cx="5715000" cy="5699147"/>
                    </a:xfrm>
                    <a:prstGeom prst="rect"/>
                  </pic:spPr>
                </pic:pic>
              </a:graphicData>
            </a:graphic>
          </wp:inline>
        </w:drawing>
      </w:r>
    </w:p>
    <w:p>
      <w:pPr>
        <w:spacing w:after="40"/>
      </w:pPr>
      <w:r>
        <w:t>15.  Open Diagnostic blé and capture the affected plant.</w:t>
      </w:r>
    </w:p>
    <w:p>
      <w:pPr>
        <w:spacing w:after="40"/>
      </w:pPr>
      <w:r>
        <w:t>16.  Review Zadoks stage and the disease percentages.</w:t>
      </w:r>
    </w:p>
    <w:p>
      <w:pPr>
        <w:spacing w:after="40"/>
      </w:pPr>
      <w:r>
        <w:t>17.  Compare the result with the displayed treatment threshold.</w:t>
      </w:r>
    </w:p>
    <w:p>
      <w:pPr>
        <w:spacing w:after="40"/>
      </w:pPr>
      <w:r>
        <w:t>18.  Check product, dose, cost, withholding period and weather window.</w:t>
      </w:r>
    </w:p>
    <w:p>
      <w:pPr>
        <w:spacing w:after="40"/>
      </w:pPr>
      <w:r>
        <w:t>19.  Validate to create the treatment task, or reject the recommendation.</w:t>
      </w:r>
    </w:p>
    <w:p>
      <w:pPr>
        <w:pStyle w:val="Heading2"/>
      </w:pPr>
      <w:r>
        <w:t>5.5 Approve a supplier purchase</w:t>
      </w:r>
    </w:p>
    <w:p>
      <w:pPr>
        <w:jc w:val="center"/>
      </w:pPr>
      <w:r>
        <w:drawing>
          <wp:inline xmlns:a="http://schemas.openxmlformats.org/drawingml/2006/main" xmlns:pic="http://schemas.openxmlformats.org/drawingml/2006/picture">
            <wp:extent cx="5715000" cy="5699147"/>
            <wp:docPr id="7" name="Picture 7"/>
            <wp:cNvGraphicFramePr>
              <a:graphicFrameLocks noChangeAspect="1"/>
            </wp:cNvGraphicFramePr>
            <a:graphic>
              <a:graphicData uri="http://schemas.openxmlformats.org/drawingml/2006/picture">
                <pic:pic>
                  <pic:nvPicPr>
                    <pic:cNvPr id="0" name="05-achats.png"/>
                    <pic:cNvPicPr/>
                  </pic:nvPicPr>
                  <pic:blipFill>
                    <a:blip r:embed="rId16"/>
                    <a:stretch>
                      <a:fillRect/>
                    </a:stretch>
                  </pic:blipFill>
                  <pic:spPr>
                    <a:xfrm>
                      <a:off x="0" y="0"/>
                      <a:ext cx="5715000" cy="5699147"/>
                    </a:xfrm>
                    <a:prstGeom prst="rect"/>
                  </pic:spPr>
                </pic:pic>
              </a:graphicData>
            </a:graphic>
          </wp:inline>
        </w:drawing>
      </w:r>
    </w:p>
    <w:p>
      <w:pPr>
        <w:spacing w:after="40"/>
      </w:pPr>
      <w:r>
        <w:t>20.  Open Suppliers and purchases and create a need.</w:t>
      </w:r>
    </w:p>
    <w:p>
      <w:pPr>
        <w:spacing w:after="40"/>
      </w:pPr>
      <w:r>
        <w:t>21.  Compare supplier price and delivery time.</w:t>
      </w:r>
    </w:p>
    <w:p>
      <w:pPr>
        <w:spacing w:after="40"/>
      </w:pPr>
      <w:r>
        <w:t>22.  Select the preferred quote.</w:t>
      </w:r>
    </w:p>
    <w:p>
      <w:pPr>
        <w:spacing w:after="40"/>
      </w:pPr>
      <w:r>
        <w:t>23.  Review the outbound draft and owning company.</w:t>
      </w:r>
    </w:p>
    <w:p>
      <w:pPr>
        <w:spacing w:after="40"/>
      </w:pPr>
      <w:r>
        <w:t>24.  Approve the order; the production system should record the decision in the Journal.</w:t>
      </w:r>
    </w:p>
    <w:p>
      <w:pPr>
        <w:pStyle w:val="Heading2"/>
      </w:pPr>
      <w:r>
        <w:t>5.6 Review an extracted invoice</w:t>
      </w:r>
    </w:p>
    <w:p>
      <w:pPr>
        <w:jc w:val="center"/>
      </w:pPr>
      <w:r>
        <w:drawing>
          <wp:inline xmlns:a="http://schemas.openxmlformats.org/drawingml/2006/main" xmlns:pic="http://schemas.openxmlformats.org/drawingml/2006/picture">
            <wp:extent cx="5715000" cy="5699147"/>
            <wp:docPr id="8" name="Picture 8"/>
            <wp:cNvGraphicFramePr>
              <a:graphicFrameLocks noChangeAspect="1"/>
            </wp:cNvGraphicFramePr>
            <a:graphic>
              <a:graphicData uri="http://schemas.openxmlformats.org/drawingml/2006/picture">
                <pic:pic>
                  <pic:nvPicPr>
                    <pic:cNvPr id="0" name="06-factures.png"/>
                    <pic:cNvPicPr/>
                  </pic:nvPicPr>
                  <pic:blipFill>
                    <a:blip r:embed="rId17"/>
                    <a:stretch>
                      <a:fillRect/>
                    </a:stretch>
                  </pic:blipFill>
                  <pic:spPr>
                    <a:xfrm>
                      <a:off x="0" y="0"/>
                      <a:ext cx="5715000" cy="5699147"/>
                    </a:xfrm>
                    <a:prstGeom prst="rect"/>
                  </pic:spPr>
                </pic:pic>
              </a:graphicData>
            </a:graphic>
          </wp:inline>
        </w:drawing>
      </w:r>
    </w:p>
    <w:p>
      <w:pPr>
        <w:spacing w:after="40"/>
      </w:pPr>
      <w:r>
        <w:t>25.  Open Mails and invoices.</w:t>
      </w:r>
    </w:p>
    <w:p>
      <w:pPr>
        <w:spacing w:after="40"/>
      </w:pPr>
      <w:r>
        <w:t>26.  Select an item from the queue.</w:t>
      </w:r>
    </w:p>
    <w:p>
      <w:pPr>
        <w:spacing w:after="40"/>
      </w:pPr>
      <w:r>
        <w:t>27.  Verify supplier, invoice number, amount, due date and proposed company.</w:t>
      </w:r>
    </w:p>
    <w:p>
      <w:pPr>
        <w:spacing w:after="40"/>
      </w:pPr>
      <w:r>
        <w:t>28.  Check the duplicate result and linked purchase evidence.</w:t>
      </w:r>
    </w:p>
    <w:p>
      <w:pPr>
        <w:spacing w:after="40"/>
      </w:pPr>
      <w:r>
        <w:t>29.  Validate and classify only after the extracted data is correct.</w:t>
      </w:r>
    </w:p>
    <w:p>
      <w:pPr>
        <w:pStyle w:val="Heading1"/>
      </w:pPr>
      <w:r>
        <w:t>6 Roles and validation rules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541"/>
        <w:gridCol w:w="2541"/>
        <w:gridCol w:w="2541"/>
        <w:gridCol w:w="2541"/>
      </w:tblGrid>
      <w:tr>
        <w:trPr>
          <w:tblHeader w:val="true"/>
        </w:trPr>
        <w:tc>
          <w:tcPr>
            <w:tcW w:type="dxa" w:w="1944"/>
            <w:shd w:fill="173C34"/>
            <w:tcMar>
              <w:top w:w="100" w:type="dxa"/>
              <w:start w:w="110" w:type="dxa"/>
              <w:bottom w:w="100" w:type="dxa"/>
              <w:end w:w="110" w:type="dxa"/>
            </w:tcMar>
            <w:vAlign w:val="center"/>
          </w:tcPr>
          <w:p>
            <w:r>
              <w:rPr>
                <w:b/>
                <w:color w:val="FFFFFF"/>
                <w:sz w:val="16"/>
              </w:rPr>
              <w:t>Action</w:t>
            </w:r>
          </w:p>
        </w:tc>
        <w:tc>
          <w:tcPr>
            <w:tcW w:type="dxa" w:w="1152"/>
            <w:shd w:fill="173C34"/>
            <w:tcMar>
              <w:top w:w="100" w:type="dxa"/>
              <w:start w:w="110" w:type="dxa"/>
              <w:bottom w:w="100" w:type="dxa"/>
              <w:end w:w="110" w:type="dxa"/>
            </w:tcMar>
            <w:vAlign w:val="center"/>
          </w:tcPr>
          <w:p>
            <w:r>
              <w:rPr>
                <w:b/>
                <w:color w:val="FFFFFF"/>
                <w:sz w:val="16"/>
              </w:rPr>
              <w:t>Draft allowed</w:t>
            </w:r>
          </w:p>
        </w:tc>
        <w:tc>
          <w:tcPr>
            <w:tcW w:type="dxa" w:w="2160"/>
            <w:shd w:fill="173C34"/>
            <w:tcMar>
              <w:top w:w="100" w:type="dxa"/>
              <w:start w:w="110" w:type="dxa"/>
              <w:bottom w:w="100" w:type="dxa"/>
              <w:end w:w="110" w:type="dxa"/>
            </w:tcMar>
            <w:vAlign w:val="center"/>
          </w:tcPr>
          <w:p>
            <w:r>
              <w:rPr>
                <w:b/>
                <w:color w:val="FFFFFF"/>
                <w:sz w:val="16"/>
              </w:rPr>
              <w:t>Human approval required</w:t>
            </w:r>
          </w:p>
        </w:tc>
        <w:tc>
          <w:tcPr>
            <w:tcW w:type="dxa" w:w="3528"/>
            <w:shd w:fill="173C34"/>
            <w:tcMar>
              <w:top w:w="100" w:type="dxa"/>
              <w:start w:w="110" w:type="dxa"/>
              <w:bottom w:w="100" w:type="dxa"/>
              <w:end w:w="110" w:type="dxa"/>
            </w:tcMar>
            <w:vAlign w:val="center"/>
          </w:tcPr>
          <w:p>
            <w:r>
              <w:rPr>
                <w:b/>
                <w:color w:val="FFFFFF"/>
                <w:sz w:val="16"/>
              </w:rPr>
              <w:t>Production side effect</w:t>
            </w:r>
          </w:p>
        </w:tc>
      </w:tr>
      <w:tr>
        <w:trPr>
          <w:cantSplit/>
        </w:trPr>
        <w:tc>
          <w:tcPr>
            <w:tcW w:type="dxa" w:w="1944"/>
            <w:tcMar>
              <w:top w:w="100" w:type="dxa"/>
              <w:start w:w="110" w:type="dxa"/>
              <w:bottom w:w="100" w:type="dxa"/>
              <w:end w:w="110" w:type="dxa"/>
            </w:tcMar>
            <w:vAlign w:val="center"/>
          </w:tcPr>
          <w:p>
            <w:pPr>
              <w:spacing w:after="0" w:line="252" w:lineRule="auto"/>
            </w:pPr>
            <w:r>
              <w:rPr>
                <w:sz w:val="15"/>
              </w:rPr>
              <w:t>Field intervention</w:t>
            </w:r>
          </w:p>
        </w:tc>
        <w:tc>
          <w:tcPr>
            <w:tcW w:type="dxa" w:w="1152"/>
            <w:tcMar>
              <w:top w:w="100" w:type="dxa"/>
              <w:start w:w="110" w:type="dxa"/>
              <w:bottom w:w="100" w:type="dxa"/>
              <w:end w:w="110" w:type="dxa"/>
            </w:tcMar>
            <w:vAlign w:val="center"/>
          </w:tcPr>
          <w:p>
            <w:pPr>
              <w:spacing w:after="0" w:line="252" w:lineRule="auto"/>
            </w:pPr>
            <w:r>
              <w:rPr>
                <w:sz w:val="15"/>
              </w:rPr>
              <w:t>Yes</w:t>
            </w:r>
          </w:p>
        </w:tc>
        <w:tc>
          <w:tcPr>
            <w:tcW w:type="dxa" w:w="2160"/>
            <w:tcMar>
              <w:top w:w="100" w:type="dxa"/>
              <w:start w:w="110" w:type="dxa"/>
              <w:bottom w:w="100" w:type="dxa"/>
              <w:end w:w="110" w:type="dxa"/>
            </w:tcMar>
            <w:vAlign w:val="center"/>
          </w:tcPr>
          <w:p>
            <w:pPr>
              <w:spacing w:after="0" w:line="252" w:lineRule="auto"/>
            </w:pPr>
            <w:r>
              <w:rPr>
                <w:sz w:val="15"/>
              </w:rPr>
              <w:t>Before record and stock update</w:t>
            </w:r>
          </w:p>
        </w:tc>
        <w:tc>
          <w:tcPr>
            <w:tcW w:type="dxa" w:w="3528"/>
            <w:tcMar>
              <w:top w:w="100" w:type="dxa"/>
              <w:start w:w="110" w:type="dxa"/>
              <w:bottom w:w="100" w:type="dxa"/>
              <w:end w:w="110" w:type="dxa"/>
            </w:tcMar>
            <w:vAlign w:val="center"/>
          </w:tcPr>
          <w:p>
            <w:pPr>
              <w:spacing w:after="0" w:line="252" w:lineRule="auto"/>
            </w:pPr>
            <w:r>
              <w:rPr>
                <w:sz w:val="15"/>
              </w:rPr>
              <w:t>Create intervention, stock movement and Journal event</w:t>
            </w:r>
          </w:p>
        </w:tc>
      </w:tr>
      <w:tr>
        <w:trPr>
          <w:cantSplit/>
        </w:trPr>
        <w:tc>
          <w:tcPr>
            <w:tcW w:type="dxa" w:w="1944"/>
            <w:tcMar>
              <w:top w:w="100" w:type="dxa"/>
              <w:start w:w="110" w:type="dxa"/>
              <w:bottom w:w="100" w:type="dxa"/>
              <w:end w:w="110" w:type="dxa"/>
            </w:tcMar>
            <w:vAlign w:val="center"/>
            <w:shd w:fill="F4F7F5"/>
          </w:tcPr>
          <w:p>
            <w:pPr>
              <w:spacing w:after="0" w:line="252" w:lineRule="auto"/>
            </w:pPr>
            <w:r>
              <w:rPr>
                <w:sz w:val="15"/>
              </w:rPr>
              <w:t>Birth declaration</w:t>
            </w:r>
          </w:p>
        </w:tc>
        <w:tc>
          <w:tcPr>
            <w:tcW w:type="dxa" w:w="1152"/>
            <w:tcMar>
              <w:top w:w="100" w:type="dxa"/>
              <w:start w:w="110" w:type="dxa"/>
              <w:bottom w:w="100" w:type="dxa"/>
              <w:end w:w="110" w:type="dxa"/>
            </w:tcMar>
            <w:vAlign w:val="center"/>
            <w:shd w:fill="F4F7F5"/>
          </w:tcPr>
          <w:p>
            <w:pPr>
              <w:spacing w:after="0" w:line="252" w:lineRule="auto"/>
            </w:pPr>
            <w:r>
              <w:rPr>
                <w:sz w:val="15"/>
              </w:rPr>
              <w:t>Yes</w:t>
            </w:r>
          </w:p>
        </w:tc>
        <w:tc>
          <w:tcPr>
            <w:tcW w:type="dxa" w:w="2160"/>
            <w:tcMar>
              <w:top w:w="100" w:type="dxa"/>
              <w:start w:w="110" w:type="dxa"/>
              <w:bottom w:w="100" w:type="dxa"/>
              <w:end w:w="110" w:type="dxa"/>
            </w:tcMar>
            <w:vAlign w:val="center"/>
            <w:shd w:fill="F4F7F5"/>
          </w:tcPr>
          <w:p>
            <w:pPr>
              <w:spacing w:after="0" w:line="252" w:lineRule="auto"/>
            </w:pPr>
            <w:r>
              <w:rPr>
                <w:sz w:val="15"/>
              </w:rPr>
              <w:t>Before Boviclic submission</w:t>
            </w:r>
          </w:p>
        </w:tc>
        <w:tc>
          <w:tcPr>
            <w:tcW w:type="dxa" w:w="3528"/>
            <w:tcMar>
              <w:top w:w="100" w:type="dxa"/>
              <w:start w:w="110" w:type="dxa"/>
              <w:bottom w:w="100" w:type="dxa"/>
              <w:end w:w="110" w:type="dxa"/>
            </w:tcMar>
            <w:vAlign w:val="center"/>
            <w:shd w:fill="F4F7F5"/>
          </w:tcPr>
          <w:p>
            <w:pPr>
              <w:spacing w:after="0" w:line="252" w:lineRule="auto"/>
            </w:pPr>
            <w:r>
              <w:rPr>
                <w:sz w:val="15"/>
              </w:rPr>
              <w:t>Create animal, attach evidence and send approved declaration</w:t>
            </w:r>
          </w:p>
        </w:tc>
      </w:tr>
      <w:tr>
        <w:trPr>
          <w:cantSplit/>
        </w:trPr>
        <w:tc>
          <w:tcPr>
            <w:tcW w:type="dxa" w:w="1944"/>
            <w:tcMar>
              <w:top w:w="100" w:type="dxa"/>
              <w:start w:w="110" w:type="dxa"/>
              <w:bottom w:w="100" w:type="dxa"/>
              <w:end w:w="110" w:type="dxa"/>
            </w:tcMar>
            <w:vAlign w:val="center"/>
          </w:tcPr>
          <w:p>
            <w:pPr>
              <w:spacing w:after="0" w:line="252" w:lineRule="auto"/>
            </w:pPr>
            <w:r>
              <w:rPr>
                <w:sz w:val="15"/>
              </w:rPr>
              <w:t>Supplier request</w:t>
            </w:r>
          </w:p>
        </w:tc>
        <w:tc>
          <w:tcPr>
            <w:tcW w:type="dxa" w:w="1152"/>
            <w:tcMar>
              <w:top w:w="100" w:type="dxa"/>
              <w:start w:w="110" w:type="dxa"/>
              <w:bottom w:w="100" w:type="dxa"/>
              <w:end w:w="110" w:type="dxa"/>
            </w:tcMar>
            <w:vAlign w:val="center"/>
          </w:tcPr>
          <w:p>
            <w:pPr>
              <w:spacing w:after="0" w:line="252" w:lineRule="auto"/>
            </w:pPr>
            <w:r>
              <w:rPr>
                <w:sz w:val="15"/>
              </w:rPr>
              <w:t>Yes</w:t>
            </w:r>
          </w:p>
        </w:tc>
        <w:tc>
          <w:tcPr>
            <w:tcW w:type="dxa" w:w="2160"/>
            <w:tcMar>
              <w:top w:w="100" w:type="dxa"/>
              <w:start w:w="110" w:type="dxa"/>
              <w:bottom w:w="100" w:type="dxa"/>
              <w:end w:w="110" w:type="dxa"/>
            </w:tcMar>
            <w:vAlign w:val="center"/>
          </w:tcPr>
          <w:p>
            <w:pPr>
              <w:spacing w:after="0" w:line="252" w:lineRule="auto"/>
            </w:pPr>
            <w:r>
              <w:rPr>
                <w:sz w:val="15"/>
              </w:rPr>
              <w:t>Before SMS or email</w:t>
            </w:r>
          </w:p>
        </w:tc>
        <w:tc>
          <w:tcPr>
            <w:tcW w:type="dxa" w:w="3528"/>
            <w:tcMar>
              <w:top w:w="100" w:type="dxa"/>
              <w:start w:w="110" w:type="dxa"/>
              <w:bottom w:w="100" w:type="dxa"/>
              <w:end w:w="110" w:type="dxa"/>
            </w:tcMar>
            <w:vAlign w:val="center"/>
          </w:tcPr>
          <w:p>
            <w:pPr>
              <w:spacing w:after="0" w:line="252" w:lineRule="auto"/>
            </w:pPr>
            <w:r>
              <w:rPr>
                <w:sz w:val="15"/>
              </w:rPr>
              <w:t>Send message and track responses</w:t>
            </w:r>
          </w:p>
        </w:tc>
      </w:tr>
      <w:tr>
        <w:trPr>
          <w:cantSplit/>
        </w:trPr>
        <w:tc>
          <w:tcPr>
            <w:tcW w:type="dxa" w:w="1944"/>
            <w:tcMar>
              <w:top w:w="100" w:type="dxa"/>
              <w:start w:w="110" w:type="dxa"/>
              <w:bottom w:w="100" w:type="dxa"/>
              <w:end w:w="110" w:type="dxa"/>
            </w:tcMar>
            <w:vAlign w:val="center"/>
            <w:shd w:fill="F4F7F5"/>
          </w:tcPr>
          <w:p>
            <w:pPr>
              <w:spacing w:after="0" w:line="252" w:lineRule="auto"/>
            </w:pPr>
            <w:r>
              <w:rPr>
                <w:sz w:val="15"/>
              </w:rPr>
              <w:t>Purchase order</w:t>
            </w:r>
          </w:p>
        </w:tc>
        <w:tc>
          <w:tcPr>
            <w:tcW w:type="dxa" w:w="1152"/>
            <w:tcMar>
              <w:top w:w="100" w:type="dxa"/>
              <w:start w:w="110" w:type="dxa"/>
              <w:bottom w:w="100" w:type="dxa"/>
              <w:end w:w="110" w:type="dxa"/>
            </w:tcMar>
            <w:vAlign w:val="center"/>
            <w:shd w:fill="F4F7F5"/>
          </w:tcPr>
          <w:p>
            <w:pPr>
              <w:spacing w:after="0" w:line="252" w:lineRule="auto"/>
            </w:pPr>
            <w:r>
              <w:rPr>
                <w:sz w:val="15"/>
              </w:rPr>
              <w:t>Yes</w:t>
            </w:r>
          </w:p>
        </w:tc>
        <w:tc>
          <w:tcPr>
            <w:tcW w:type="dxa" w:w="2160"/>
            <w:tcMar>
              <w:top w:w="100" w:type="dxa"/>
              <w:start w:w="110" w:type="dxa"/>
              <w:bottom w:w="100" w:type="dxa"/>
              <w:end w:w="110" w:type="dxa"/>
            </w:tcMar>
            <w:vAlign w:val="center"/>
            <w:shd w:fill="F4F7F5"/>
          </w:tcPr>
          <w:p>
            <w:pPr>
              <w:spacing w:after="0" w:line="252" w:lineRule="auto"/>
            </w:pPr>
            <w:r>
              <w:rPr>
                <w:sz w:val="15"/>
              </w:rPr>
              <w:t>Before order validation</w:t>
            </w:r>
          </w:p>
        </w:tc>
        <w:tc>
          <w:tcPr>
            <w:tcW w:type="dxa" w:w="3528"/>
            <w:tcMar>
              <w:top w:w="100" w:type="dxa"/>
              <w:start w:w="110" w:type="dxa"/>
              <w:bottom w:w="100" w:type="dxa"/>
              <w:end w:w="110" w:type="dxa"/>
            </w:tcMar>
            <w:vAlign w:val="center"/>
            <w:shd w:fill="F4F7F5"/>
          </w:tcPr>
          <w:p>
            <w:pPr>
              <w:spacing w:after="0" w:line="252" w:lineRule="auto"/>
            </w:pPr>
            <w:r>
              <w:rPr>
                <w:sz w:val="15"/>
              </w:rPr>
              <w:t>Advance order status and create future invoice link</w:t>
            </w:r>
          </w:p>
        </w:tc>
      </w:tr>
      <w:tr>
        <w:trPr>
          <w:cantSplit/>
        </w:trPr>
        <w:tc>
          <w:tcPr>
            <w:tcW w:type="dxa" w:w="1944"/>
            <w:tcMar>
              <w:top w:w="100" w:type="dxa"/>
              <w:start w:w="110" w:type="dxa"/>
              <w:bottom w:w="100" w:type="dxa"/>
              <w:end w:w="110" w:type="dxa"/>
            </w:tcMar>
            <w:vAlign w:val="center"/>
          </w:tcPr>
          <w:p>
            <w:pPr>
              <w:spacing w:after="0" w:line="252" w:lineRule="auto"/>
            </w:pPr>
            <w:r>
              <w:rPr>
                <w:sz w:val="15"/>
              </w:rPr>
              <w:t>Invoice classification</w:t>
            </w:r>
          </w:p>
        </w:tc>
        <w:tc>
          <w:tcPr>
            <w:tcW w:type="dxa" w:w="1152"/>
            <w:tcMar>
              <w:top w:w="100" w:type="dxa"/>
              <w:start w:w="110" w:type="dxa"/>
              <w:bottom w:w="100" w:type="dxa"/>
              <w:end w:w="110" w:type="dxa"/>
            </w:tcMar>
            <w:vAlign w:val="center"/>
          </w:tcPr>
          <w:p>
            <w:pPr>
              <w:spacing w:after="0" w:line="252" w:lineRule="auto"/>
            </w:pPr>
            <w:r>
              <w:rPr>
                <w:sz w:val="15"/>
              </w:rPr>
              <w:t>Yes</w:t>
            </w:r>
          </w:p>
        </w:tc>
        <w:tc>
          <w:tcPr>
            <w:tcW w:type="dxa" w:w="2160"/>
            <w:tcMar>
              <w:top w:w="100" w:type="dxa"/>
              <w:start w:w="110" w:type="dxa"/>
              <w:bottom w:w="100" w:type="dxa"/>
              <w:end w:w="110" w:type="dxa"/>
            </w:tcMar>
            <w:vAlign w:val="center"/>
          </w:tcPr>
          <w:p>
            <w:pPr>
              <w:spacing w:after="0" w:line="252" w:lineRule="auto"/>
            </w:pPr>
            <w:r>
              <w:rPr>
                <w:sz w:val="15"/>
              </w:rPr>
              <w:t>Before accounting handoff</w:t>
            </w:r>
          </w:p>
        </w:tc>
        <w:tc>
          <w:tcPr>
            <w:tcW w:type="dxa" w:w="3528"/>
            <w:tcMar>
              <w:top w:w="100" w:type="dxa"/>
              <w:start w:w="110" w:type="dxa"/>
              <w:bottom w:w="100" w:type="dxa"/>
              <w:end w:w="110" w:type="dxa"/>
            </w:tcMar>
            <w:vAlign w:val="center"/>
          </w:tcPr>
          <w:p>
            <w:pPr>
              <w:spacing w:after="0" w:line="252" w:lineRule="auto"/>
            </w:pPr>
            <w:r>
              <w:rPr>
                <w:sz w:val="15"/>
              </w:rPr>
              <w:t>Persist classification and reconciliation state</w:t>
            </w:r>
          </w:p>
        </w:tc>
      </w:tr>
      <w:tr>
        <w:trPr>
          <w:cantSplit/>
        </w:trPr>
        <w:tc>
          <w:tcPr>
            <w:tcW w:type="dxa" w:w="1944"/>
            <w:tcMar>
              <w:top w:w="100" w:type="dxa"/>
              <w:start w:w="110" w:type="dxa"/>
              <w:bottom w:w="100" w:type="dxa"/>
              <w:end w:w="110" w:type="dxa"/>
            </w:tcMar>
            <w:vAlign w:val="center"/>
            <w:shd w:fill="F4F7F5"/>
          </w:tcPr>
          <w:p>
            <w:pPr>
              <w:spacing w:after="0" w:line="252" w:lineRule="auto"/>
            </w:pPr>
            <w:r>
              <w:rPr>
                <w:sz w:val="15"/>
              </w:rPr>
              <w:t>Payment or bank transfer</w:t>
            </w:r>
          </w:p>
        </w:tc>
        <w:tc>
          <w:tcPr>
            <w:tcW w:type="dxa" w:w="1152"/>
            <w:tcMar>
              <w:top w:w="100" w:type="dxa"/>
              <w:start w:w="110" w:type="dxa"/>
              <w:bottom w:w="100" w:type="dxa"/>
              <w:end w:w="110" w:type="dxa"/>
            </w:tcMar>
            <w:vAlign w:val="center"/>
            <w:shd w:fill="F4F7F5"/>
          </w:tcPr>
          <w:p>
            <w:pPr>
              <w:spacing w:after="0" w:line="252" w:lineRule="auto"/>
            </w:pPr>
            <w:r>
              <w:rPr>
                <w:sz w:val="15"/>
              </w:rPr>
              <w:t>Yes</w:t>
            </w:r>
          </w:p>
        </w:tc>
        <w:tc>
          <w:tcPr>
            <w:tcW w:type="dxa" w:w="2160"/>
            <w:tcMar>
              <w:top w:w="100" w:type="dxa"/>
              <w:start w:w="110" w:type="dxa"/>
              <w:bottom w:w="100" w:type="dxa"/>
              <w:end w:w="110" w:type="dxa"/>
            </w:tcMar>
            <w:vAlign w:val="center"/>
            <w:shd w:fill="F4F7F5"/>
          </w:tcPr>
          <w:p>
            <w:pPr>
              <w:spacing w:after="0" w:line="252" w:lineRule="auto"/>
            </w:pPr>
            <w:r>
              <w:rPr>
                <w:sz w:val="15"/>
              </w:rPr>
              <w:t>Always; never automatic</w:t>
            </w:r>
          </w:p>
        </w:tc>
        <w:tc>
          <w:tcPr>
            <w:tcW w:type="dxa" w:w="3528"/>
            <w:tcMar>
              <w:top w:w="100" w:type="dxa"/>
              <w:start w:w="110" w:type="dxa"/>
              <w:bottom w:w="100" w:type="dxa"/>
              <w:end w:w="110" w:type="dxa"/>
            </w:tcMar>
            <w:vAlign w:val="center"/>
            <w:shd w:fill="F4F7F5"/>
          </w:tcPr>
          <w:p>
            <w:pPr>
              <w:spacing w:after="0" w:line="252" w:lineRule="auto"/>
            </w:pPr>
            <w:r>
              <w:rPr>
                <w:sz w:val="15"/>
              </w:rPr>
              <w:t>Future Ponto or Bridge operation only after explicit confirmation</w:t>
            </w:r>
          </w:p>
        </w:tc>
      </w:tr>
    </w:tbl>
    <w:p>
      <w:pPr>
        <w:spacing w:after="20"/>
      </w:pPr>
    </w:p>
    <w:p>
      <w:pPr>
        <w:pStyle w:val="Heading1"/>
      </w:pPr>
      <w:r>
        <w:t>7 Security and deployment guidance</w:t>
      </w:r>
    </w:p>
    <w:p>
      <w:pPr>
        <w:pStyle w:val="ListBullet"/>
      </w:pPr>
      <w:r>
        <w:t>Keep every RTSP URL private. Publish only authenticated WebRTC streams through a secured gateway.</w:t>
      </w:r>
    </w:p>
    <w:p>
      <w:pPr>
        <w:pStyle w:val="ListBullet"/>
      </w:pPr>
      <w:r>
        <w:t>Store FMBV credentials, API keys and OAuth tokens only as runtime secrets; never commit them to source control.</w:t>
      </w:r>
    </w:p>
    <w:p>
      <w:pPr>
        <w:pStyle w:val="ListBullet"/>
      </w:pPr>
      <w:r>
        <w:t>Apply company-level authorization in every query and server action, not only in the user interface.</w:t>
      </w:r>
    </w:p>
    <w:p>
      <w:pPr>
        <w:pStyle w:val="ListBullet"/>
      </w:pPr>
      <w:r>
        <w:t>Write an immutable Journal entry for every accepted mutation and every external synchronization result.</w:t>
      </w:r>
    </w:p>
    <w:p>
      <w:pPr>
        <w:pStyle w:val="ListBullet"/>
      </w:pPr>
      <w:r>
        <w:t>Encrypt uploaded passports and camera evidence, use short-lived signed URLs, and define retention rules.</w:t>
      </w:r>
    </w:p>
    <w:p>
      <w:pPr>
        <w:pStyle w:val="ListBullet"/>
      </w:pPr>
      <w:r>
        <w:t>Keep payment and external declaration actions behind explicit, contextual confirmation.</w:t>
      </w:r>
    </w:p>
    <w:p>
      <w:pPr>
        <w:pStyle w:val="Heading1"/>
      </w:pPr>
      <w:r>
        <w:t>8 Production readiness checklist</w:t>
      </w:r>
    </w:p>
    <w:p>
      <w:r>
        <w:t>☐ Authentication and role policies tested</w:t>
      </w:r>
    </w:p>
    <w:p>
      <w:r>
        <w:t>☐ Database schema and migrations reviewed</w:t>
      </w:r>
    </w:p>
    <w:p>
      <w:r>
        <w:t>☐ Company ownership enforced for all records</w:t>
      </w:r>
    </w:p>
    <w:p>
      <w:r>
        <w:t>☐ Offline queue tested with conflict recovery</w:t>
      </w:r>
    </w:p>
    <w:p>
      <w:r>
        <w:t>☐ External connectors use test and production environments</w:t>
      </w:r>
    </w:p>
    <w:p>
      <w:r>
        <w:t>☐ Secrets stored in managed runtime configuration</w:t>
      </w:r>
    </w:p>
    <w:p>
      <w:r>
        <w:t>☐ Camera streams never exposed as public RTSP</w:t>
      </w:r>
    </w:p>
    <w:p>
      <w:r>
        <w:t>☐ Audit export reconciles with business records</w:t>
      </w:r>
    </w:p>
    <w:p>
      <w:r>
        <w:t>☐ Accessibility and responsive tests completed</w:t>
      </w:r>
    </w:p>
    <w:p>
      <w:r>
        <w:t>☐ Backups, restore test and incident runbook completed</w:t>
      </w:r>
    </w:p>
    <w:sectPr w:rsidR="00FC693F" w:rsidRPr="0006063C" w:rsidSect="00034616">
      <w:headerReference w:type="default" r:id="rId9"/>
      <w:footerReference w:type="default" r:id="rId18"/>
      <w:pgSz w:w="12240" w:h="15840"/>
      <w:pgMar w:top="1008" w:right="1037" w:bottom="1008"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AgriPilot documentation  •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756D"/>
        <w:sz w:val="16"/>
      </w:rPr>
      <w:t>AgriPilot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5352E"/>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