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BAD94A" w14:textId="77777777" w:rsidR="006B4FC6" w:rsidRDefault="0051217D">
      <w:pPr>
        <w:spacing w:after="157" w:line="341" w:lineRule="auto"/>
        <w:ind w:left="0" w:firstLine="0"/>
        <w:jc w:val="center"/>
      </w:pPr>
      <w:r>
        <w:rPr>
          <w:sz w:val="41"/>
        </w:rPr>
        <w:t>How does household labour market behaviour respond to child-related transfers?</w:t>
      </w:r>
    </w:p>
    <w:p w14:paraId="3B2EAE7F" w14:textId="77777777" w:rsidR="006B4FC6" w:rsidRDefault="0051217D">
      <w:pPr>
        <w:spacing w:after="263" w:line="265" w:lineRule="auto"/>
        <w:jc w:val="center"/>
      </w:pPr>
      <w:r>
        <w:rPr>
          <w:sz w:val="29"/>
        </w:rPr>
        <w:t>Joshua Clyne (zjq446)</w:t>
      </w:r>
    </w:p>
    <w:p w14:paraId="08E903F9" w14:textId="77777777" w:rsidR="006B4FC6" w:rsidRDefault="0051217D">
      <w:pPr>
        <w:spacing w:after="846" w:line="265" w:lineRule="auto"/>
        <w:jc w:val="center"/>
      </w:pPr>
      <w:r>
        <w:rPr>
          <w:sz w:val="29"/>
        </w:rPr>
        <w:t>May 31, 2024</w:t>
      </w:r>
    </w:p>
    <w:p w14:paraId="6E4A2605" w14:textId="77777777" w:rsidR="006B4FC6" w:rsidRDefault="0051217D">
      <w:pPr>
        <w:spacing w:after="201" w:line="259" w:lineRule="auto"/>
        <w:ind w:left="0" w:firstLine="0"/>
        <w:jc w:val="center"/>
      </w:pPr>
      <w:r>
        <w:rPr>
          <w:sz w:val="34"/>
        </w:rPr>
        <w:t>Seminar: Economics of the Welfare State</w:t>
      </w:r>
    </w:p>
    <w:p w14:paraId="2DA1815B" w14:textId="77777777" w:rsidR="006B4FC6" w:rsidRDefault="0051217D">
      <w:pPr>
        <w:spacing w:after="125" w:line="265" w:lineRule="auto"/>
        <w:jc w:val="center"/>
      </w:pPr>
      <w:r>
        <w:rPr>
          <w:sz w:val="29"/>
        </w:rPr>
        <w:t>Department of Economics</w:t>
      </w:r>
    </w:p>
    <w:p w14:paraId="27EC5D7F" w14:textId="77777777" w:rsidR="006B4FC6" w:rsidRDefault="0051217D">
      <w:pPr>
        <w:spacing w:after="2535" w:line="265" w:lineRule="auto"/>
        <w:jc w:val="center"/>
      </w:pPr>
      <w:r>
        <w:rPr>
          <w:sz w:val="29"/>
        </w:rPr>
        <w:t>University of Copenhagen</w:t>
      </w:r>
    </w:p>
    <w:p w14:paraId="31CB9805" w14:textId="77777777" w:rsidR="006B4FC6" w:rsidRDefault="0051217D">
      <w:pPr>
        <w:spacing w:after="125" w:line="265" w:lineRule="auto"/>
        <w:jc w:val="center"/>
      </w:pPr>
      <w:r>
        <w:rPr>
          <w:sz w:val="29"/>
        </w:rPr>
        <w:t>Characters:</w:t>
      </w:r>
    </w:p>
    <w:p w14:paraId="6A93CB36" w14:textId="77777777" w:rsidR="006B4FC6" w:rsidRDefault="0051217D">
      <w:pPr>
        <w:spacing w:after="125" w:line="265" w:lineRule="auto"/>
        <w:jc w:val="center"/>
      </w:pPr>
      <w:r>
        <w:rPr>
          <w:sz w:val="29"/>
        </w:rPr>
        <w:t>Main Text:</w:t>
      </w:r>
    </w:p>
    <w:p w14:paraId="42E7B6D3" w14:textId="77777777" w:rsidR="006B4FC6" w:rsidRDefault="0051217D">
      <w:pPr>
        <w:spacing w:after="160" w:line="265" w:lineRule="auto"/>
        <w:jc w:val="center"/>
      </w:pPr>
      <w:r>
        <w:rPr>
          <w:sz w:val="29"/>
        </w:rPr>
        <w:t>35,864</w:t>
      </w:r>
    </w:p>
    <w:p w14:paraId="4E5D9F2F" w14:textId="77777777" w:rsidR="006B4FC6" w:rsidRDefault="0051217D">
      <w:pPr>
        <w:spacing w:after="125" w:line="265" w:lineRule="auto"/>
        <w:jc w:val="center"/>
      </w:pPr>
      <w:r>
        <w:rPr>
          <w:sz w:val="29"/>
        </w:rPr>
        <w:t xml:space="preserve">Appendix: </w:t>
      </w:r>
      <w:r>
        <w:rPr>
          <w:color w:val="FF0000"/>
          <w:sz w:val="29"/>
        </w:rPr>
        <w:t>XX</w:t>
      </w:r>
    </w:p>
    <w:p w14:paraId="78B0A271" w14:textId="77777777" w:rsidR="006B4FC6" w:rsidRDefault="0051217D">
      <w:pPr>
        <w:spacing w:after="232" w:line="259" w:lineRule="auto"/>
        <w:ind w:left="0" w:firstLine="0"/>
        <w:jc w:val="center"/>
      </w:pPr>
      <w:r>
        <w:rPr>
          <w:b/>
          <w:sz w:val="22"/>
        </w:rPr>
        <w:t>Abstract</w:t>
      </w:r>
    </w:p>
    <w:p w14:paraId="2B54B71F" w14:textId="77777777" w:rsidR="006B4FC6" w:rsidRDefault="0051217D">
      <w:pPr>
        <w:spacing w:after="0" w:line="351" w:lineRule="auto"/>
        <w:ind w:left="585" w:right="585" w:firstLine="327"/>
      </w:pPr>
      <w:r>
        <w:rPr>
          <w:sz w:val="22"/>
        </w:rPr>
        <w:t xml:space="preserve">This paper investigates the labour supply responses of households with children to child-related transfer schemes. It examines how intra-household </w:t>
      </w:r>
      <w:proofErr w:type="spellStart"/>
      <w:r>
        <w:rPr>
          <w:sz w:val="22"/>
        </w:rPr>
        <w:t>decisionmaking</w:t>
      </w:r>
      <w:proofErr w:type="spellEnd"/>
      <w:r>
        <w:rPr>
          <w:sz w:val="22"/>
        </w:rPr>
        <w:t xml:space="preserve"> processes influence these responses using a dynamic structural model. The study compa</w:t>
      </w:r>
      <w:r>
        <w:rPr>
          <w:sz w:val="22"/>
        </w:rPr>
        <w:t xml:space="preserve">res the effects of transfers that are conditional on market work with those that </w:t>
      </w:r>
      <w:proofErr w:type="gramStart"/>
      <w:r>
        <w:rPr>
          <w:sz w:val="22"/>
        </w:rPr>
        <w:t>unconditional, and</w:t>
      </w:r>
      <w:proofErr w:type="gramEnd"/>
      <w:r>
        <w:rPr>
          <w:sz w:val="22"/>
        </w:rPr>
        <w:t xml:space="preserve"> examines their impact on male and female </w:t>
      </w:r>
      <w:proofErr w:type="spellStart"/>
      <w:r>
        <w:rPr>
          <w:sz w:val="22"/>
        </w:rPr>
        <w:t>labor</w:t>
      </w:r>
      <w:proofErr w:type="spellEnd"/>
      <w:r>
        <w:rPr>
          <w:sz w:val="22"/>
        </w:rPr>
        <w:t xml:space="preserve"> supply. Additionally, it incorporates a household bargaining model with limited commitment to understand the </w:t>
      </w:r>
      <w:r>
        <w:rPr>
          <w:sz w:val="22"/>
        </w:rPr>
        <w:t xml:space="preserve">dynamics of intra-household negotiations. The findings suggest that child-related transfers can significantly influence labour </w:t>
      </w:r>
      <w:r>
        <w:rPr>
          <w:sz w:val="22"/>
        </w:rPr>
        <w:lastRenderedPageBreak/>
        <w:t>supply decisions, with the nature of the transfer scheme playing a crucial role in determining these effects.</w:t>
      </w:r>
      <w:r>
        <w:br w:type="page"/>
      </w:r>
    </w:p>
    <w:sdt>
      <w:sdtPr>
        <w:id w:val="-1127695553"/>
        <w:docPartObj>
          <w:docPartGallery w:val="Table of Contents"/>
        </w:docPartObj>
      </w:sdtPr>
      <w:sdtEndPr/>
      <w:sdtContent>
        <w:p w14:paraId="6C01F3A8" w14:textId="77777777" w:rsidR="006B4FC6" w:rsidRDefault="0051217D">
          <w:pPr>
            <w:spacing w:after="286" w:line="259" w:lineRule="auto"/>
            <w:ind w:left="-5"/>
            <w:jc w:val="left"/>
          </w:pPr>
          <w:r>
            <w:rPr>
              <w:b/>
              <w:sz w:val="29"/>
            </w:rPr>
            <w:t>Contents</w:t>
          </w:r>
        </w:p>
        <w:p w14:paraId="21ED543E" w14:textId="77777777" w:rsidR="006B4FC6" w:rsidRDefault="0051217D">
          <w:pPr>
            <w:pStyle w:val="TOC1"/>
            <w:tabs>
              <w:tab w:val="right" w:leader="dot" w:pos="8844"/>
            </w:tabs>
          </w:pPr>
          <w:r>
            <w:fldChar w:fldCharType="begin"/>
          </w:r>
          <w:r>
            <w:instrText xml:space="preserve"> TOC \o "1-2" \h \z \u </w:instrText>
          </w:r>
          <w:r>
            <w:fldChar w:fldCharType="separate"/>
          </w:r>
          <w:hyperlink w:anchor="_Toc30861">
            <w:r>
              <w:rPr>
                <w:rFonts w:ascii="Cambria" w:eastAsia="Cambria" w:hAnsi="Cambria" w:cs="Cambria"/>
                <w:b/>
                <w:sz w:val="24"/>
              </w:rPr>
              <w:t>1 Introduction</w:t>
            </w:r>
            <w:r>
              <w:tab/>
            </w:r>
            <w:r>
              <w:fldChar w:fldCharType="begin"/>
            </w:r>
            <w:r>
              <w:instrText>PAGEREF _Toc30861 \h</w:instrText>
            </w:r>
            <w:r>
              <w:fldChar w:fldCharType="separate"/>
            </w:r>
            <w:r>
              <w:rPr>
                <w:rFonts w:ascii="Cambria" w:eastAsia="Cambria" w:hAnsi="Cambria" w:cs="Cambria"/>
                <w:b/>
                <w:sz w:val="24"/>
              </w:rPr>
              <w:t>3</w:t>
            </w:r>
            <w:r>
              <w:fldChar w:fldCharType="end"/>
            </w:r>
          </w:hyperlink>
        </w:p>
        <w:p w14:paraId="28C58AB1" w14:textId="77777777" w:rsidR="006B4FC6" w:rsidRDefault="0051217D">
          <w:pPr>
            <w:pStyle w:val="TOC1"/>
            <w:tabs>
              <w:tab w:val="right" w:leader="dot" w:pos="8844"/>
            </w:tabs>
          </w:pPr>
          <w:hyperlink w:anchor="_Toc30862">
            <w:r>
              <w:rPr>
                <w:rFonts w:ascii="Cambria" w:eastAsia="Cambria" w:hAnsi="Cambria" w:cs="Cambria"/>
                <w:b/>
                <w:sz w:val="24"/>
              </w:rPr>
              <w:t>2 Motivation</w:t>
            </w:r>
            <w:r>
              <w:tab/>
            </w:r>
            <w:r>
              <w:fldChar w:fldCharType="begin"/>
            </w:r>
            <w:r>
              <w:instrText>PAGEREF _Toc30862 \h</w:instrText>
            </w:r>
            <w:r>
              <w:fldChar w:fldCharType="separate"/>
            </w:r>
            <w:r>
              <w:rPr>
                <w:rFonts w:ascii="Cambria" w:eastAsia="Cambria" w:hAnsi="Cambria" w:cs="Cambria"/>
                <w:b/>
                <w:sz w:val="24"/>
              </w:rPr>
              <w:t>3</w:t>
            </w:r>
            <w:r>
              <w:fldChar w:fldCharType="end"/>
            </w:r>
          </w:hyperlink>
        </w:p>
        <w:p w14:paraId="3D667CAC" w14:textId="77777777" w:rsidR="006B4FC6" w:rsidRDefault="0051217D">
          <w:pPr>
            <w:pStyle w:val="TOC2"/>
            <w:tabs>
              <w:tab w:val="right" w:leader="dot" w:pos="8844"/>
            </w:tabs>
          </w:pPr>
          <w:hyperlink w:anchor="_Toc30863">
            <w:r>
              <w:rPr>
                <w:rFonts w:ascii="Cambria" w:eastAsia="Cambria" w:hAnsi="Cambria" w:cs="Cambria"/>
                <w:sz w:val="24"/>
              </w:rPr>
              <w:t>2.1 Understanding child-related transfers</w:t>
            </w:r>
            <w:r>
              <w:tab/>
            </w:r>
            <w:r>
              <w:fldChar w:fldCharType="begin"/>
            </w:r>
            <w:r>
              <w:instrText>PAGEREF _Toc30863 \h</w:instrText>
            </w:r>
            <w:r>
              <w:fldChar w:fldCharType="separate"/>
            </w:r>
            <w:r>
              <w:rPr>
                <w:rFonts w:ascii="Cambria" w:eastAsia="Cambria" w:hAnsi="Cambria" w:cs="Cambria"/>
                <w:sz w:val="24"/>
              </w:rPr>
              <w:t>3</w:t>
            </w:r>
            <w:r>
              <w:fldChar w:fldCharType="end"/>
            </w:r>
          </w:hyperlink>
        </w:p>
        <w:p w14:paraId="1FC99A31" w14:textId="77777777" w:rsidR="006B4FC6" w:rsidRDefault="0051217D">
          <w:pPr>
            <w:pStyle w:val="TOC2"/>
            <w:tabs>
              <w:tab w:val="right" w:leader="dot" w:pos="8844"/>
            </w:tabs>
          </w:pPr>
          <w:hyperlink w:anchor="_Toc30864">
            <w:r>
              <w:rPr>
                <w:rFonts w:ascii="Cambria" w:eastAsia="Cambria" w:hAnsi="Cambria" w:cs="Cambria"/>
                <w:sz w:val="24"/>
              </w:rPr>
              <w:t>2.2 Family labour supply through the lens of dynamic economic models</w:t>
            </w:r>
            <w:r>
              <w:tab/>
            </w:r>
            <w:r>
              <w:fldChar w:fldCharType="begin"/>
            </w:r>
            <w:r>
              <w:instrText>PAGEREF _Toc30864 \h</w:instrText>
            </w:r>
            <w:r>
              <w:fldChar w:fldCharType="separate"/>
            </w:r>
            <w:r>
              <w:rPr>
                <w:rFonts w:ascii="Cambria" w:eastAsia="Cambria" w:hAnsi="Cambria" w:cs="Cambria"/>
                <w:sz w:val="24"/>
              </w:rPr>
              <w:t>5</w:t>
            </w:r>
            <w:r>
              <w:fldChar w:fldCharType="end"/>
            </w:r>
          </w:hyperlink>
        </w:p>
        <w:p w14:paraId="142D1D20" w14:textId="77777777" w:rsidR="006B4FC6" w:rsidRDefault="0051217D">
          <w:pPr>
            <w:pStyle w:val="TOC2"/>
            <w:tabs>
              <w:tab w:val="right" w:leader="dot" w:pos="8844"/>
            </w:tabs>
          </w:pPr>
          <w:hyperlink w:anchor="_Toc30865">
            <w:r>
              <w:rPr>
                <w:rFonts w:ascii="Cambria" w:eastAsia="Cambria" w:hAnsi="Cambria" w:cs="Cambria"/>
                <w:sz w:val="24"/>
              </w:rPr>
              <w:t>2.3 Modelling decision-making within the household</w:t>
            </w:r>
            <w:r>
              <w:tab/>
            </w:r>
            <w:r>
              <w:fldChar w:fldCharType="begin"/>
            </w:r>
            <w:r>
              <w:instrText>PAGEREF _Toc30865 \h</w:instrText>
            </w:r>
            <w:r>
              <w:fldChar w:fldCharType="separate"/>
            </w:r>
            <w:r>
              <w:rPr>
                <w:rFonts w:ascii="Cambria" w:eastAsia="Cambria" w:hAnsi="Cambria" w:cs="Cambria"/>
                <w:sz w:val="24"/>
              </w:rPr>
              <w:t>7</w:t>
            </w:r>
            <w:r>
              <w:fldChar w:fldCharType="end"/>
            </w:r>
          </w:hyperlink>
        </w:p>
        <w:p w14:paraId="21C30781" w14:textId="77777777" w:rsidR="006B4FC6" w:rsidRDefault="0051217D">
          <w:pPr>
            <w:pStyle w:val="TOC1"/>
            <w:tabs>
              <w:tab w:val="right" w:leader="dot" w:pos="8844"/>
            </w:tabs>
          </w:pPr>
          <w:hyperlink w:anchor="_Toc30866">
            <w:r>
              <w:rPr>
                <w:rFonts w:ascii="Cambria" w:eastAsia="Cambria" w:hAnsi="Cambria" w:cs="Cambria"/>
                <w:b/>
                <w:sz w:val="24"/>
              </w:rPr>
              <w:t>3 Model</w:t>
            </w:r>
            <w:r>
              <w:tab/>
            </w:r>
            <w:r>
              <w:fldChar w:fldCharType="begin"/>
            </w:r>
            <w:r>
              <w:instrText>PAGEREF _Toc30866 \h</w:instrText>
            </w:r>
            <w:r>
              <w:fldChar w:fldCharType="separate"/>
            </w:r>
            <w:r>
              <w:rPr>
                <w:rFonts w:ascii="Cambria" w:eastAsia="Cambria" w:hAnsi="Cambria" w:cs="Cambria"/>
                <w:b/>
                <w:sz w:val="24"/>
              </w:rPr>
              <w:t>8</w:t>
            </w:r>
            <w:r>
              <w:fldChar w:fldCharType="end"/>
            </w:r>
          </w:hyperlink>
        </w:p>
        <w:p w14:paraId="5203A027" w14:textId="77777777" w:rsidR="006B4FC6" w:rsidRDefault="0051217D">
          <w:pPr>
            <w:pStyle w:val="TOC2"/>
            <w:tabs>
              <w:tab w:val="right" w:leader="dot" w:pos="8844"/>
            </w:tabs>
          </w:pPr>
          <w:hyperlink w:anchor="_Toc30867">
            <w:r>
              <w:rPr>
                <w:rFonts w:ascii="Cambria" w:eastAsia="Cambria" w:hAnsi="Cambria" w:cs="Cambria"/>
                <w:sz w:val="24"/>
              </w:rPr>
              <w:t>3.1 Setup</w:t>
            </w:r>
            <w:r>
              <w:tab/>
            </w:r>
            <w:r>
              <w:fldChar w:fldCharType="begin"/>
            </w:r>
            <w:r>
              <w:instrText>PAGEREF _Toc30867 \h</w:instrText>
            </w:r>
            <w:r>
              <w:fldChar w:fldCharType="separate"/>
            </w:r>
            <w:r>
              <w:rPr>
                <w:rFonts w:ascii="Cambria" w:eastAsia="Cambria" w:hAnsi="Cambria" w:cs="Cambria"/>
                <w:sz w:val="24"/>
              </w:rPr>
              <w:t>8</w:t>
            </w:r>
            <w:r>
              <w:fldChar w:fldCharType="end"/>
            </w:r>
          </w:hyperlink>
        </w:p>
        <w:p w14:paraId="7023CC29" w14:textId="77777777" w:rsidR="006B4FC6" w:rsidRDefault="0051217D">
          <w:pPr>
            <w:pStyle w:val="TOC2"/>
            <w:tabs>
              <w:tab w:val="right" w:leader="dot" w:pos="8844"/>
            </w:tabs>
          </w:pPr>
          <w:hyperlink w:anchor="_Toc30868">
            <w:r>
              <w:rPr>
                <w:rFonts w:ascii="Cambria" w:eastAsia="Cambria" w:hAnsi="Cambria" w:cs="Cambria"/>
                <w:sz w:val="24"/>
              </w:rPr>
              <w:t>3.2 Child-related transfers</w:t>
            </w:r>
            <w:r>
              <w:tab/>
            </w:r>
            <w:r>
              <w:fldChar w:fldCharType="begin"/>
            </w:r>
            <w:r>
              <w:instrText>PAGEREF _Toc30868 \h</w:instrText>
            </w:r>
            <w:r>
              <w:fldChar w:fldCharType="separate"/>
            </w:r>
            <w:r>
              <w:rPr>
                <w:rFonts w:ascii="Cambria" w:eastAsia="Cambria" w:hAnsi="Cambria" w:cs="Cambria"/>
                <w:sz w:val="24"/>
              </w:rPr>
              <w:t>10</w:t>
            </w:r>
            <w:r>
              <w:fldChar w:fldCharType="end"/>
            </w:r>
          </w:hyperlink>
        </w:p>
        <w:p w14:paraId="285C327D" w14:textId="77777777" w:rsidR="006B4FC6" w:rsidRDefault="0051217D">
          <w:pPr>
            <w:pStyle w:val="TOC2"/>
            <w:tabs>
              <w:tab w:val="right" w:leader="dot" w:pos="8844"/>
            </w:tabs>
          </w:pPr>
          <w:hyperlink w:anchor="_Toc30869">
            <w:r>
              <w:rPr>
                <w:rFonts w:ascii="Cambria" w:eastAsia="Cambria" w:hAnsi="Cambria" w:cs="Cambria"/>
                <w:sz w:val="24"/>
              </w:rPr>
              <w:t>3.3 Bellman equations</w:t>
            </w:r>
            <w:r>
              <w:tab/>
            </w:r>
            <w:r>
              <w:fldChar w:fldCharType="begin"/>
            </w:r>
            <w:r>
              <w:instrText>PAGEREF _Toc30869 \h</w:instrText>
            </w:r>
            <w:r>
              <w:fldChar w:fldCharType="separate"/>
            </w:r>
            <w:r>
              <w:rPr>
                <w:rFonts w:ascii="Cambria" w:eastAsia="Cambria" w:hAnsi="Cambria" w:cs="Cambria"/>
                <w:sz w:val="24"/>
              </w:rPr>
              <w:t>10</w:t>
            </w:r>
            <w:r>
              <w:fldChar w:fldCharType="end"/>
            </w:r>
          </w:hyperlink>
        </w:p>
        <w:p w14:paraId="7409A6F8" w14:textId="77777777" w:rsidR="006B4FC6" w:rsidRDefault="0051217D">
          <w:pPr>
            <w:pStyle w:val="TOC2"/>
            <w:tabs>
              <w:tab w:val="right" w:leader="dot" w:pos="8844"/>
            </w:tabs>
          </w:pPr>
          <w:hyperlink w:anchor="_Toc30870">
            <w:r>
              <w:rPr>
                <w:rFonts w:ascii="Cambria" w:eastAsia="Cambria" w:hAnsi="Cambria" w:cs="Cambria"/>
                <w:sz w:val="24"/>
              </w:rPr>
              <w:t>3.4 Solving the unconstrained problem of couples</w:t>
            </w:r>
            <w:r>
              <w:tab/>
            </w:r>
            <w:r>
              <w:fldChar w:fldCharType="begin"/>
            </w:r>
            <w:r>
              <w:instrText>PAGEREF _Toc30870 \h</w:instrText>
            </w:r>
            <w:r>
              <w:fldChar w:fldCharType="separate"/>
            </w:r>
            <w:r>
              <w:rPr>
                <w:rFonts w:ascii="Cambria" w:eastAsia="Cambria" w:hAnsi="Cambria" w:cs="Cambria"/>
                <w:sz w:val="24"/>
              </w:rPr>
              <w:t>11</w:t>
            </w:r>
            <w:r>
              <w:fldChar w:fldCharType="end"/>
            </w:r>
          </w:hyperlink>
        </w:p>
        <w:p w14:paraId="315775D3" w14:textId="77777777" w:rsidR="006B4FC6" w:rsidRDefault="0051217D">
          <w:pPr>
            <w:pStyle w:val="TOC2"/>
            <w:tabs>
              <w:tab w:val="right" w:leader="dot" w:pos="8844"/>
            </w:tabs>
          </w:pPr>
          <w:hyperlink w:anchor="_Toc30871">
            <w:r>
              <w:rPr>
                <w:rFonts w:ascii="Cambria" w:eastAsia="Cambria" w:hAnsi="Cambria" w:cs="Cambria"/>
                <w:sz w:val="24"/>
              </w:rPr>
              <w:t>3.5 Checking the participation constraints</w:t>
            </w:r>
            <w:r>
              <w:tab/>
            </w:r>
            <w:r>
              <w:fldChar w:fldCharType="begin"/>
            </w:r>
            <w:r>
              <w:instrText>PAGEREF _Toc30871 \h</w:instrText>
            </w:r>
            <w:r>
              <w:fldChar w:fldCharType="separate"/>
            </w:r>
            <w:r>
              <w:rPr>
                <w:rFonts w:ascii="Cambria" w:eastAsia="Cambria" w:hAnsi="Cambria" w:cs="Cambria"/>
                <w:sz w:val="24"/>
              </w:rPr>
              <w:t>12</w:t>
            </w:r>
            <w:r>
              <w:fldChar w:fldCharType="end"/>
            </w:r>
          </w:hyperlink>
        </w:p>
        <w:p w14:paraId="034FF1B4" w14:textId="77777777" w:rsidR="006B4FC6" w:rsidRDefault="0051217D">
          <w:pPr>
            <w:pStyle w:val="TOC1"/>
            <w:tabs>
              <w:tab w:val="right" w:leader="dot" w:pos="8844"/>
            </w:tabs>
          </w:pPr>
          <w:hyperlink w:anchor="_Toc30872">
            <w:r>
              <w:rPr>
                <w:rFonts w:ascii="Cambria" w:eastAsia="Cambria" w:hAnsi="Cambria" w:cs="Cambria"/>
                <w:b/>
                <w:sz w:val="24"/>
              </w:rPr>
              <w:t>4 Results</w:t>
            </w:r>
            <w:r>
              <w:tab/>
            </w:r>
            <w:r>
              <w:fldChar w:fldCharType="begin"/>
            </w:r>
            <w:r>
              <w:instrText>PAGEREF _Toc30872 \h</w:instrText>
            </w:r>
            <w:r>
              <w:fldChar w:fldCharType="separate"/>
            </w:r>
            <w:r>
              <w:rPr>
                <w:rFonts w:ascii="Cambria" w:eastAsia="Cambria" w:hAnsi="Cambria" w:cs="Cambria"/>
                <w:b/>
                <w:sz w:val="24"/>
              </w:rPr>
              <w:t>13</w:t>
            </w:r>
            <w:r>
              <w:fldChar w:fldCharType="end"/>
            </w:r>
          </w:hyperlink>
        </w:p>
        <w:p w14:paraId="2CF835E6" w14:textId="77777777" w:rsidR="006B4FC6" w:rsidRDefault="0051217D">
          <w:pPr>
            <w:pStyle w:val="TOC2"/>
            <w:tabs>
              <w:tab w:val="right" w:leader="dot" w:pos="8844"/>
            </w:tabs>
          </w:pPr>
          <w:hyperlink w:anchor="_Toc30873">
            <w:r>
              <w:rPr>
                <w:rFonts w:ascii="Cambria" w:eastAsia="Cambria" w:hAnsi="Cambria" w:cs="Cambria"/>
                <w:sz w:val="24"/>
              </w:rPr>
              <w:t>4.1 Solution method</w:t>
            </w:r>
            <w:r>
              <w:tab/>
            </w:r>
            <w:r>
              <w:fldChar w:fldCharType="begin"/>
            </w:r>
            <w:r>
              <w:instrText>PAGEREF _Toc30873 \h</w:instrText>
            </w:r>
            <w:r>
              <w:fldChar w:fldCharType="separate"/>
            </w:r>
            <w:r>
              <w:rPr>
                <w:rFonts w:ascii="Cambria" w:eastAsia="Cambria" w:hAnsi="Cambria" w:cs="Cambria"/>
                <w:sz w:val="24"/>
              </w:rPr>
              <w:t>13</w:t>
            </w:r>
            <w:r>
              <w:fldChar w:fldCharType="end"/>
            </w:r>
          </w:hyperlink>
        </w:p>
        <w:p w14:paraId="4938722D" w14:textId="77777777" w:rsidR="006B4FC6" w:rsidRDefault="0051217D">
          <w:pPr>
            <w:pStyle w:val="TOC2"/>
            <w:tabs>
              <w:tab w:val="right" w:leader="dot" w:pos="8844"/>
            </w:tabs>
          </w:pPr>
          <w:hyperlink w:anchor="_Toc30874">
            <w:r>
              <w:rPr>
                <w:rFonts w:ascii="Cambria" w:eastAsia="Cambria" w:hAnsi="Cambria" w:cs="Cambria"/>
                <w:sz w:val="24"/>
              </w:rPr>
              <w:t>4.2 Calibration</w:t>
            </w:r>
            <w:r>
              <w:tab/>
            </w:r>
            <w:r>
              <w:fldChar w:fldCharType="begin"/>
            </w:r>
            <w:r>
              <w:instrText>PAGEREF _Toc30874 \h</w:instrText>
            </w:r>
            <w:r>
              <w:fldChar w:fldCharType="separate"/>
            </w:r>
            <w:r>
              <w:rPr>
                <w:rFonts w:ascii="Cambria" w:eastAsia="Cambria" w:hAnsi="Cambria" w:cs="Cambria"/>
                <w:sz w:val="24"/>
              </w:rPr>
              <w:t>13</w:t>
            </w:r>
            <w:r>
              <w:fldChar w:fldCharType="end"/>
            </w:r>
          </w:hyperlink>
        </w:p>
        <w:p w14:paraId="15810CFB" w14:textId="77777777" w:rsidR="006B4FC6" w:rsidRDefault="0051217D">
          <w:pPr>
            <w:pStyle w:val="TOC2"/>
            <w:tabs>
              <w:tab w:val="right" w:leader="dot" w:pos="8844"/>
            </w:tabs>
          </w:pPr>
          <w:hyperlink w:anchor="_Toc30875">
            <w:r>
              <w:rPr>
                <w:rFonts w:ascii="Cambria" w:eastAsia="Cambria" w:hAnsi="Cambria" w:cs="Cambria"/>
                <w:sz w:val="24"/>
              </w:rPr>
              <w:t>4.3 Simulated labour supply</w:t>
            </w:r>
            <w:r>
              <w:tab/>
            </w:r>
            <w:r>
              <w:fldChar w:fldCharType="begin"/>
            </w:r>
            <w:r>
              <w:instrText>PAGEREF _Toc30875 \h</w:instrText>
            </w:r>
            <w:r>
              <w:fldChar w:fldCharType="separate"/>
            </w:r>
            <w:r>
              <w:rPr>
                <w:rFonts w:ascii="Cambria" w:eastAsia="Cambria" w:hAnsi="Cambria" w:cs="Cambria"/>
                <w:sz w:val="24"/>
              </w:rPr>
              <w:t>14</w:t>
            </w:r>
            <w:r>
              <w:fldChar w:fldCharType="end"/>
            </w:r>
          </w:hyperlink>
        </w:p>
        <w:p w14:paraId="12DBAA7D" w14:textId="77777777" w:rsidR="006B4FC6" w:rsidRDefault="0051217D">
          <w:pPr>
            <w:pStyle w:val="TOC2"/>
            <w:tabs>
              <w:tab w:val="right" w:leader="dot" w:pos="8844"/>
            </w:tabs>
          </w:pPr>
          <w:hyperlink w:anchor="_Toc30876">
            <w:r>
              <w:rPr>
                <w:rFonts w:ascii="Cambria" w:eastAsia="Cambria" w:hAnsi="Cambria" w:cs="Cambria"/>
                <w:sz w:val="24"/>
              </w:rPr>
              <w:t>4.4 Simulated labour supply elasticities</w:t>
            </w:r>
            <w:r>
              <w:tab/>
            </w:r>
            <w:r>
              <w:fldChar w:fldCharType="begin"/>
            </w:r>
            <w:r>
              <w:instrText>PAGEREF _Toc30876 \h</w:instrText>
            </w:r>
            <w:r>
              <w:fldChar w:fldCharType="separate"/>
            </w:r>
            <w:r>
              <w:rPr>
                <w:rFonts w:ascii="Cambria" w:eastAsia="Cambria" w:hAnsi="Cambria" w:cs="Cambria"/>
                <w:sz w:val="24"/>
              </w:rPr>
              <w:t>15</w:t>
            </w:r>
            <w:r>
              <w:fldChar w:fldCharType="end"/>
            </w:r>
          </w:hyperlink>
        </w:p>
        <w:p w14:paraId="102844D2" w14:textId="77777777" w:rsidR="006B4FC6" w:rsidRDefault="0051217D">
          <w:pPr>
            <w:pStyle w:val="TOC1"/>
            <w:tabs>
              <w:tab w:val="right" w:leader="dot" w:pos="8844"/>
            </w:tabs>
          </w:pPr>
          <w:hyperlink w:anchor="_Toc30877">
            <w:r>
              <w:rPr>
                <w:rFonts w:ascii="Cambria" w:eastAsia="Cambria" w:hAnsi="Cambria" w:cs="Cambria"/>
                <w:b/>
                <w:sz w:val="24"/>
              </w:rPr>
              <w:t>5 Discussion</w:t>
            </w:r>
            <w:r>
              <w:tab/>
            </w:r>
            <w:r>
              <w:fldChar w:fldCharType="begin"/>
            </w:r>
            <w:r>
              <w:instrText>PAGEREF _Toc30877 \h</w:instrText>
            </w:r>
            <w:r>
              <w:fldChar w:fldCharType="separate"/>
            </w:r>
            <w:r>
              <w:rPr>
                <w:rFonts w:ascii="Cambria" w:eastAsia="Cambria" w:hAnsi="Cambria" w:cs="Cambria"/>
                <w:b/>
                <w:sz w:val="24"/>
              </w:rPr>
              <w:t>17</w:t>
            </w:r>
            <w:r>
              <w:fldChar w:fldCharType="end"/>
            </w:r>
          </w:hyperlink>
        </w:p>
        <w:p w14:paraId="73E4E3BC" w14:textId="77777777" w:rsidR="006B4FC6" w:rsidRDefault="0051217D">
          <w:pPr>
            <w:pStyle w:val="TOC2"/>
            <w:tabs>
              <w:tab w:val="right" w:leader="dot" w:pos="8844"/>
            </w:tabs>
          </w:pPr>
          <w:hyperlink w:anchor="_Toc30878">
            <w:r>
              <w:rPr>
                <w:rFonts w:ascii="Cambria" w:eastAsia="Cambria" w:hAnsi="Cambria" w:cs="Cambria"/>
                <w:sz w:val="24"/>
              </w:rPr>
              <w:t xml:space="preserve">5.1 Insights from the </w:t>
            </w:r>
            <w:r>
              <w:rPr>
                <w:rFonts w:ascii="Cambria" w:eastAsia="Cambria" w:hAnsi="Cambria" w:cs="Cambria"/>
                <w:i/>
                <w:sz w:val="24"/>
              </w:rPr>
              <w:t>unitary model</w:t>
            </w:r>
            <w:r>
              <w:tab/>
            </w:r>
            <w:r>
              <w:fldChar w:fldCharType="begin"/>
            </w:r>
            <w:r>
              <w:instrText>PAGEREF _Toc30878 \h</w:instrText>
            </w:r>
            <w:r>
              <w:fldChar w:fldCharType="separate"/>
            </w:r>
            <w:r>
              <w:rPr>
                <w:rFonts w:ascii="Cambria" w:eastAsia="Cambria" w:hAnsi="Cambria" w:cs="Cambria"/>
                <w:sz w:val="24"/>
              </w:rPr>
              <w:t>17</w:t>
            </w:r>
            <w:r>
              <w:fldChar w:fldCharType="end"/>
            </w:r>
          </w:hyperlink>
        </w:p>
        <w:p w14:paraId="2F018D06" w14:textId="77777777" w:rsidR="006B4FC6" w:rsidRDefault="0051217D">
          <w:pPr>
            <w:pStyle w:val="TOC2"/>
            <w:tabs>
              <w:tab w:val="right" w:leader="dot" w:pos="8844"/>
            </w:tabs>
          </w:pPr>
          <w:hyperlink w:anchor="_Toc30879">
            <w:r>
              <w:rPr>
                <w:rFonts w:ascii="Cambria" w:eastAsia="Cambria" w:hAnsi="Cambria" w:cs="Cambria"/>
                <w:sz w:val="24"/>
              </w:rPr>
              <w:t>5.2 Limitations</w:t>
            </w:r>
            <w:r>
              <w:tab/>
            </w:r>
            <w:r>
              <w:fldChar w:fldCharType="begin"/>
            </w:r>
            <w:r>
              <w:instrText>PAGEREF _Toc30879 \h</w:instrText>
            </w:r>
            <w:r>
              <w:fldChar w:fldCharType="separate"/>
            </w:r>
            <w:r>
              <w:rPr>
                <w:rFonts w:ascii="Cambria" w:eastAsia="Cambria" w:hAnsi="Cambria" w:cs="Cambria"/>
                <w:sz w:val="24"/>
              </w:rPr>
              <w:t>18</w:t>
            </w:r>
            <w:r>
              <w:fldChar w:fldCharType="end"/>
            </w:r>
          </w:hyperlink>
        </w:p>
        <w:p w14:paraId="698BDE0B" w14:textId="77777777" w:rsidR="006B4FC6" w:rsidRDefault="0051217D">
          <w:r>
            <w:fldChar w:fldCharType="end"/>
          </w:r>
        </w:p>
      </w:sdtContent>
    </w:sdt>
    <w:p w14:paraId="35D2350C" w14:textId="77777777" w:rsidR="006B4FC6" w:rsidRDefault="0051217D">
      <w:pPr>
        <w:tabs>
          <w:tab w:val="right" w:pos="8844"/>
        </w:tabs>
        <w:spacing w:after="160" w:line="259" w:lineRule="auto"/>
        <w:ind w:left="0" w:firstLine="0"/>
        <w:jc w:val="left"/>
      </w:pPr>
      <w:r>
        <w:rPr>
          <w:b/>
        </w:rPr>
        <w:t>Appendix</w:t>
      </w:r>
      <w:r>
        <w:rPr>
          <w:b/>
        </w:rPr>
        <w:tab/>
        <w:t>19</w:t>
      </w:r>
    </w:p>
    <w:p w14:paraId="5C49DA29" w14:textId="77777777" w:rsidR="006B4FC6" w:rsidRDefault="0051217D">
      <w:pPr>
        <w:tabs>
          <w:tab w:val="right" w:pos="8844"/>
        </w:tabs>
        <w:spacing w:after="160" w:line="259" w:lineRule="auto"/>
        <w:ind w:left="0" w:firstLine="0"/>
        <w:jc w:val="left"/>
      </w:pPr>
      <w:r>
        <w:rPr>
          <w:b/>
        </w:rPr>
        <w:t>References</w:t>
      </w:r>
      <w:r>
        <w:rPr>
          <w:b/>
        </w:rPr>
        <w:tab/>
        <w:t>23</w:t>
      </w:r>
    </w:p>
    <w:p w14:paraId="184337B4" w14:textId="77777777" w:rsidR="006B4FC6" w:rsidRDefault="0051217D">
      <w:pPr>
        <w:pStyle w:val="Heading1"/>
        <w:ind w:left="469" w:hanging="484"/>
      </w:pPr>
      <w:bookmarkStart w:id="0" w:name="_Toc30861"/>
      <w:r>
        <w:t>Introduction</w:t>
      </w:r>
      <w:bookmarkEnd w:id="0"/>
    </w:p>
    <w:p w14:paraId="65BCC1F0" w14:textId="77777777" w:rsidR="006B4FC6" w:rsidRDefault="0051217D">
      <w:pPr>
        <w:ind w:left="-5"/>
      </w:pPr>
      <w:r>
        <w:t xml:space="preserve">The arrival of children is one of the most significant events that households face. It is also a very costly one, and substantially influences the labour supply choices of parents (Adda, </w:t>
      </w:r>
      <w:proofErr w:type="spellStart"/>
      <w:r>
        <w:t>Dustmann</w:t>
      </w:r>
      <w:proofErr w:type="spellEnd"/>
      <w:r>
        <w:t xml:space="preserve">, and Stevens 2017). Government transfers to households with </w:t>
      </w:r>
      <w:r>
        <w:t xml:space="preserve">children, referred hereto as </w:t>
      </w:r>
      <w:r>
        <w:rPr>
          <w:i/>
        </w:rPr>
        <w:t>child-related transfers</w:t>
      </w:r>
      <w:r>
        <w:t xml:space="preserve">, are an important policy tool that aim to alleviate the cost of childcare and facilitate greater female participation in the labour </w:t>
      </w:r>
      <w:r>
        <w:lastRenderedPageBreak/>
        <w:t>market. How does household labour supply respond to these transfers? Ho</w:t>
      </w:r>
      <w:r>
        <w:t>w does this change if these transfers are conditional on market work, or unconditional? How do these transfers impact the intra-household decision process? This project investigates these questions using a dynamic structural model of household labour marke</w:t>
      </w:r>
      <w:r>
        <w:t xml:space="preserve">t behaviour over the </w:t>
      </w:r>
      <w:proofErr w:type="gramStart"/>
      <w:r>
        <w:t>life-cycle</w:t>
      </w:r>
      <w:proofErr w:type="gramEnd"/>
      <w:r>
        <w:t>.</w:t>
      </w:r>
    </w:p>
    <w:p w14:paraId="15691451" w14:textId="77777777" w:rsidR="006B4FC6" w:rsidRDefault="0051217D">
      <w:pPr>
        <w:spacing w:after="480"/>
        <w:ind w:left="-15" w:firstLine="351"/>
      </w:pPr>
      <w:r>
        <w:t xml:space="preserve">The main contributions of this paper are twofold. First, I define and solve a unitary life-cycle model of household labour </w:t>
      </w:r>
      <w:proofErr w:type="gramStart"/>
      <w:r>
        <w:t>supply, and</w:t>
      </w:r>
      <w:proofErr w:type="gramEnd"/>
      <w:r>
        <w:t xml:space="preserve"> investigate counterfactual policy experiments introducing child-related transfers. Secon</w:t>
      </w:r>
      <w:r>
        <w:t xml:space="preserve">d, I define a model that includes household bargaining and limited </w:t>
      </w:r>
      <w:proofErr w:type="gramStart"/>
      <w:r>
        <w:t>commitment, and</w:t>
      </w:r>
      <w:proofErr w:type="gramEnd"/>
      <w:r>
        <w:t xml:space="preserve"> investigate how the policy interacts with the intra-household decision process. Due to computational constraints, this extended model is not solved. Instead, I highlight fut</w:t>
      </w:r>
      <w:r>
        <w:t>ure approaches that can be used to overcome this challenge.</w:t>
      </w:r>
    </w:p>
    <w:p w14:paraId="7B3D3220" w14:textId="77777777" w:rsidR="006B4FC6" w:rsidRDefault="0051217D">
      <w:pPr>
        <w:pStyle w:val="Heading1"/>
        <w:spacing w:after="365"/>
        <w:ind w:left="469" w:hanging="484"/>
      </w:pPr>
      <w:bookmarkStart w:id="1" w:name="_Toc30862"/>
      <w:r>
        <w:t>Motivation</w:t>
      </w:r>
      <w:bookmarkEnd w:id="1"/>
    </w:p>
    <w:p w14:paraId="75B8F97F" w14:textId="77777777" w:rsidR="006B4FC6" w:rsidRDefault="0051217D">
      <w:pPr>
        <w:pStyle w:val="Heading2"/>
        <w:ind w:left="598" w:hanging="613"/>
      </w:pPr>
      <w:bookmarkStart w:id="2" w:name="_Toc30863"/>
      <w:r>
        <w:t>Understanding child-related transfers</w:t>
      </w:r>
      <w:bookmarkEnd w:id="2"/>
    </w:p>
    <w:p w14:paraId="54487159" w14:textId="77777777" w:rsidR="006B4FC6" w:rsidRDefault="0051217D">
      <w:pPr>
        <w:ind w:left="-5"/>
      </w:pPr>
      <w:r>
        <w:t xml:space="preserve">Across high-income countries, there are significant differences in both the design and level of public spending on child-related transfer schemes. </w:t>
      </w:r>
      <w:r>
        <w:t xml:space="preserve">Figure 1 captures the extent of this heterogeneity among OECD countries, with countries such as France, Sweden and </w:t>
      </w:r>
      <w:proofErr w:type="spellStart"/>
      <w:r>
        <w:t>Luxemborg</w:t>
      </w:r>
      <w:proofErr w:type="spellEnd"/>
      <w:r>
        <w:t xml:space="preserve"> spending close to 3.5% of GDP on child-related transfers, while other countries such as the United </w:t>
      </w:r>
      <w:proofErr w:type="spellStart"/>
      <w:r>
        <w:t>Sates</w:t>
      </w:r>
      <w:proofErr w:type="spellEnd"/>
      <w:r>
        <w:t>, Mexico and Turkey spendin</w:t>
      </w:r>
      <w:r>
        <w:t>g approximately 1% of GDP.</w:t>
      </w:r>
    </w:p>
    <w:p w14:paraId="7A31590B" w14:textId="77777777" w:rsidR="006B4FC6" w:rsidRDefault="0051217D">
      <w:pPr>
        <w:ind w:left="-15" w:firstLine="351"/>
      </w:pPr>
      <w:r>
        <w:t>The relatively high level of female labour supply in Scandinavian countries, for instance, has been credited to the scope and magnitude of child-related transfers in there (Rogerson, 2007). In other countries, such as the US, pub</w:t>
      </w:r>
      <w:r>
        <w:t xml:space="preserve">lic spending on </w:t>
      </w:r>
      <w:proofErr w:type="spellStart"/>
      <w:r>
        <w:t>childrelated</w:t>
      </w:r>
      <w:proofErr w:type="spellEnd"/>
      <w:r>
        <w:t xml:space="preserve"> transfers is much lower, as is the portion of those transfers that are conditional on market work. Deciding on the design and magnitude of government spending for</w:t>
      </w:r>
    </w:p>
    <w:p w14:paraId="5231E28C" w14:textId="77777777" w:rsidR="006B4FC6" w:rsidRDefault="006B4FC6">
      <w:pPr>
        <w:sectPr w:rsidR="006B4FC6">
          <w:footerReference w:type="even" r:id="rId7"/>
          <w:footerReference w:type="default" r:id="rId8"/>
          <w:footerReference w:type="first" r:id="rId9"/>
          <w:pgSz w:w="11906" w:h="16838"/>
          <w:pgMar w:top="1618" w:right="1531" w:bottom="1730" w:left="1531" w:header="720" w:footer="720" w:gutter="0"/>
          <w:pgNumType w:start="0"/>
          <w:cols w:space="720"/>
        </w:sectPr>
      </w:pPr>
    </w:p>
    <w:p w14:paraId="5ECCEFE5" w14:textId="77777777" w:rsidR="006B4FC6" w:rsidRDefault="0051217D">
      <w:pPr>
        <w:spacing w:after="294" w:line="259" w:lineRule="auto"/>
        <w:ind w:left="0" w:firstLine="0"/>
        <w:jc w:val="left"/>
      </w:pPr>
      <w:r>
        <w:rPr>
          <w:noProof/>
        </w:rPr>
        <w:lastRenderedPageBreak/>
        <w:drawing>
          <wp:inline distT="0" distB="0" distL="0" distR="0" wp14:anchorId="5CBA783F" wp14:editId="78A3E93E">
            <wp:extent cx="5615962" cy="2328268"/>
            <wp:effectExtent l="0" t="0" r="0" b="0"/>
            <wp:docPr id="173" name="Picture 173"/>
            <wp:cNvGraphicFramePr/>
            <a:graphic xmlns:a="http://schemas.openxmlformats.org/drawingml/2006/main">
              <a:graphicData uri="http://schemas.openxmlformats.org/drawingml/2006/picture">
                <pic:pic xmlns:pic="http://schemas.openxmlformats.org/drawingml/2006/picture">
                  <pic:nvPicPr>
                    <pic:cNvPr id="173" name="Picture 173"/>
                    <pic:cNvPicPr/>
                  </pic:nvPicPr>
                  <pic:blipFill>
                    <a:blip r:embed="rId10"/>
                    <a:stretch>
                      <a:fillRect/>
                    </a:stretch>
                  </pic:blipFill>
                  <pic:spPr>
                    <a:xfrm>
                      <a:off x="0" y="0"/>
                      <a:ext cx="5615962" cy="2328268"/>
                    </a:xfrm>
                    <a:prstGeom prst="rect">
                      <a:avLst/>
                    </a:prstGeom>
                  </pic:spPr>
                </pic:pic>
              </a:graphicData>
            </a:graphic>
          </wp:inline>
        </w:drawing>
      </w:r>
    </w:p>
    <w:p w14:paraId="771C18A0" w14:textId="77777777" w:rsidR="006B4FC6" w:rsidRDefault="0051217D">
      <w:pPr>
        <w:spacing w:after="78" w:line="259" w:lineRule="auto"/>
        <w:ind w:left="121" w:right="999"/>
        <w:jc w:val="left"/>
      </w:pPr>
      <w:r>
        <w:rPr>
          <w:sz w:val="20"/>
        </w:rPr>
        <w:t>Figure 1: Public expenditure on family benefits by type of expenditure, in per cent of GDP, 2019.</w:t>
      </w:r>
    </w:p>
    <w:p w14:paraId="0BE9BCAC" w14:textId="77777777" w:rsidR="006B4FC6" w:rsidRDefault="0051217D">
      <w:pPr>
        <w:spacing w:after="417" w:line="339" w:lineRule="auto"/>
        <w:ind w:right="1531"/>
        <w:jc w:val="center"/>
      </w:pPr>
      <w:r>
        <w:rPr>
          <w:sz w:val="20"/>
        </w:rPr>
        <w:t>Source: OECD (2019).</w:t>
      </w:r>
    </w:p>
    <w:p w14:paraId="20F7C06B" w14:textId="77777777" w:rsidR="006B4FC6" w:rsidRDefault="0051217D">
      <w:pPr>
        <w:spacing w:after="97" w:line="259" w:lineRule="auto"/>
        <w:ind w:left="-5" w:right="1516"/>
      </w:pPr>
      <w:r>
        <w:t>childcare is therefore an important policy question.</w:t>
      </w:r>
    </w:p>
    <w:p w14:paraId="5B9D899C" w14:textId="77777777" w:rsidR="006B4FC6" w:rsidRDefault="0051217D">
      <w:pPr>
        <w:ind w:left="-15" w:right="1516" w:firstLine="351"/>
      </w:pPr>
      <w:r>
        <w:t>This work is connected to the empirica</w:t>
      </w:r>
      <w:r>
        <w:t xml:space="preserve">l literature that examines the impact of childcare costs on female labour supply, a topic explored since Heckman (1974). For instance, </w:t>
      </w:r>
      <w:proofErr w:type="spellStart"/>
      <w:r>
        <w:t>Hotz</w:t>
      </w:r>
      <w:proofErr w:type="spellEnd"/>
      <w:r>
        <w:t xml:space="preserve"> and Miller (1988) investigate general childcare costs, while studies such as </w:t>
      </w:r>
      <w:proofErr w:type="spellStart"/>
      <w:r>
        <w:t>Blau</w:t>
      </w:r>
      <w:proofErr w:type="spellEnd"/>
      <w:r>
        <w:t xml:space="preserve"> and </w:t>
      </w:r>
      <w:proofErr w:type="spellStart"/>
      <w:r>
        <w:t>Hagy</w:t>
      </w:r>
      <w:proofErr w:type="spellEnd"/>
      <w:r>
        <w:t xml:space="preserve"> (1998) and </w:t>
      </w:r>
      <w:proofErr w:type="spellStart"/>
      <w:r>
        <w:t>Tekin</w:t>
      </w:r>
      <w:proofErr w:type="spellEnd"/>
      <w:r>
        <w:t xml:space="preserve"> (2007), </w:t>
      </w:r>
      <w:r>
        <w:t>and Baker, Gruber, and Milligan (2008) specifically focus on the influence of childcare subsidies. These latter studies consistently report substantial positive effects of childcare subsidies on female employment.</w:t>
      </w:r>
    </w:p>
    <w:p w14:paraId="45B4FD1D" w14:textId="77777777" w:rsidR="006B4FC6" w:rsidRDefault="0051217D">
      <w:pPr>
        <w:ind w:left="-15" w:right="1516" w:firstLine="351"/>
      </w:pPr>
      <w:r>
        <w:t>The study that most closely relates to thi</w:t>
      </w:r>
      <w:r>
        <w:t xml:space="preserve">s project is that of </w:t>
      </w:r>
      <w:proofErr w:type="spellStart"/>
      <w:r>
        <w:t>Guner</w:t>
      </w:r>
      <w:proofErr w:type="spellEnd"/>
      <w:r>
        <w:t xml:space="preserve">, </w:t>
      </w:r>
      <w:proofErr w:type="spellStart"/>
      <w:r>
        <w:t>Kaygusuz</w:t>
      </w:r>
      <w:proofErr w:type="spellEnd"/>
      <w:r>
        <w:t>, and Ventura (2020), who investigate the effect of child-related transfer schemes in the US. Their analysis is strongly motivated by the US institutional setting and estimates the effects of child-related transfer schem</w:t>
      </w:r>
      <w:r>
        <w:t>es that are conditional versus unconditional on market work, and those that are universal versus means-tested. The model developed in this paper follows this framework to investigate counterfactual policy experiments when child-related may depend on market</w:t>
      </w:r>
      <w:r>
        <w:t xml:space="preserve"> work. </w:t>
      </w:r>
      <w:proofErr w:type="spellStart"/>
      <w:r>
        <w:t>Guner</w:t>
      </w:r>
      <w:proofErr w:type="spellEnd"/>
      <w:r>
        <w:t xml:space="preserve">, </w:t>
      </w:r>
      <w:proofErr w:type="spellStart"/>
      <w:r>
        <w:t>Kaygusuz</w:t>
      </w:r>
      <w:proofErr w:type="spellEnd"/>
      <w:r>
        <w:t xml:space="preserve">, and Ventura (2020) find that transfer schemes that are conditional on market work </w:t>
      </w:r>
      <w:proofErr w:type="gramStart"/>
      <w:r>
        <w:t>lead</w:t>
      </w:r>
      <w:proofErr w:type="gramEnd"/>
      <w:r>
        <w:t xml:space="preserve"> to the strongest increase in female labour supply. Moreover, their paper estimated a general equilibrium macroeconomic model with income heteroge</w:t>
      </w:r>
      <w:r>
        <w:t>neity, focusing on the effect of means-tested transfers across the income distribution.</w:t>
      </w:r>
    </w:p>
    <w:p w14:paraId="4B5F1A66" w14:textId="77777777" w:rsidR="006B4FC6" w:rsidRDefault="0051217D">
      <w:pPr>
        <w:spacing w:after="449"/>
        <w:ind w:left="-15" w:right="1516" w:firstLine="351"/>
      </w:pPr>
      <w:r>
        <w:t xml:space="preserve">The model developed in this paper instead takes a life-cycle perspective and focuses on the human capital accumulation channel to understand behavioural responses to </w:t>
      </w:r>
      <w:r>
        <w:lastRenderedPageBreak/>
        <w:t>ch</w:t>
      </w:r>
      <w:r>
        <w:t>ild-related transfers. This paper further explores the intra-household decision process using the household bargaining model with limited commitment. These extensions are discussed in the following sections.</w:t>
      </w:r>
    </w:p>
    <w:p w14:paraId="1A84A53B" w14:textId="77777777" w:rsidR="006B4FC6" w:rsidRDefault="0051217D">
      <w:pPr>
        <w:pStyle w:val="Heading2"/>
        <w:ind w:left="598" w:hanging="613"/>
      </w:pPr>
      <w:bookmarkStart w:id="3" w:name="_Toc30864"/>
      <w:r>
        <w:t>Family labour supply through the lens of dynamic economic models</w:t>
      </w:r>
      <w:bookmarkEnd w:id="3"/>
    </w:p>
    <w:p w14:paraId="6DC38AAB" w14:textId="77777777" w:rsidR="006B4FC6" w:rsidRDefault="0051217D">
      <w:pPr>
        <w:ind w:left="-5" w:right="1516"/>
      </w:pPr>
      <w:r>
        <w:t>For the lower earning household member, there is a trade-off between working, which necessitates sourcing childcare outside the household, or not working and instead performing child-care rel</w:t>
      </w:r>
      <w:r>
        <w:t>ated tasks. This trade-off is supported by a strong body of empirical evidence stating that women face higher career-costs of having children than men do (</w:t>
      </w:r>
      <w:proofErr w:type="spellStart"/>
      <w:r>
        <w:t>Kleven</w:t>
      </w:r>
      <w:proofErr w:type="spellEnd"/>
      <w:r>
        <w:t xml:space="preserve">, </w:t>
      </w:r>
      <w:proofErr w:type="spellStart"/>
      <w:r>
        <w:t>Landais</w:t>
      </w:r>
      <w:proofErr w:type="spellEnd"/>
      <w:r>
        <w:t xml:space="preserve">, and </w:t>
      </w:r>
      <w:proofErr w:type="spellStart"/>
      <w:r>
        <w:t>Egholt</w:t>
      </w:r>
      <w:proofErr w:type="spellEnd"/>
      <w:r>
        <w:t xml:space="preserve"> </w:t>
      </w:r>
      <w:proofErr w:type="spellStart"/>
      <w:r>
        <w:t>Søgaard</w:t>
      </w:r>
      <w:proofErr w:type="spellEnd"/>
      <w:r>
        <w:t xml:space="preserve"> 2018; Adda, </w:t>
      </w:r>
      <w:proofErr w:type="spellStart"/>
      <w:r>
        <w:t>Dustmann</w:t>
      </w:r>
      <w:proofErr w:type="spellEnd"/>
      <w:r>
        <w:t xml:space="preserve">, and Stevens 2017). This effect is known as </w:t>
      </w:r>
      <w:r>
        <w:t>the child-</w:t>
      </w:r>
      <w:proofErr w:type="gramStart"/>
      <w:r>
        <w:t>penalty, and</w:t>
      </w:r>
      <w:proofErr w:type="gramEnd"/>
      <w:r>
        <w:t xml:space="preserve"> has been found to explain a large component of the long-term earnings inequality between men and women (</w:t>
      </w:r>
      <w:proofErr w:type="spellStart"/>
      <w:r>
        <w:t>Kleven</w:t>
      </w:r>
      <w:proofErr w:type="spellEnd"/>
      <w:r>
        <w:t xml:space="preserve">, </w:t>
      </w:r>
      <w:proofErr w:type="spellStart"/>
      <w:r>
        <w:t>Landais</w:t>
      </w:r>
      <w:proofErr w:type="spellEnd"/>
      <w:r>
        <w:t xml:space="preserve">, and </w:t>
      </w:r>
      <w:proofErr w:type="spellStart"/>
      <w:r>
        <w:t>Egholt</w:t>
      </w:r>
      <w:proofErr w:type="spellEnd"/>
      <w:r>
        <w:t xml:space="preserve"> </w:t>
      </w:r>
      <w:proofErr w:type="spellStart"/>
      <w:r>
        <w:t>Søgaard</w:t>
      </w:r>
      <w:proofErr w:type="spellEnd"/>
      <w:r>
        <w:t xml:space="preserve"> 2018). In Denmark, for example, the earnings and labour supply of men and women follow parall</w:t>
      </w:r>
      <w:r>
        <w:t xml:space="preserve">el trends before </w:t>
      </w:r>
      <w:proofErr w:type="gramStart"/>
      <w:r>
        <w:t>parenthood, but</w:t>
      </w:r>
      <w:proofErr w:type="gramEnd"/>
      <w:r>
        <w:t xml:space="preserve"> diverge sharply and persistently after children arrive (</w:t>
      </w:r>
      <w:proofErr w:type="spellStart"/>
      <w:r>
        <w:t>Kleven</w:t>
      </w:r>
      <w:proofErr w:type="spellEnd"/>
      <w:r>
        <w:t xml:space="preserve">, </w:t>
      </w:r>
      <w:proofErr w:type="spellStart"/>
      <w:r>
        <w:t>Landais</w:t>
      </w:r>
      <w:proofErr w:type="spellEnd"/>
      <w:r>
        <w:t xml:space="preserve">, and </w:t>
      </w:r>
      <w:proofErr w:type="spellStart"/>
      <w:r>
        <w:t>Egholt</w:t>
      </w:r>
      <w:proofErr w:type="spellEnd"/>
      <w:r>
        <w:t xml:space="preserve"> </w:t>
      </w:r>
      <w:proofErr w:type="spellStart"/>
      <w:r>
        <w:t>Søgaard</w:t>
      </w:r>
      <w:proofErr w:type="spellEnd"/>
      <w:r>
        <w:t xml:space="preserve"> 2018). Figure 1 presents a motivating example of this phenomenon, using household register data from Denmark.</w:t>
      </w:r>
    </w:p>
    <w:p w14:paraId="01ABB1D8" w14:textId="77777777" w:rsidR="006B4FC6" w:rsidRDefault="0051217D">
      <w:pPr>
        <w:spacing w:after="294" w:line="259" w:lineRule="auto"/>
        <w:ind w:left="442" w:firstLine="0"/>
        <w:jc w:val="left"/>
      </w:pPr>
      <w:r>
        <w:rPr>
          <w:noProof/>
        </w:rPr>
        <w:drawing>
          <wp:inline distT="0" distB="0" distL="0" distR="0" wp14:anchorId="4337DFFE" wp14:editId="5198DF7A">
            <wp:extent cx="5054431" cy="2171985"/>
            <wp:effectExtent l="0" t="0" r="0" b="0"/>
            <wp:docPr id="226" name="Picture 226"/>
            <wp:cNvGraphicFramePr/>
            <a:graphic xmlns:a="http://schemas.openxmlformats.org/drawingml/2006/main">
              <a:graphicData uri="http://schemas.openxmlformats.org/drawingml/2006/picture">
                <pic:pic xmlns:pic="http://schemas.openxmlformats.org/drawingml/2006/picture">
                  <pic:nvPicPr>
                    <pic:cNvPr id="226" name="Picture 226"/>
                    <pic:cNvPicPr/>
                  </pic:nvPicPr>
                  <pic:blipFill>
                    <a:blip r:embed="rId11"/>
                    <a:stretch>
                      <a:fillRect/>
                    </a:stretch>
                  </pic:blipFill>
                  <pic:spPr>
                    <a:xfrm>
                      <a:off x="0" y="0"/>
                      <a:ext cx="5054431" cy="2171985"/>
                    </a:xfrm>
                    <a:prstGeom prst="rect">
                      <a:avLst/>
                    </a:prstGeom>
                  </pic:spPr>
                </pic:pic>
              </a:graphicData>
            </a:graphic>
          </wp:inline>
        </w:drawing>
      </w:r>
    </w:p>
    <w:p w14:paraId="32D2585A" w14:textId="77777777" w:rsidR="006B4FC6" w:rsidRDefault="0051217D">
      <w:pPr>
        <w:spacing w:after="0" w:line="339" w:lineRule="auto"/>
        <w:ind w:right="1391"/>
        <w:jc w:val="center"/>
      </w:pPr>
      <w:r>
        <w:rPr>
          <w:sz w:val="20"/>
        </w:rPr>
        <w:t>Figure 2: Event stu</w:t>
      </w:r>
      <w:r>
        <w:rPr>
          <w:sz w:val="20"/>
        </w:rPr>
        <w:t>dy showing the child-penalty in average earnings (panel A) and labour supply (panel B) of men and women upon the birth of the first child. This is produced from Danish register</w:t>
      </w:r>
    </w:p>
    <w:p w14:paraId="4A9446F8" w14:textId="77777777" w:rsidR="006B4FC6" w:rsidRDefault="0051217D">
      <w:pPr>
        <w:spacing w:after="460" w:line="339" w:lineRule="auto"/>
        <w:ind w:right="1531"/>
        <w:jc w:val="center"/>
      </w:pPr>
      <w:r>
        <w:rPr>
          <w:sz w:val="20"/>
        </w:rPr>
        <w:t xml:space="preserve">data, taken from </w:t>
      </w:r>
      <w:proofErr w:type="spellStart"/>
      <w:r>
        <w:rPr>
          <w:sz w:val="20"/>
        </w:rPr>
        <w:t>Kleven</w:t>
      </w:r>
      <w:proofErr w:type="spellEnd"/>
      <w:r>
        <w:rPr>
          <w:sz w:val="20"/>
        </w:rPr>
        <w:t xml:space="preserve">, </w:t>
      </w:r>
      <w:proofErr w:type="spellStart"/>
      <w:r>
        <w:rPr>
          <w:sz w:val="20"/>
        </w:rPr>
        <w:t>Landais</w:t>
      </w:r>
      <w:proofErr w:type="spellEnd"/>
      <w:r>
        <w:rPr>
          <w:sz w:val="20"/>
        </w:rPr>
        <w:t xml:space="preserve">, and </w:t>
      </w:r>
      <w:proofErr w:type="spellStart"/>
      <w:r>
        <w:rPr>
          <w:sz w:val="20"/>
        </w:rPr>
        <w:t>Egholt</w:t>
      </w:r>
      <w:proofErr w:type="spellEnd"/>
      <w:r>
        <w:rPr>
          <w:sz w:val="20"/>
        </w:rPr>
        <w:t xml:space="preserve"> </w:t>
      </w:r>
      <w:proofErr w:type="spellStart"/>
      <w:r>
        <w:rPr>
          <w:sz w:val="20"/>
        </w:rPr>
        <w:t>Søgaard</w:t>
      </w:r>
      <w:proofErr w:type="spellEnd"/>
      <w:r>
        <w:rPr>
          <w:sz w:val="20"/>
        </w:rPr>
        <w:t xml:space="preserve"> (2018).</w:t>
      </w:r>
    </w:p>
    <w:p w14:paraId="35737382" w14:textId="77777777" w:rsidR="006B4FC6" w:rsidRDefault="0051217D">
      <w:pPr>
        <w:ind w:left="-15" w:right="1516" w:firstLine="351"/>
      </w:pPr>
      <w:r>
        <w:t>The model develope</w:t>
      </w:r>
      <w:r>
        <w:t xml:space="preserve">d in this paper relates to a strand of literature that investigates male and female labour supply in a dynamic context. An essential feature of this model is endogenous human capital formation (learning by doing), which is accumulated from </w:t>
      </w:r>
      <w:r>
        <w:lastRenderedPageBreak/>
        <w:t>working and depr</w:t>
      </w:r>
      <w:r>
        <w:t>eciates during career interruptions. This is the central mechanism used to explain the empirical child-penalty, as caused by career interruptions and human capital depreciation, which are set to be unequal between men and women.</w:t>
      </w:r>
    </w:p>
    <w:p w14:paraId="29230CC8" w14:textId="77777777" w:rsidR="006B4FC6" w:rsidRDefault="0051217D">
      <w:pPr>
        <w:ind w:left="-15" w:right="1516" w:firstLine="351"/>
      </w:pPr>
      <w:r>
        <w:t>It is worth noting that the</w:t>
      </w:r>
      <w:r>
        <w:t xml:space="preserve">re is considerable disagreement in the literature about the causes of the child penalty, and this channel is certainly not the only one worth considering in the context of child-related transfers. </w:t>
      </w:r>
      <w:proofErr w:type="spellStart"/>
      <w:r>
        <w:t>Kleven</w:t>
      </w:r>
      <w:proofErr w:type="spellEnd"/>
      <w:r>
        <w:t xml:space="preserve">, </w:t>
      </w:r>
      <w:proofErr w:type="spellStart"/>
      <w:r>
        <w:t>Landais</w:t>
      </w:r>
      <w:proofErr w:type="spellEnd"/>
      <w:r>
        <w:t xml:space="preserve">, and </w:t>
      </w:r>
      <w:proofErr w:type="spellStart"/>
      <w:r>
        <w:t>Egholt</w:t>
      </w:r>
      <w:proofErr w:type="spellEnd"/>
      <w:r>
        <w:t xml:space="preserve"> </w:t>
      </w:r>
      <w:proofErr w:type="spellStart"/>
      <w:r>
        <w:t>Søgaard</w:t>
      </w:r>
      <w:proofErr w:type="spellEnd"/>
      <w:r>
        <w:t xml:space="preserve"> (2018) for example, att</w:t>
      </w:r>
      <w:r>
        <w:t xml:space="preserve">ribute the child penalty largely to cultural norms and gender identity learned during childhood, while other authors focus on occupational choices (Adda, </w:t>
      </w:r>
      <w:proofErr w:type="spellStart"/>
      <w:r>
        <w:t>Dustmann</w:t>
      </w:r>
      <w:proofErr w:type="spellEnd"/>
      <w:r>
        <w:t xml:space="preserve">, and Stevens 2017) and the role of endogenous fertility adjustments (Jakobsen, </w:t>
      </w:r>
      <w:proofErr w:type="spellStart"/>
      <w:r>
        <w:t>Jørgensen</w:t>
      </w:r>
      <w:proofErr w:type="spellEnd"/>
      <w:r>
        <w:t>, and</w:t>
      </w:r>
      <w:r>
        <w:t xml:space="preserve"> Low 2022), for example. However, this model abstracts from other drivers of the child-penalty and focuses on the human capital accumulation channel because it directly links labour market decisions with long-term wage trajectories and can be quantitativel</w:t>
      </w:r>
      <w:r>
        <w:t>y assessed within a life-cycle framework.</w:t>
      </w:r>
    </w:p>
    <w:p w14:paraId="40AE243B" w14:textId="77777777" w:rsidR="006B4FC6" w:rsidRDefault="0051217D">
      <w:pPr>
        <w:ind w:left="-15" w:right="1516" w:firstLine="351"/>
      </w:pPr>
      <w:r>
        <w:t>My model builds from the seminal work of Keane (2016), who provides a theoretical analysis of the behavioural implications of introducing human capital into a life-cycle model. This framework is powerful as it capt</w:t>
      </w:r>
      <w:r>
        <w:t>ures the inter temporal trade-offs associated with consumption, savings, and labour supply, both at the intensive (work hours) and extensive (participation) margin. Previously, Imai and Keane (2004) note that estimating such a model, with two continuous st</w:t>
      </w:r>
      <w:r>
        <w:t>ate variables (human capital and assets), was very difficult due to computational constraints. This project therefore belongs to a new group of studies that estimates more elaborate life-cycle labour supply models with multiple continuous state variables (</w:t>
      </w:r>
      <w:r>
        <w:t xml:space="preserve">Foerster 2023; Jakobsen, </w:t>
      </w:r>
      <w:proofErr w:type="spellStart"/>
      <w:r>
        <w:t>Jørgensen</w:t>
      </w:r>
      <w:proofErr w:type="spellEnd"/>
      <w:r>
        <w:t xml:space="preserve">, and Low 2022; Adda, </w:t>
      </w:r>
      <w:proofErr w:type="spellStart"/>
      <w:r>
        <w:t>Dustmann</w:t>
      </w:r>
      <w:proofErr w:type="spellEnd"/>
      <w:r>
        <w:t xml:space="preserve">, and Stevens 2017; </w:t>
      </w:r>
      <w:proofErr w:type="spellStart"/>
      <w:r>
        <w:t>Voena</w:t>
      </w:r>
      <w:proofErr w:type="spellEnd"/>
      <w:r>
        <w:t xml:space="preserve"> 2015).</w:t>
      </w:r>
    </w:p>
    <w:p w14:paraId="73B0C186" w14:textId="77777777" w:rsidR="006B4FC6" w:rsidRDefault="0051217D">
      <w:pPr>
        <w:spacing w:after="352"/>
        <w:ind w:left="-15" w:right="1516" w:firstLine="351"/>
      </w:pPr>
      <w:r>
        <w:t>Household behavioural responses to child-related transfers in this model environment are governed by two drivers, the income and substitution effects. The inco</w:t>
      </w:r>
      <w:r>
        <w:t xml:space="preserve">me effect refers to the change in labour supply resulting from an increase in real income due to the transfer. This mechanism suggests that with additional income from </w:t>
      </w:r>
      <w:proofErr w:type="spellStart"/>
      <w:r>
        <w:t>childrelated</w:t>
      </w:r>
      <w:proofErr w:type="spellEnd"/>
      <w:r>
        <w:t xml:space="preserve"> transfers, households might reduce labour supply as they can now maintain t</w:t>
      </w:r>
      <w:r>
        <w:t xml:space="preserve">he same income level while working fewer hours. The substitution effect, on the other hand, states that child-related transfers can change the relative attractiveness of work compared to leisure or </w:t>
      </w:r>
      <w:proofErr w:type="gramStart"/>
      <w:r>
        <w:t>home-care</w:t>
      </w:r>
      <w:proofErr w:type="gramEnd"/>
      <w:r>
        <w:t>. For transfers that are conditional on working a</w:t>
      </w:r>
      <w:r>
        <w:t xml:space="preserve"> certain number of hours, they effectively reduce the opportunity cost of working those </w:t>
      </w:r>
      <w:proofErr w:type="gramStart"/>
      <w:r>
        <w:t>hours, and</w:t>
      </w:r>
      <w:proofErr w:type="gramEnd"/>
      <w:r>
        <w:t xml:space="preserve"> are expected to increase labour supply up to the required threshold. Beyond </w:t>
      </w:r>
      <w:r>
        <w:lastRenderedPageBreak/>
        <w:t xml:space="preserve">this threshold, the substitution effect may diminish if additional work hours do </w:t>
      </w:r>
      <w:r>
        <w:t>not lead to further increases in benefits, potentially leading households to limit their labour supply to the minimum required to qualify for the transfers. The Marshall elasticity of labour supply captures the combined influence of the income and substitu</w:t>
      </w:r>
      <w:r>
        <w:t xml:space="preserve">tion </w:t>
      </w:r>
      <w:proofErr w:type="gramStart"/>
      <w:r>
        <w:t>effect, and</w:t>
      </w:r>
      <w:proofErr w:type="gramEnd"/>
      <w:r>
        <w:t xml:space="preserve"> is used to calculate household labour supply responses to child-related transfers predicted from the model proposed in this paper.</w:t>
      </w:r>
    </w:p>
    <w:p w14:paraId="5EFD2691" w14:textId="77777777" w:rsidR="006B4FC6" w:rsidRDefault="0051217D">
      <w:pPr>
        <w:pStyle w:val="Heading2"/>
        <w:ind w:left="598" w:hanging="613"/>
      </w:pPr>
      <w:bookmarkStart w:id="4" w:name="_Toc30865"/>
      <w:r>
        <w:t>Modelling decision-making within the household</w:t>
      </w:r>
      <w:bookmarkEnd w:id="4"/>
    </w:p>
    <w:p w14:paraId="30BD704E" w14:textId="77777777" w:rsidR="006B4FC6" w:rsidRDefault="0051217D">
      <w:pPr>
        <w:spacing w:after="195"/>
        <w:ind w:left="-5" w:right="1516"/>
      </w:pPr>
      <w:r>
        <w:t>This section briefly describes two different classes of model</w:t>
      </w:r>
      <w:r>
        <w:t xml:space="preserve">s for household </w:t>
      </w:r>
      <w:proofErr w:type="spellStart"/>
      <w:r>
        <w:t>decisionmaking</w:t>
      </w:r>
      <w:proofErr w:type="spellEnd"/>
      <w:r>
        <w:t xml:space="preserve"> that are implemented in this project: the unitary model and the limited commitment model. Both can be understood in relation to the household utility function:</w:t>
      </w:r>
    </w:p>
    <w:p w14:paraId="6E8A1BD4" w14:textId="77777777" w:rsidR="006B4FC6" w:rsidRDefault="0051217D">
      <w:pPr>
        <w:tabs>
          <w:tab w:val="center" w:pos="4464"/>
          <w:tab w:val="center" w:pos="8695"/>
        </w:tabs>
        <w:spacing w:after="259" w:line="265" w:lineRule="auto"/>
        <w:ind w:left="0" w:firstLine="0"/>
        <w:jc w:val="left"/>
      </w:pPr>
      <w:r>
        <w:rPr>
          <w:rFonts w:ascii="Calibri" w:eastAsia="Calibri" w:hAnsi="Calibri" w:cs="Calibri"/>
          <w:sz w:val="22"/>
        </w:rPr>
        <w:tab/>
      </w:r>
      <w:r>
        <w:rPr>
          <w:noProof/>
        </w:rPr>
        <w:drawing>
          <wp:inline distT="0" distB="0" distL="0" distR="0" wp14:anchorId="70C21ABE" wp14:editId="6188D98A">
            <wp:extent cx="3703320" cy="225552"/>
            <wp:effectExtent l="0" t="0" r="0" b="0"/>
            <wp:docPr id="30302" name="Picture 30302"/>
            <wp:cNvGraphicFramePr/>
            <a:graphic xmlns:a="http://schemas.openxmlformats.org/drawingml/2006/main">
              <a:graphicData uri="http://schemas.openxmlformats.org/drawingml/2006/picture">
                <pic:pic xmlns:pic="http://schemas.openxmlformats.org/drawingml/2006/picture">
                  <pic:nvPicPr>
                    <pic:cNvPr id="30302" name="Picture 30302"/>
                    <pic:cNvPicPr/>
                  </pic:nvPicPr>
                  <pic:blipFill>
                    <a:blip r:embed="rId12"/>
                    <a:stretch>
                      <a:fillRect/>
                    </a:stretch>
                  </pic:blipFill>
                  <pic:spPr>
                    <a:xfrm>
                      <a:off x="0" y="0"/>
                      <a:ext cx="3703320" cy="225552"/>
                    </a:xfrm>
                    <a:prstGeom prst="rect">
                      <a:avLst/>
                    </a:prstGeom>
                  </pic:spPr>
                </pic:pic>
              </a:graphicData>
            </a:graphic>
          </wp:inline>
        </w:drawing>
      </w:r>
      <w:r>
        <w:tab/>
        <w:t>(1)</w:t>
      </w:r>
    </w:p>
    <w:p w14:paraId="435A7666" w14:textId="77777777" w:rsidR="006B4FC6" w:rsidRDefault="0051217D">
      <w:pPr>
        <w:spacing w:after="148" w:line="265" w:lineRule="auto"/>
        <w:ind w:right="1516"/>
        <w:jc w:val="right"/>
      </w:pPr>
      <w:r>
        <w:t xml:space="preserve">where </w:t>
      </w:r>
      <w:r>
        <w:t>C</w:t>
      </w:r>
      <w:r>
        <w:rPr>
          <w:i/>
          <w:vertAlign w:val="subscript"/>
        </w:rPr>
        <w:t xml:space="preserve">t </w:t>
      </w:r>
      <w:r>
        <w:t xml:space="preserve">denotes the set of choice variables, </w:t>
      </w:r>
      <w:r>
        <w:t>S</w:t>
      </w:r>
      <w:r>
        <w:rPr>
          <w:i/>
          <w:vertAlign w:val="subscript"/>
        </w:rPr>
        <w:t xml:space="preserve">t </w:t>
      </w:r>
      <w:r>
        <w:t>denotes the set of state variables,</w:t>
      </w:r>
    </w:p>
    <w:p w14:paraId="007CED91" w14:textId="77777777" w:rsidR="006B4FC6" w:rsidRDefault="0051217D">
      <w:pPr>
        <w:spacing w:after="113" w:line="259" w:lineRule="auto"/>
        <w:ind w:left="-5" w:right="1516"/>
      </w:pPr>
      <w:r>
        <w:t xml:space="preserve">and </w:t>
      </w:r>
      <w:r>
        <w:rPr>
          <w:i/>
        </w:rPr>
        <w:t>µ</w:t>
      </w:r>
      <w:r>
        <w:rPr>
          <w:i/>
          <w:vertAlign w:val="subscript"/>
        </w:rPr>
        <w:t xml:space="preserve">t </w:t>
      </w:r>
      <w:r>
        <w:t>is the bargaining power of household member 1.</w:t>
      </w:r>
    </w:p>
    <w:p w14:paraId="53B2843A" w14:textId="77777777" w:rsidR="006B4FC6" w:rsidRDefault="0051217D">
      <w:pPr>
        <w:ind w:left="-15" w:right="1516" w:firstLine="351"/>
      </w:pPr>
      <w:r>
        <w:t>In the unitary model, the household is treated as a single decision-making entity with a collective utility function. This app</w:t>
      </w:r>
      <w:r>
        <w:t xml:space="preserve">roach assumes that all household resources and preferences can be aggregated into one utility function, effectively making the household act as if it has a single set of preferences. Therefore, in this model, the bargaining power </w:t>
      </w:r>
      <w:r>
        <w:rPr>
          <w:i/>
        </w:rPr>
        <w:t>µ</w:t>
      </w:r>
      <w:r>
        <w:rPr>
          <w:i/>
          <w:vertAlign w:val="subscript"/>
        </w:rPr>
        <w:t xml:space="preserve">t </w:t>
      </w:r>
      <w:r>
        <w:t>is constant and not inf</w:t>
      </w:r>
      <w:r>
        <w:t xml:space="preserve">luenced by internal household dynamics, such that </w:t>
      </w:r>
      <w:r>
        <w:rPr>
          <w:i/>
        </w:rPr>
        <w:t>µ</w:t>
      </w:r>
      <w:r>
        <w:rPr>
          <w:i/>
          <w:vertAlign w:val="subscript"/>
        </w:rPr>
        <w:t xml:space="preserve">t </w:t>
      </w:r>
      <w:r>
        <w:t xml:space="preserve">= </w:t>
      </w:r>
      <w:r>
        <w:rPr>
          <w:i/>
        </w:rPr>
        <w:t>µ</w:t>
      </w:r>
      <w:r>
        <w:t>∀</w:t>
      </w:r>
      <w:r>
        <w:rPr>
          <w:i/>
        </w:rPr>
        <w:t>t</w:t>
      </w:r>
      <w:r>
        <w:t>.</w:t>
      </w:r>
    </w:p>
    <w:p w14:paraId="028799E4" w14:textId="77777777" w:rsidR="006B4FC6" w:rsidRDefault="0051217D">
      <w:pPr>
        <w:ind w:left="-15" w:right="1516" w:firstLine="351"/>
      </w:pPr>
      <w:r>
        <w:t xml:space="preserve">While the unitary model is straightforward and useful for deriving testable predictions about household </w:t>
      </w:r>
      <w:proofErr w:type="spellStart"/>
      <w:r>
        <w:t>behavior</w:t>
      </w:r>
      <w:proofErr w:type="spellEnd"/>
      <w:r>
        <w:t>, it fails to account for individual preferences and intra-household negotiations (</w:t>
      </w:r>
      <w:proofErr w:type="spellStart"/>
      <w:r>
        <w:t>C</w:t>
      </w:r>
      <w:r>
        <w:t>hiappori</w:t>
      </w:r>
      <w:proofErr w:type="spellEnd"/>
      <w:r>
        <w:t xml:space="preserve"> and </w:t>
      </w:r>
      <w:proofErr w:type="spellStart"/>
      <w:r>
        <w:t>Mazzocco</w:t>
      </w:r>
      <w:proofErr w:type="spellEnd"/>
      <w:r>
        <w:t xml:space="preserve"> 2017). It oversimplifies by not considering how resources are distributed among household members, thus missing the nuances of individual welfare within the household.</w:t>
      </w:r>
    </w:p>
    <w:p w14:paraId="27275F3A" w14:textId="77777777" w:rsidR="006B4FC6" w:rsidRDefault="0051217D">
      <w:pPr>
        <w:ind w:left="-15" w:right="1516" w:firstLine="351"/>
      </w:pPr>
      <w:r>
        <w:t>The limited commitment model addresses these shortcomings by recog</w:t>
      </w:r>
      <w:r>
        <w:t>nizing that household members have distinct utility functions and bargaining powers that can change over time based on their outside options and internal dynamics. Bargaining power under limited commitment is determined by endogenous factors and updated in</w:t>
      </w:r>
      <w:r>
        <w:t xml:space="preserve"> some periods, </w:t>
      </w:r>
      <w:r>
        <w:rPr>
          <w:noProof/>
        </w:rPr>
        <w:drawing>
          <wp:inline distT="0" distB="0" distL="0" distR="0" wp14:anchorId="5A0E8056" wp14:editId="795E5115">
            <wp:extent cx="1002792" cy="158497"/>
            <wp:effectExtent l="0" t="0" r="0" b="0"/>
            <wp:docPr id="30303" name="Picture 30303"/>
            <wp:cNvGraphicFramePr/>
            <a:graphic xmlns:a="http://schemas.openxmlformats.org/drawingml/2006/main">
              <a:graphicData uri="http://schemas.openxmlformats.org/drawingml/2006/picture">
                <pic:pic xmlns:pic="http://schemas.openxmlformats.org/drawingml/2006/picture">
                  <pic:nvPicPr>
                    <pic:cNvPr id="30303" name="Picture 30303"/>
                    <pic:cNvPicPr/>
                  </pic:nvPicPr>
                  <pic:blipFill>
                    <a:blip r:embed="rId13"/>
                    <a:stretch>
                      <a:fillRect/>
                    </a:stretch>
                  </pic:blipFill>
                  <pic:spPr>
                    <a:xfrm>
                      <a:off x="0" y="0"/>
                      <a:ext cx="1002792" cy="158497"/>
                    </a:xfrm>
                    <a:prstGeom prst="rect">
                      <a:avLst/>
                    </a:prstGeom>
                  </pic:spPr>
                </pic:pic>
              </a:graphicData>
            </a:graphic>
          </wp:inline>
        </w:drawing>
      </w:r>
      <w:r>
        <w:t>) (</w:t>
      </w:r>
      <w:proofErr w:type="spellStart"/>
      <w:r>
        <w:t>Chiappori</w:t>
      </w:r>
      <w:proofErr w:type="spellEnd"/>
      <w:r>
        <w:t xml:space="preserve"> and </w:t>
      </w:r>
      <w:proofErr w:type="spellStart"/>
      <w:r>
        <w:t>Mazzocco</w:t>
      </w:r>
      <w:proofErr w:type="spellEnd"/>
      <w:r>
        <w:t xml:space="preserve"> 2017).</w:t>
      </w:r>
    </w:p>
    <w:p w14:paraId="2C7CEBAC" w14:textId="77777777" w:rsidR="006B4FC6" w:rsidRDefault="0051217D">
      <w:pPr>
        <w:ind w:left="-15" w:right="1516" w:firstLine="351"/>
      </w:pPr>
      <w:r>
        <w:lastRenderedPageBreak/>
        <w:t>The limited commitment model assumes that each household member can threaten to leave the relationship if their utility falls below their outside option, which enforces a renegotiation of the terms. This dyn</w:t>
      </w:r>
      <w:r>
        <w:t>amic bargaining process ensures that the allocation of resources within the household is continually adjusted to reflect the members’ changing preferences and outside options, leading to Pareto-optimal outcomes (</w:t>
      </w:r>
      <w:proofErr w:type="spellStart"/>
      <w:r>
        <w:t>Mazzocco</w:t>
      </w:r>
      <w:proofErr w:type="spellEnd"/>
      <w:r>
        <w:t xml:space="preserve"> 2007).</w:t>
      </w:r>
    </w:p>
    <w:p w14:paraId="4F69E76C" w14:textId="77777777" w:rsidR="006B4FC6" w:rsidRDefault="0051217D">
      <w:pPr>
        <w:spacing w:after="480"/>
        <w:ind w:left="-15" w:right="1516" w:firstLine="351"/>
      </w:pPr>
      <w:r>
        <w:t>This model has recently gain</w:t>
      </w:r>
      <w:r>
        <w:t xml:space="preserve">ed attention to study dynamic household </w:t>
      </w:r>
      <w:proofErr w:type="spellStart"/>
      <w:r>
        <w:t>decisionmaking</w:t>
      </w:r>
      <w:proofErr w:type="spellEnd"/>
      <w:r>
        <w:t xml:space="preserve"> in other related policy contexts, such as the move from joint to individual taxation (Bronson and </w:t>
      </w:r>
      <w:proofErr w:type="spellStart"/>
      <w:r>
        <w:t>Mazzocco</w:t>
      </w:r>
      <w:proofErr w:type="spellEnd"/>
      <w:r>
        <w:t xml:space="preserve"> 2023), the effect of divorce laws on savings and labour supply (</w:t>
      </w:r>
      <w:proofErr w:type="spellStart"/>
      <w:r>
        <w:t>Voena</w:t>
      </w:r>
      <w:proofErr w:type="spellEnd"/>
      <w:r>
        <w:t xml:space="preserve"> 2015), and the effect of</w:t>
      </w:r>
      <w:r>
        <w:t xml:space="preserve"> laws related to alimony and child support (Foerster 2023). This suggests that this model is useful for </w:t>
      </w:r>
      <w:proofErr w:type="spellStart"/>
      <w:r>
        <w:t>analyzing</w:t>
      </w:r>
      <w:proofErr w:type="spellEnd"/>
      <w:r>
        <w:t xml:space="preserve"> the impact of child-related transfers on household labour supply decisions. By capturing the dynamic nature of intra-household negotiations an</w:t>
      </w:r>
      <w:r>
        <w:t xml:space="preserve">d power shifts, the limited commitment model can provide a more realistic understanding of how such transfers influence individual labour supply, human capital accumulation, and overall household welfare. </w:t>
      </w:r>
      <w:proofErr w:type="gramStart"/>
      <w:r>
        <w:t>In particular, using</w:t>
      </w:r>
      <w:proofErr w:type="gramEnd"/>
      <w:r>
        <w:t xml:space="preserve"> this model provides a more ela</w:t>
      </w:r>
      <w:r>
        <w:t>borate interpretation of the trade-off associated with the choice to work and accumulate human capital, which improves earnings potential in the outside option and may improve bargaining power within the household, or not working, which may reduce one’s po</w:t>
      </w:r>
      <w:r>
        <w:t>wer share within the household. This model therefore allows for a more complex interplay of income and substitution effects when considering the impact of child-related transfers on decisions within the household. The theoretical process of the model is ex</w:t>
      </w:r>
      <w:r>
        <w:t>plained in greater detail in the next section.</w:t>
      </w:r>
    </w:p>
    <w:p w14:paraId="2CDFEE15" w14:textId="77777777" w:rsidR="006B4FC6" w:rsidRDefault="0051217D">
      <w:pPr>
        <w:pStyle w:val="Heading1"/>
        <w:ind w:left="469" w:hanging="484"/>
      </w:pPr>
      <w:bookmarkStart w:id="5" w:name="_Toc30866"/>
      <w:r>
        <w:t>Model</w:t>
      </w:r>
      <w:bookmarkEnd w:id="5"/>
    </w:p>
    <w:p w14:paraId="25BD58EC" w14:textId="77777777" w:rsidR="006B4FC6" w:rsidRDefault="0051217D">
      <w:pPr>
        <w:spacing w:after="370"/>
        <w:ind w:left="-5" w:right="1516"/>
      </w:pPr>
      <w:r>
        <w:t xml:space="preserve">In this section, I set out the recursive formulation for the life-cycle labour supply model introduced in this paper. It is worth noting that I refer to two different model specifications, the </w:t>
      </w:r>
      <w:r>
        <w:rPr>
          <w:i/>
        </w:rPr>
        <w:t>extended m</w:t>
      </w:r>
      <w:r>
        <w:rPr>
          <w:i/>
        </w:rPr>
        <w:t>odel</w:t>
      </w:r>
      <w:r>
        <w:t xml:space="preserve">, which is not solved, and the </w:t>
      </w:r>
      <w:r>
        <w:rPr>
          <w:i/>
        </w:rPr>
        <w:t>unitary model</w:t>
      </w:r>
      <w:r>
        <w:t xml:space="preserve">, which is solved and simulated. The </w:t>
      </w:r>
      <w:r>
        <w:rPr>
          <w:i/>
        </w:rPr>
        <w:t xml:space="preserve">extended model </w:t>
      </w:r>
      <w:r>
        <w:t>includes household bargaining, limited commitment with respect to power levels within the household (</w:t>
      </w:r>
      <w:r>
        <w:rPr>
          <w:i/>
        </w:rPr>
        <w:t xml:space="preserve">µ </w:t>
      </w:r>
      <w:r>
        <w:t xml:space="preserve">∈ </w:t>
      </w:r>
      <w:r>
        <w:t>[0</w:t>
      </w:r>
      <w:r>
        <w:rPr>
          <w:i/>
        </w:rPr>
        <w:t>,</w:t>
      </w:r>
      <w:r>
        <w:t>1]), love shocks (</w:t>
      </w:r>
      <w:proofErr w:type="spellStart"/>
      <w:r>
        <w:rPr>
          <w:i/>
        </w:rPr>
        <w:t>ε</w:t>
      </w:r>
      <w:r>
        <w:rPr>
          <w:i/>
          <w:vertAlign w:val="subscript"/>
        </w:rPr>
        <w:t>t</w:t>
      </w:r>
      <w:proofErr w:type="spellEnd"/>
      <w:r>
        <w:rPr>
          <w:i/>
          <w:vertAlign w:val="subscript"/>
        </w:rPr>
        <w:t xml:space="preserve"> </w:t>
      </w:r>
      <w:r>
        <w:t xml:space="preserve">∼ </w:t>
      </w:r>
      <w:proofErr w:type="spellStart"/>
      <w:proofErr w:type="gramStart"/>
      <w:r>
        <w:rPr>
          <w:i/>
        </w:rPr>
        <w:t>iid</w:t>
      </w:r>
      <w:r>
        <w:t>N</w:t>
      </w:r>
      <w:proofErr w:type="spellEnd"/>
      <w:r>
        <w:t>(</w:t>
      </w:r>
      <w:proofErr w:type="gramEnd"/>
      <w:r>
        <w:t>0</w:t>
      </w:r>
      <w:r>
        <w:rPr>
          <w:i/>
        </w:rPr>
        <w:t>,σ</w:t>
      </w:r>
      <w:r>
        <w:rPr>
          <w:i/>
          <w:vertAlign w:val="subscript"/>
        </w:rPr>
        <w:t>ψ</w:t>
      </w:r>
      <w:r>
        <w:rPr>
          <w:vertAlign w:val="superscript"/>
        </w:rPr>
        <w:t xml:space="preserve">2 </w:t>
      </w:r>
      <w:r>
        <w:t>)), and endoge</w:t>
      </w:r>
      <w:r>
        <w:t>nous divorce choices (</w:t>
      </w:r>
      <w:r>
        <w:rPr>
          <w:i/>
        </w:rPr>
        <w:t>D</w:t>
      </w:r>
      <w:r>
        <w:rPr>
          <w:vertAlign w:val="superscript"/>
        </w:rPr>
        <w:t>∗</w:t>
      </w:r>
      <w:r>
        <w:rPr>
          <w:vertAlign w:val="superscript"/>
        </w:rPr>
        <w:t xml:space="preserve"> </w:t>
      </w:r>
      <w:r>
        <w:t>∈ {</w:t>
      </w:r>
      <w:r>
        <w:t>0</w:t>
      </w:r>
      <w:r>
        <w:rPr>
          <w:i/>
        </w:rPr>
        <w:t>,</w:t>
      </w:r>
      <w:r>
        <w:t>1</w:t>
      </w:r>
      <w:r>
        <w:t>}</w:t>
      </w:r>
      <w:r>
        <w:t xml:space="preserve">). The </w:t>
      </w:r>
      <w:r>
        <w:rPr>
          <w:i/>
        </w:rPr>
        <w:t>unitary model</w:t>
      </w:r>
      <w:r>
        <w:t xml:space="preserve">, on the other hand, is a special case of the </w:t>
      </w:r>
      <w:r>
        <w:rPr>
          <w:i/>
        </w:rPr>
        <w:t>extended model</w:t>
      </w:r>
      <w:r>
        <w:t xml:space="preserve">, where the power share within </w:t>
      </w:r>
      <w:r>
        <w:lastRenderedPageBreak/>
        <w:t>the household is constant (</w:t>
      </w:r>
      <w:r>
        <w:rPr>
          <w:i/>
        </w:rPr>
        <w:t xml:space="preserve">µ </w:t>
      </w:r>
      <w:r>
        <w:t>= 0</w:t>
      </w:r>
      <w:r>
        <w:rPr>
          <w:i/>
        </w:rPr>
        <w:t>.</w:t>
      </w:r>
      <w:r>
        <w:t>5</w:t>
      </w:r>
      <w:r>
        <w:t>∀</w:t>
      </w:r>
      <w:r>
        <w:rPr>
          <w:i/>
        </w:rPr>
        <w:t>t</w:t>
      </w:r>
      <w:r>
        <w:t>), there are no love shocks (</w:t>
      </w:r>
      <w:proofErr w:type="spellStart"/>
      <w:r>
        <w:rPr>
          <w:i/>
        </w:rPr>
        <w:t>ε</w:t>
      </w:r>
      <w:r>
        <w:rPr>
          <w:i/>
          <w:vertAlign w:val="subscript"/>
        </w:rPr>
        <w:t>t</w:t>
      </w:r>
      <w:proofErr w:type="spellEnd"/>
      <w:r>
        <w:rPr>
          <w:i/>
          <w:vertAlign w:val="subscript"/>
        </w:rPr>
        <w:t xml:space="preserve"> </w:t>
      </w:r>
      <w:r>
        <w:t xml:space="preserve">∼ </w:t>
      </w:r>
      <w:proofErr w:type="spellStart"/>
      <w:proofErr w:type="gramStart"/>
      <w:r>
        <w:rPr>
          <w:i/>
        </w:rPr>
        <w:t>iid</w:t>
      </w:r>
      <w:r>
        <w:t>N</w:t>
      </w:r>
      <w:proofErr w:type="spellEnd"/>
      <w:r>
        <w:t>(</w:t>
      </w:r>
      <w:proofErr w:type="gramEnd"/>
      <w:r>
        <w:t>0</w:t>
      </w:r>
      <w:r>
        <w:rPr>
          <w:i/>
        </w:rPr>
        <w:t>,</w:t>
      </w:r>
      <w:r>
        <w:t>0)), and there is no divorce (</w:t>
      </w:r>
      <w:r>
        <w:rPr>
          <w:i/>
        </w:rPr>
        <w:t>D</w:t>
      </w:r>
      <w:r>
        <w:rPr>
          <w:vertAlign w:val="superscript"/>
        </w:rPr>
        <w:t>∗</w:t>
      </w:r>
      <w:r>
        <w:rPr>
          <w:vertAlign w:val="superscript"/>
        </w:rPr>
        <w:t xml:space="preserve"> </w:t>
      </w:r>
      <w:r>
        <w:t>= 0</w:t>
      </w:r>
      <w:r>
        <w:t>∀</w:t>
      </w:r>
      <w:r>
        <w:rPr>
          <w:i/>
        </w:rPr>
        <w:t>t</w:t>
      </w:r>
      <w:r>
        <w:t>).</w:t>
      </w:r>
    </w:p>
    <w:p w14:paraId="6C091F89" w14:textId="77777777" w:rsidR="006B4FC6" w:rsidRDefault="0051217D">
      <w:pPr>
        <w:pStyle w:val="Heading2"/>
        <w:ind w:left="598" w:hanging="613"/>
      </w:pPr>
      <w:bookmarkStart w:id="6" w:name="_Toc30867"/>
      <w:r>
        <w:t>Setup</w:t>
      </w:r>
      <w:bookmarkEnd w:id="6"/>
    </w:p>
    <w:p w14:paraId="350BC7C0" w14:textId="77777777" w:rsidR="006B4FC6" w:rsidRDefault="0051217D">
      <w:pPr>
        <w:spacing w:after="39"/>
        <w:ind w:left="-5" w:right="1516"/>
      </w:pPr>
      <w:r>
        <w:t xml:space="preserve">In this model, households are initialised to comprise of two adult members, a woman and a man, who are indicated by </w:t>
      </w:r>
      <w:r>
        <w:rPr>
          <w:i/>
        </w:rPr>
        <w:t xml:space="preserve">j </w:t>
      </w:r>
      <w:r>
        <w:t>∈ {</w:t>
      </w:r>
      <w:proofErr w:type="spellStart"/>
      <w:proofErr w:type="gramStart"/>
      <w:r>
        <w:rPr>
          <w:i/>
        </w:rPr>
        <w:t>w,m</w:t>
      </w:r>
      <w:proofErr w:type="spellEnd"/>
      <w:proofErr w:type="gramEnd"/>
      <w:r>
        <w:t>}</w:t>
      </w:r>
      <w:r>
        <w:t>. Households choose individual consumption,</w:t>
      </w:r>
    </w:p>
    <w:p w14:paraId="1FFAE9B1" w14:textId="77777777" w:rsidR="006B4FC6" w:rsidRDefault="0051217D">
      <w:pPr>
        <w:spacing w:after="183"/>
        <w:ind w:left="-5" w:right="1516"/>
      </w:pPr>
      <w:proofErr w:type="spellStart"/>
      <w:proofErr w:type="gramStart"/>
      <w:r>
        <w:rPr>
          <w:i/>
        </w:rPr>
        <w:t>c</w:t>
      </w:r>
      <w:r>
        <w:rPr>
          <w:i/>
          <w:vertAlign w:val="subscript"/>
        </w:rPr>
        <w:t>j,t</w:t>
      </w:r>
      <w:proofErr w:type="spellEnd"/>
      <w:proofErr w:type="gramEnd"/>
      <w:r>
        <w:t xml:space="preserve">, public consumption, </w:t>
      </w:r>
      <w:proofErr w:type="spellStart"/>
      <w:r>
        <w:rPr>
          <w:i/>
        </w:rPr>
        <w:t>c</w:t>
      </w:r>
      <w:r>
        <w:rPr>
          <w:i/>
          <w:vertAlign w:val="subscript"/>
        </w:rPr>
        <w:t>t</w:t>
      </w:r>
      <w:proofErr w:type="spellEnd"/>
      <w:r>
        <w:t>, and indivi</w:t>
      </w:r>
      <w:r>
        <w:t xml:space="preserve">dual working hours, </w:t>
      </w:r>
      <w:proofErr w:type="spellStart"/>
      <w:r>
        <w:rPr>
          <w:i/>
        </w:rPr>
        <w:t>h</w:t>
      </w:r>
      <w:r>
        <w:rPr>
          <w:i/>
          <w:vertAlign w:val="subscript"/>
        </w:rPr>
        <w:t>j,t</w:t>
      </w:r>
      <w:proofErr w:type="spellEnd"/>
      <w:r>
        <w:t>. Individual preferences are of the CES type,</w:t>
      </w:r>
    </w:p>
    <w:p w14:paraId="77E3F613" w14:textId="77777777" w:rsidR="006B4FC6" w:rsidRDefault="0051217D">
      <w:pPr>
        <w:tabs>
          <w:tab w:val="center" w:pos="4464"/>
          <w:tab w:val="center" w:pos="8695"/>
        </w:tabs>
        <w:spacing w:after="12" w:line="265" w:lineRule="auto"/>
        <w:ind w:left="0" w:firstLine="0"/>
        <w:jc w:val="left"/>
      </w:pPr>
      <w:r>
        <w:rPr>
          <w:rFonts w:ascii="Calibri" w:eastAsia="Calibri" w:hAnsi="Calibri" w:cs="Calibri"/>
          <w:sz w:val="22"/>
        </w:rPr>
        <w:tab/>
      </w:r>
      <w:r>
        <w:rPr>
          <w:noProof/>
        </w:rPr>
        <w:drawing>
          <wp:inline distT="0" distB="0" distL="0" distR="0" wp14:anchorId="32599DC6" wp14:editId="3306743F">
            <wp:extent cx="4111752" cy="411480"/>
            <wp:effectExtent l="0" t="0" r="0" b="0"/>
            <wp:docPr id="30304" name="Picture 30304"/>
            <wp:cNvGraphicFramePr/>
            <a:graphic xmlns:a="http://schemas.openxmlformats.org/drawingml/2006/main">
              <a:graphicData uri="http://schemas.openxmlformats.org/drawingml/2006/picture">
                <pic:pic xmlns:pic="http://schemas.openxmlformats.org/drawingml/2006/picture">
                  <pic:nvPicPr>
                    <pic:cNvPr id="30304" name="Picture 30304"/>
                    <pic:cNvPicPr/>
                  </pic:nvPicPr>
                  <pic:blipFill>
                    <a:blip r:embed="rId14"/>
                    <a:stretch>
                      <a:fillRect/>
                    </a:stretch>
                  </pic:blipFill>
                  <pic:spPr>
                    <a:xfrm>
                      <a:off x="0" y="0"/>
                      <a:ext cx="4111752" cy="411480"/>
                    </a:xfrm>
                    <a:prstGeom prst="rect">
                      <a:avLst/>
                    </a:prstGeom>
                  </pic:spPr>
                </pic:pic>
              </a:graphicData>
            </a:graphic>
          </wp:inline>
        </w:drawing>
      </w:r>
      <w:r>
        <w:tab/>
        <w:t>(2)</w:t>
      </w:r>
    </w:p>
    <w:p w14:paraId="7F6441BE" w14:textId="77777777" w:rsidR="006B4FC6" w:rsidRDefault="0051217D">
      <w:pPr>
        <w:spacing w:after="490"/>
        <w:ind w:left="361" w:right="1516"/>
      </w:pPr>
      <w:r>
        <w:t xml:space="preserve">with the dis-utility of work depending on the presence of a child </w:t>
      </w:r>
      <w:proofErr w:type="spellStart"/>
      <w:r>
        <w:rPr>
          <w:i/>
        </w:rPr>
        <w:t>n</w:t>
      </w:r>
      <w:r>
        <w:rPr>
          <w:i/>
          <w:vertAlign w:val="subscript"/>
        </w:rPr>
        <w:t>t</w:t>
      </w:r>
      <w:proofErr w:type="spellEnd"/>
      <w:r>
        <w:t>,</w:t>
      </w:r>
    </w:p>
    <w:p w14:paraId="443B0631" w14:textId="77777777" w:rsidR="006B4FC6" w:rsidRDefault="0051217D">
      <w:pPr>
        <w:tabs>
          <w:tab w:val="center" w:pos="4422"/>
          <w:tab w:val="center" w:pos="8695"/>
        </w:tabs>
        <w:spacing w:after="229" w:line="265" w:lineRule="auto"/>
        <w:ind w:left="0" w:firstLine="0"/>
        <w:jc w:val="left"/>
      </w:pPr>
      <w:r>
        <w:rPr>
          <w:rFonts w:ascii="Calibri" w:eastAsia="Calibri" w:hAnsi="Calibri" w:cs="Calibri"/>
          <w:sz w:val="22"/>
        </w:rPr>
        <w:tab/>
      </w:r>
      <w:proofErr w:type="spellStart"/>
      <w:r>
        <w:rPr>
          <w:i/>
        </w:rPr>
        <w:t>θ</w:t>
      </w:r>
      <w:r>
        <w:rPr>
          <w:i/>
          <w:sz w:val="16"/>
        </w:rPr>
        <w:t>j</w:t>
      </w:r>
      <w:proofErr w:type="spellEnd"/>
      <w:r>
        <w:rPr>
          <w:i/>
          <w:sz w:val="16"/>
        </w:rPr>
        <w:t xml:space="preserve"> </w:t>
      </w:r>
      <w:r>
        <w:t xml:space="preserve">= </w:t>
      </w:r>
      <w:r>
        <w:rPr>
          <w:i/>
        </w:rPr>
        <w:t>θ</w:t>
      </w:r>
      <w:proofErr w:type="gramStart"/>
      <w:r>
        <w:rPr>
          <w:sz w:val="16"/>
        </w:rPr>
        <w:t>0</w:t>
      </w:r>
      <w:r>
        <w:rPr>
          <w:i/>
          <w:sz w:val="16"/>
        </w:rPr>
        <w:t>,j</w:t>
      </w:r>
      <w:proofErr w:type="gramEnd"/>
      <w:r>
        <w:rPr>
          <w:i/>
          <w:sz w:val="16"/>
        </w:rPr>
        <w:t xml:space="preserve"> </w:t>
      </w:r>
      <w:r>
        <w:t xml:space="preserve">+ </w:t>
      </w:r>
      <w:r>
        <w:rPr>
          <w:i/>
        </w:rPr>
        <w:t>θ</w:t>
      </w:r>
      <w:r>
        <w:rPr>
          <w:sz w:val="16"/>
        </w:rPr>
        <w:t>1</w:t>
      </w:r>
      <w:r>
        <w:rPr>
          <w:i/>
          <w:sz w:val="16"/>
        </w:rPr>
        <w:t>,j</w:t>
      </w:r>
      <w:r>
        <w:rPr>
          <w:i/>
        </w:rPr>
        <w:t>n</w:t>
      </w:r>
      <w:r>
        <w:rPr>
          <w:i/>
          <w:sz w:val="16"/>
        </w:rPr>
        <w:t>t</w:t>
      </w:r>
      <w:r>
        <w:rPr>
          <w:i/>
        </w:rPr>
        <w:t>.</w:t>
      </w:r>
      <w:r>
        <w:rPr>
          <w:i/>
        </w:rPr>
        <w:tab/>
      </w:r>
      <w:r>
        <w:t>(3)</w:t>
      </w:r>
    </w:p>
    <w:p w14:paraId="27695C7F" w14:textId="77777777" w:rsidR="006B4FC6" w:rsidRDefault="0051217D">
      <w:pPr>
        <w:spacing w:after="725"/>
        <w:ind w:left="361" w:right="1516"/>
      </w:pPr>
      <w:r>
        <w:t>The household budget constraint for a couple is</w:t>
      </w:r>
    </w:p>
    <w:p w14:paraId="100E2DAF" w14:textId="77777777" w:rsidR="006B4FC6" w:rsidRDefault="0051217D">
      <w:pPr>
        <w:spacing w:after="231" w:line="259" w:lineRule="auto"/>
        <w:ind w:left="184" w:right="1705"/>
        <w:jc w:val="center"/>
      </w:pPr>
      <w:r>
        <w:rPr>
          <w:i/>
        </w:rPr>
        <w:t>A</w:t>
      </w:r>
      <w:r>
        <w:rPr>
          <w:i/>
          <w:sz w:val="16"/>
        </w:rPr>
        <w:t xml:space="preserve">t </w:t>
      </w:r>
      <w:r>
        <w:t xml:space="preserve">+ </w:t>
      </w:r>
      <w:proofErr w:type="spellStart"/>
      <w:r>
        <w:rPr>
          <w:i/>
        </w:rPr>
        <w:t>c</w:t>
      </w:r>
      <w:r>
        <w:rPr>
          <w:i/>
          <w:sz w:val="16"/>
        </w:rPr>
        <w:t>t</w:t>
      </w:r>
      <w:proofErr w:type="spellEnd"/>
      <w:r>
        <w:rPr>
          <w:i/>
          <w:sz w:val="16"/>
        </w:rPr>
        <w:t xml:space="preserve"> </w:t>
      </w:r>
      <w:r>
        <w:t xml:space="preserve">+ </w:t>
      </w:r>
      <w:proofErr w:type="spellStart"/>
      <w:proofErr w:type="gramStart"/>
      <w:r>
        <w:rPr>
          <w:i/>
        </w:rPr>
        <w:t>c</w:t>
      </w:r>
      <w:r>
        <w:rPr>
          <w:i/>
          <w:sz w:val="16"/>
        </w:rPr>
        <w:t>w,t</w:t>
      </w:r>
      <w:proofErr w:type="spellEnd"/>
      <w:proofErr w:type="gramEnd"/>
      <w:r>
        <w:rPr>
          <w:i/>
          <w:sz w:val="16"/>
        </w:rPr>
        <w:t xml:space="preserve"> </w:t>
      </w:r>
      <w:r>
        <w:t xml:space="preserve">+ </w:t>
      </w:r>
      <w:proofErr w:type="spellStart"/>
      <w:r>
        <w:rPr>
          <w:i/>
        </w:rPr>
        <w:t>c</w:t>
      </w:r>
      <w:r>
        <w:rPr>
          <w:i/>
          <w:sz w:val="16"/>
        </w:rPr>
        <w:t>m,t</w:t>
      </w:r>
      <w:proofErr w:type="spellEnd"/>
      <w:r>
        <w:rPr>
          <w:i/>
          <w:sz w:val="16"/>
        </w:rPr>
        <w:t xml:space="preserve"> </w:t>
      </w:r>
      <w:r>
        <w:t>=</w:t>
      </w:r>
      <w:r>
        <w:rPr>
          <w:i/>
        </w:rPr>
        <w:t>RA</w:t>
      </w:r>
      <w:r>
        <w:rPr>
          <w:i/>
          <w:sz w:val="16"/>
        </w:rPr>
        <w:t>t</w:t>
      </w:r>
      <w:r>
        <w:rPr>
          <w:sz w:val="16"/>
        </w:rPr>
        <w:t>−</w:t>
      </w:r>
      <w:r>
        <w:rPr>
          <w:sz w:val="16"/>
        </w:rPr>
        <w:t xml:space="preserve">1 </w:t>
      </w:r>
      <w:r>
        <w:t xml:space="preserve">+ </w:t>
      </w:r>
      <w:proofErr w:type="spellStart"/>
      <w:r>
        <w:rPr>
          <w:i/>
        </w:rPr>
        <w:t>Y</w:t>
      </w:r>
      <w:r>
        <w:rPr>
          <w:i/>
          <w:sz w:val="16"/>
        </w:rPr>
        <w:t>w,t</w:t>
      </w:r>
      <w:proofErr w:type="spellEnd"/>
      <w:r>
        <w:t>(</w:t>
      </w:r>
      <w:proofErr w:type="spellStart"/>
      <w:r>
        <w:rPr>
          <w:i/>
        </w:rPr>
        <w:t>w</w:t>
      </w:r>
      <w:r>
        <w:rPr>
          <w:i/>
          <w:sz w:val="16"/>
        </w:rPr>
        <w:t>w,t</w:t>
      </w:r>
      <w:r>
        <w:rPr>
          <w:i/>
        </w:rPr>
        <w:t>,h</w:t>
      </w:r>
      <w:r>
        <w:rPr>
          <w:i/>
          <w:sz w:val="16"/>
        </w:rPr>
        <w:t>w,t</w:t>
      </w:r>
      <w:proofErr w:type="spellEnd"/>
      <w:r>
        <w:t xml:space="preserve">) + </w:t>
      </w:r>
      <w:proofErr w:type="spellStart"/>
      <w:r>
        <w:rPr>
          <w:i/>
        </w:rPr>
        <w:t>Y</w:t>
      </w:r>
      <w:r>
        <w:rPr>
          <w:i/>
          <w:sz w:val="16"/>
        </w:rPr>
        <w:t>m,t</w:t>
      </w:r>
      <w:proofErr w:type="spellEnd"/>
      <w:r>
        <w:t>(</w:t>
      </w:r>
      <w:proofErr w:type="spellStart"/>
      <w:r>
        <w:rPr>
          <w:i/>
        </w:rPr>
        <w:t>w</w:t>
      </w:r>
      <w:r>
        <w:rPr>
          <w:i/>
          <w:sz w:val="16"/>
        </w:rPr>
        <w:t>m,t</w:t>
      </w:r>
      <w:r>
        <w:rPr>
          <w:i/>
        </w:rPr>
        <w:t>,h</w:t>
      </w:r>
      <w:r>
        <w:rPr>
          <w:i/>
          <w:sz w:val="16"/>
        </w:rPr>
        <w:t>m,t</w:t>
      </w:r>
      <w:proofErr w:type="spellEnd"/>
      <w:r>
        <w:t>)</w:t>
      </w:r>
    </w:p>
    <w:p w14:paraId="0AFB593C" w14:textId="77777777" w:rsidR="006B4FC6" w:rsidRDefault="0051217D">
      <w:pPr>
        <w:tabs>
          <w:tab w:val="center" w:pos="5143"/>
          <w:tab w:val="center" w:pos="8695"/>
        </w:tabs>
        <w:spacing w:after="410" w:line="265" w:lineRule="auto"/>
        <w:ind w:left="0" w:firstLine="0"/>
        <w:jc w:val="left"/>
      </w:pPr>
      <w:r>
        <w:rPr>
          <w:rFonts w:ascii="Calibri" w:eastAsia="Calibri" w:hAnsi="Calibri" w:cs="Calibri"/>
          <w:sz w:val="22"/>
        </w:rPr>
        <w:tab/>
      </w:r>
      <w:r>
        <w:t xml:space="preserve">+ </w:t>
      </w:r>
      <w:proofErr w:type="spellStart"/>
      <w:r>
        <w:t>C</w:t>
      </w:r>
      <w:r>
        <w:rPr>
          <w:i/>
          <w:sz w:val="16"/>
        </w:rPr>
        <w:t>couple</w:t>
      </w:r>
      <w:proofErr w:type="spellEnd"/>
      <w:r>
        <w:t>(</w:t>
      </w:r>
      <w:proofErr w:type="spellStart"/>
      <w:proofErr w:type="gramStart"/>
      <w:r>
        <w:rPr>
          <w:i/>
        </w:rPr>
        <w:t>n</w:t>
      </w:r>
      <w:r>
        <w:rPr>
          <w:i/>
          <w:sz w:val="16"/>
        </w:rPr>
        <w:t>t</w:t>
      </w:r>
      <w:r>
        <w:rPr>
          <w:i/>
        </w:rPr>
        <w:t>,h</w:t>
      </w:r>
      <w:r>
        <w:rPr>
          <w:i/>
          <w:sz w:val="16"/>
        </w:rPr>
        <w:t>m</w:t>
      </w:r>
      <w:proofErr w:type="gramEnd"/>
      <w:r>
        <w:rPr>
          <w:i/>
          <w:sz w:val="16"/>
        </w:rPr>
        <w:t>,t</w:t>
      </w:r>
      <w:r>
        <w:rPr>
          <w:i/>
        </w:rPr>
        <w:t>,h</w:t>
      </w:r>
      <w:r>
        <w:rPr>
          <w:i/>
          <w:sz w:val="16"/>
        </w:rPr>
        <w:t>w,t</w:t>
      </w:r>
      <w:r>
        <w:rPr>
          <w:i/>
        </w:rPr>
        <w:t>,w</w:t>
      </w:r>
      <w:r>
        <w:rPr>
          <w:i/>
          <w:sz w:val="16"/>
        </w:rPr>
        <w:t>w,t</w:t>
      </w:r>
      <w:r>
        <w:rPr>
          <w:i/>
        </w:rPr>
        <w:t>,w</w:t>
      </w:r>
      <w:r>
        <w:rPr>
          <w:i/>
          <w:sz w:val="16"/>
        </w:rPr>
        <w:t>m,t</w:t>
      </w:r>
      <w:proofErr w:type="spellEnd"/>
      <w:r>
        <w:t>)</w:t>
      </w:r>
      <w:r>
        <w:tab/>
        <w:t>(4)</w:t>
      </w:r>
    </w:p>
    <w:p w14:paraId="679B1149" w14:textId="77777777" w:rsidR="006B4FC6" w:rsidRDefault="0051217D">
      <w:pPr>
        <w:spacing w:after="113" w:line="265" w:lineRule="auto"/>
        <w:ind w:right="1516"/>
        <w:jc w:val="right"/>
      </w:pPr>
      <w:r>
        <w:t xml:space="preserve">where </w:t>
      </w:r>
      <w:r>
        <w:rPr>
          <w:i/>
        </w:rPr>
        <w:t>A</w:t>
      </w:r>
      <w:r>
        <w:rPr>
          <w:i/>
          <w:vertAlign w:val="subscript"/>
        </w:rPr>
        <w:t>t</w:t>
      </w:r>
      <w:r>
        <w:rPr>
          <w:vertAlign w:val="subscript"/>
        </w:rPr>
        <w:t>−</w:t>
      </w:r>
      <w:r>
        <w:rPr>
          <w:vertAlign w:val="subscript"/>
        </w:rPr>
        <w:t xml:space="preserve">1 </w:t>
      </w:r>
      <w:r>
        <w:t xml:space="preserve">is beginning of period </w:t>
      </w:r>
      <w:r>
        <w:rPr>
          <w:i/>
        </w:rPr>
        <w:t xml:space="preserve">t </w:t>
      </w:r>
      <w:r>
        <w:t xml:space="preserve">wealth, and </w:t>
      </w:r>
      <w:proofErr w:type="spellStart"/>
      <w:r>
        <w:t>C</w:t>
      </w:r>
      <w:r>
        <w:rPr>
          <w:i/>
          <w:vertAlign w:val="superscript"/>
        </w:rPr>
        <w:t>couple</w:t>
      </w:r>
      <w:proofErr w:type="spellEnd"/>
      <w:r>
        <w:t>(</w:t>
      </w:r>
      <w:proofErr w:type="spellStart"/>
      <w:proofErr w:type="gramStart"/>
      <w:r>
        <w:rPr>
          <w:i/>
        </w:rPr>
        <w:t>n</w:t>
      </w:r>
      <w:r>
        <w:rPr>
          <w:i/>
          <w:vertAlign w:val="subscript"/>
        </w:rPr>
        <w:t>t</w:t>
      </w:r>
      <w:r>
        <w:rPr>
          <w:i/>
        </w:rPr>
        <w:t>,h</w:t>
      </w:r>
      <w:r>
        <w:rPr>
          <w:i/>
          <w:vertAlign w:val="subscript"/>
        </w:rPr>
        <w:t>m</w:t>
      </w:r>
      <w:proofErr w:type="gramEnd"/>
      <w:r>
        <w:rPr>
          <w:i/>
          <w:vertAlign w:val="subscript"/>
        </w:rPr>
        <w:t>,t</w:t>
      </w:r>
      <w:r>
        <w:rPr>
          <w:i/>
        </w:rPr>
        <w:t>,h</w:t>
      </w:r>
      <w:r>
        <w:rPr>
          <w:i/>
          <w:vertAlign w:val="subscript"/>
        </w:rPr>
        <w:t>w,t</w:t>
      </w:r>
      <w:r>
        <w:rPr>
          <w:i/>
        </w:rPr>
        <w:t>,w</w:t>
      </w:r>
      <w:r>
        <w:rPr>
          <w:i/>
          <w:vertAlign w:val="subscript"/>
        </w:rPr>
        <w:t>w,t</w:t>
      </w:r>
      <w:r>
        <w:rPr>
          <w:i/>
        </w:rPr>
        <w:t>,w</w:t>
      </w:r>
      <w:r>
        <w:rPr>
          <w:i/>
          <w:vertAlign w:val="subscript"/>
        </w:rPr>
        <w:t>m,t</w:t>
      </w:r>
      <w:proofErr w:type="spellEnd"/>
      <w:r>
        <w:t>) are</w:t>
      </w:r>
    </w:p>
    <w:p w14:paraId="42F30A17" w14:textId="77777777" w:rsidR="006B4FC6" w:rsidRDefault="0051217D">
      <w:pPr>
        <w:spacing w:after="138" w:line="259" w:lineRule="auto"/>
        <w:ind w:left="-5" w:right="1516"/>
      </w:pPr>
      <w:r>
        <w:t>the child-related transfers a couple receives, which are outlined in the next section.</w:t>
      </w:r>
    </w:p>
    <w:p w14:paraId="00D6F5C4" w14:textId="77777777" w:rsidR="006B4FC6" w:rsidRDefault="0051217D">
      <w:pPr>
        <w:spacing w:after="460"/>
        <w:ind w:left="-15" w:right="1516" w:firstLine="351"/>
      </w:pPr>
      <w:proofErr w:type="spellStart"/>
      <w:proofErr w:type="gramStart"/>
      <w:r>
        <w:rPr>
          <w:i/>
        </w:rPr>
        <w:t>Y</w:t>
      </w:r>
      <w:r>
        <w:rPr>
          <w:i/>
          <w:vertAlign w:val="subscript"/>
        </w:rPr>
        <w:t>j,t</w:t>
      </w:r>
      <w:proofErr w:type="spellEnd"/>
      <w:proofErr w:type="gramEnd"/>
      <w:r>
        <w:rPr>
          <w:i/>
          <w:vertAlign w:val="subscript"/>
        </w:rPr>
        <w:t xml:space="preserve"> </w:t>
      </w:r>
      <w:r>
        <w:t xml:space="preserve">is labour income of member </w:t>
      </w:r>
      <w:r>
        <w:rPr>
          <w:i/>
        </w:rPr>
        <w:t>j</w:t>
      </w:r>
      <w:r>
        <w:t>, which is based on exogenous wages and their endogenous labour supply choice,</w:t>
      </w:r>
    </w:p>
    <w:p w14:paraId="519F18C6" w14:textId="77777777" w:rsidR="006B4FC6" w:rsidRDefault="0051217D">
      <w:pPr>
        <w:tabs>
          <w:tab w:val="center" w:pos="4422"/>
          <w:tab w:val="center" w:pos="8695"/>
        </w:tabs>
        <w:spacing w:after="256" w:line="265" w:lineRule="auto"/>
        <w:ind w:left="0" w:firstLine="0"/>
        <w:jc w:val="left"/>
      </w:pPr>
      <w:r>
        <w:rPr>
          <w:rFonts w:ascii="Calibri" w:eastAsia="Calibri" w:hAnsi="Calibri" w:cs="Calibri"/>
          <w:sz w:val="22"/>
        </w:rPr>
        <w:tab/>
      </w:r>
      <w:proofErr w:type="spellStart"/>
      <w:proofErr w:type="gramStart"/>
      <w:r>
        <w:rPr>
          <w:i/>
        </w:rPr>
        <w:t>Y</w:t>
      </w:r>
      <w:r>
        <w:rPr>
          <w:i/>
          <w:sz w:val="16"/>
        </w:rPr>
        <w:t>j,t</w:t>
      </w:r>
      <w:proofErr w:type="spellEnd"/>
      <w:proofErr w:type="gramEnd"/>
      <w:r>
        <w:rPr>
          <w:i/>
          <w:sz w:val="16"/>
        </w:rPr>
        <w:t xml:space="preserve"> </w:t>
      </w:r>
      <w:r>
        <w:t xml:space="preserve">= </w:t>
      </w:r>
      <w:proofErr w:type="spellStart"/>
      <w:r>
        <w:rPr>
          <w:i/>
        </w:rPr>
        <w:t>w</w:t>
      </w:r>
      <w:r>
        <w:rPr>
          <w:i/>
          <w:sz w:val="16"/>
        </w:rPr>
        <w:t>j,t</w:t>
      </w:r>
      <w:r>
        <w:rPr>
          <w:i/>
        </w:rPr>
        <w:t>h</w:t>
      </w:r>
      <w:r>
        <w:rPr>
          <w:i/>
          <w:sz w:val="16"/>
        </w:rPr>
        <w:t>j,t</w:t>
      </w:r>
      <w:proofErr w:type="spellEnd"/>
      <w:r>
        <w:rPr>
          <w:i/>
        </w:rPr>
        <w:t>.</w:t>
      </w:r>
      <w:r>
        <w:rPr>
          <w:i/>
        </w:rPr>
        <w:tab/>
      </w:r>
      <w:r>
        <w:t>(5)</w:t>
      </w:r>
    </w:p>
    <w:p w14:paraId="5F864317" w14:textId="77777777" w:rsidR="006B4FC6" w:rsidRDefault="0051217D">
      <w:pPr>
        <w:spacing w:after="459"/>
        <w:ind w:left="-15" w:right="1516" w:firstLine="351"/>
      </w:pPr>
      <w:r>
        <w:t xml:space="preserve">Human capital of each member, </w:t>
      </w:r>
      <w:proofErr w:type="spellStart"/>
      <w:proofErr w:type="gramStart"/>
      <w:r>
        <w:rPr>
          <w:i/>
        </w:rPr>
        <w:t>K</w:t>
      </w:r>
      <w:r>
        <w:rPr>
          <w:i/>
          <w:vertAlign w:val="subscript"/>
        </w:rPr>
        <w:t>j,t</w:t>
      </w:r>
      <w:proofErr w:type="spellEnd"/>
      <w:proofErr w:type="gramEnd"/>
      <w:r>
        <w:t>, is accumulated from working, which also enters into the wage function,</w:t>
      </w:r>
    </w:p>
    <w:p w14:paraId="3CC8A285" w14:textId="77777777" w:rsidR="006B4FC6" w:rsidRDefault="0051217D">
      <w:pPr>
        <w:tabs>
          <w:tab w:val="center" w:pos="4417"/>
          <w:tab w:val="center" w:pos="8695"/>
        </w:tabs>
        <w:spacing w:after="693" w:line="265" w:lineRule="auto"/>
        <w:ind w:left="0" w:firstLine="0"/>
        <w:jc w:val="left"/>
      </w:pPr>
      <w:r>
        <w:rPr>
          <w:rFonts w:ascii="Calibri" w:eastAsia="Calibri" w:hAnsi="Calibri" w:cs="Calibri"/>
          <w:sz w:val="22"/>
        </w:rPr>
        <w:tab/>
      </w:r>
      <w:r>
        <w:t>log(</w:t>
      </w:r>
      <w:proofErr w:type="spellStart"/>
      <w:proofErr w:type="gramStart"/>
      <w:r>
        <w:rPr>
          <w:i/>
        </w:rPr>
        <w:t>w</w:t>
      </w:r>
      <w:r>
        <w:rPr>
          <w:i/>
          <w:sz w:val="16"/>
        </w:rPr>
        <w:t>j,t</w:t>
      </w:r>
      <w:proofErr w:type="spellEnd"/>
      <w:proofErr w:type="gramEnd"/>
      <w:r>
        <w:t xml:space="preserve">) = </w:t>
      </w:r>
      <w:r>
        <w:rPr>
          <w:i/>
        </w:rPr>
        <w:t>α</w:t>
      </w:r>
      <w:r>
        <w:rPr>
          <w:sz w:val="16"/>
        </w:rPr>
        <w:t>0</w:t>
      </w:r>
      <w:r>
        <w:rPr>
          <w:i/>
          <w:sz w:val="16"/>
        </w:rPr>
        <w:t xml:space="preserve">,j </w:t>
      </w:r>
      <w:r>
        <w:t xml:space="preserve">+ </w:t>
      </w:r>
      <w:r>
        <w:rPr>
          <w:i/>
        </w:rPr>
        <w:t>α</w:t>
      </w:r>
      <w:r>
        <w:rPr>
          <w:sz w:val="16"/>
        </w:rPr>
        <w:t>1</w:t>
      </w:r>
      <w:r>
        <w:rPr>
          <w:i/>
          <w:sz w:val="16"/>
        </w:rPr>
        <w:t>,j</w:t>
      </w:r>
      <w:r>
        <w:rPr>
          <w:i/>
        </w:rPr>
        <w:t>K</w:t>
      </w:r>
      <w:r>
        <w:rPr>
          <w:i/>
          <w:sz w:val="16"/>
        </w:rPr>
        <w:t>j,t</w:t>
      </w:r>
      <w:r>
        <w:rPr>
          <w:i/>
          <w:sz w:val="16"/>
        </w:rPr>
        <w:tab/>
      </w:r>
      <w:r>
        <w:t>(6)</w:t>
      </w:r>
    </w:p>
    <w:p w14:paraId="780FA7FF" w14:textId="77777777" w:rsidR="006B4FC6" w:rsidRDefault="0051217D">
      <w:pPr>
        <w:tabs>
          <w:tab w:val="center" w:pos="4422"/>
          <w:tab w:val="center" w:pos="8695"/>
        </w:tabs>
        <w:spacing w:after="234" w:line="265" w:lineRule="auto"/>
        <w:ind w:left="0" w:firstLine="0"/>
        <w:jc w:val="left"/>
      </w:pPr>
      <w:r>
        <w:rPr>
          <w:rFonts w:ascii="Calibri" w:eastAsia="Calibri" w:hAnsi="Calibri" w:cs="Calibri"/>
          <w:sz w:val="22"/>
        </w:rPr>
        <w:tab/>
      </w:r>
      <w:proofErr w:type="gramStart"/>
      <w:r>
        <w:rPr>
          <w:i/>
        </w:rPr>
        <w:t>K</w:t>
      </w:r>
      <w:r>
        <w:rPr>
          <w:i/>
          <w:sz w:val="16"/>
        </w:rPr>
        <w:t>j,t</w:t>
      </w:r>
      <w:proofErr w:type="gramEnd"/>
      <w:r>
        <w:rPr>
          <w:sz w:val="16"/>
        </w:rPr>
        <w:t xml:space="preserve">+1 </w:t>
      </w:r>
      <w:r>
        <w:t xml:space="preserve">= (1 </w:t>
      </w:r>
      <w:r>
        <w:t>−</w:t>
      </w:r>
      <w:r>
        <w:t xml:space="preserve"> </w:t>
      </w:r>
      <w:r>
        <w:rPr>
          <w:i/>
        </w:rPr>
        <w:t>δ</w:t>
      </w:r>
      <w:r>
        <w:t>)</w:t>
      </w:r>
      <w:proofErr w:type="spellStart"/>
      <w:r>
        <w:rPr>
          <w:i/>
        </w:rPr>
        <w:t>K</w:t>
      </w:r>
      <w:r>
        <w:rPr>
          <w:i/>
          <w:sz w:val="16"/>
        </w:rPr>
        <w:t>j,t</w:t>
      </w:r>
      <w:proofErr w:type="spellEnd"/>
      <w:r>
        <w:rPr>
          <w:i/>
          <w:sz w:val="16"/>
        </w:rPr>
        <w:t xml:space="preserve"> </w:t>
      </w:r>
      <w:r>
        <w:t xml:space="preserve">+ </w:t>
      </w:r>
      <w:proofErr w:type="spellStart"/>
      <w:r>
        <w:rPr>
          <w:i/>
        </w:rPr>
        <w:t>h</w:t>
      </w:r>
      <w:r>
        <w:rPr>
          <w:i/>
          <w:sz w:val="16"/>
        </w:rPr>
        <w:t>j,t</w:t>
      </w:r>
      <w:proofErr w:type="spellEnd"/>
      <w:r>
        <w:rPr>
          <w:i/>
        </w:rPr>
        <w:t>.</w:t>
      </w:r>
      <w:r>
        <w:rPr>
          <w:i/>
        </w:rPr>
        <w:tab/>
      </w:r>
      <w:r>
        <w:t>(7)</w:t>
      </w:r>
    </w:p>
    <w:p w14:paraId="0BACE01F" w14:textId="77777777" w:rsidR="006B4FC6" w:rsidRDefault="0051217D">
      <w:pPr>
        <w:ind w:left="-15" w:right="1516" w:firstLine="351"/>
      </w:pPr>
      <w:r>
        <w:lastRenderedPageBreak/>
        <w:t>Including the above endogenous wage process with human capital formation is a cruc</w:t>
      </w:r>
      <w:r>
        <w:t xml:space="preserve">ial element of this model, as it captures the gender-specific consequences of disrupted </w:t>
      </w:r>
      <w:proofErr w:type="spellStart"/>
      <w:r>
        <w:t>labor</w:t>
      </w:r>
      <w:proofErr w:type="spellEnd"/>
      <w:r>
        <w:t xml:space="preserve"> supply upon childbirth.</w:t>
      </w:r>
    </w:p>
    <w:p w14:paraId="021EA9C2" w14:textId="77777777" w:rsidR="006B4FC6" w:rsidRDefault="0051217D">
      <w:pPr>
        <w:spacing w:after="415"/>
        <w:ind w:left="-15" w:right="1516" w:firstLine="351"/>
      </w:pPr>
      <w:r>
        <w:t>In each period, a couple faces the random arrival of a child. For simplicity, I assume that households can only have one child, and once a</w:t>
      </w:r>
      <w:r>
        <w:t xml:space="preserve"> child is born, it remains with them in all future periods,</w:t>
      </w:r>
    </w:p>
    <w:p w14:paraId="6D631632" w14:textId="77777777" w:rsidR="006B4FC6" w:rsidRDefault="0051217D">
      <w:pPr>
        <w:spacing w:line="259" w:lineRule="auto"/>
        <w:ind w:left="3159" w:right="117"/>
        <w:jc w:val="center"/>
      </w:pPr>
      <w:r>
        <w:rPr>
          <w:noProof/>
        </w:rPr>
        <w:drawing>
          <wp:anchor distT="0" distB="0" distL="114300" distR="114300" simplePos="0" relativeHeight="251658240" behindDoc="0" locked="0" layoutInCell="1" allowOverlap="0" wp14:anchorId="19A65B06" wp14:editId="1DFEA942">
            <wp:simplePos x="0" y="0"/>
            <wp:positionH relativeFrom="column">
              <wp:posOffset>1999807</wp:posOffset>
            </wp:positionH>
            <wp:positionV relativeFrom="paragraph">
              <wp:posOffset>-155672</wp:posOffset>
            </wp:positionV>
            <wp:extent cx="804672" cy="463297"/>
            <wp:effectExtent l="0" t="0" r="0" b="0"/>
            <wp:wrapSquare wrapText="bothSides"/>
            <wp:docPr id="30305" name="Picture 30305"/>
            <wp:cNvGraphicFramePr/>
            <a:graphic xmlns:a="http://schemas.openxmlformats.org/drawingml/2006/main">
              <a:graphicData uri="http://schemas.openxmlformats.org/drawingml/2006/picture">
                <pic:pic xmlns:pic="http://schemas.openxmlformats.org/drawingml/2006/picture">
                  <pic:nvPicPr>
                    <pic:cNvPr id="30305" name="Picture 30305"/>
                    <pic:cNvPicPr/>
                  </pic:nvPicPr>
                  <pic:blipFill>
                    <a:blip r:embed="rId15"/>
                    <a:stretch>
                      <a:fillRect/>
                    </a:stretch>
                  </pic:blipFill>
                  <pic:spPr>
                    <a:xfrm>
                      <a:off x="0" y="0"/>
                      <a:ext cx="804672" cy="463297"/>
                    </a:xfrm>
                    <a:prstGeom prst="rect">
                      <a:avLst/>
                    </a:prstGeom>
                  </pic:spPr>
                </pic:pic>
              </a:graphicData>
            </a:graphic>
          </wp:anchor>
        </w:drawing>
      </w:r>
      <w:r>
        <w:t xml:space="preserve">if </w:t>
      </w:r>
      <w:proofErr w:type="spellStart"/>
      <w:r>
        <w:rPr>
          <w:i/>
        </w:rPr>
        <w:t>n</w:t>
      </w:r>
      <w:r>
        <w:rPr>
          <w:i/>
          <w:vertAlign w:val="subscript"/>
        </w:rPr>
        <w:t>t</w:t>
      </w:r>
      <w:proofErr w:type="spellEnd"/>
      <w:r>
        <w:rPr>
          <w:i/>
          <w:vertAlign w:val="subscript"/>
        </w:rPr>
        <w:t xml:space="preserve"> </w:t>
      </w:r>
      <w:r>
        <w:t>= 0</w:t>
      </w:r>
    </w:p>
    <w:p w14:paraId="0D576824" w14:textId="77777777" w:rsidR="006B4FC6" w:rsidRDefault="0051217D">
      <w:pPr>
        <w:spacing w:after="12" w:line="265" w:lineRule="auto"/>
        <w:ind w:left="3159" w:right="1516"/>
        <w:jc w:val="right"/>
      </w:pPr>
      <w:r>
        <w:t>(8)</w:t>
      </w:r>
    </w:p>
    <w:p w14:paraId="6D42EDBD" w14:textId="77777777" w:rsidR="006B4FC6" w:rsidRDefault="0051217D">
      <w:pPr>
        <w:tabs>
          <w:tab w:val="center" w:pos="4188"/>
          <w:tab w:val="center" w:pos="5161"/>
        </w:tabs>
        <w:spacing w:line="259" w:lineRule="auto"/>
        <w:ind w:left="0" w:firstLine="0"/>
        <w:jc w:val="left"/>
      </w:pPr>
      <w:r>
        <w:rPr>
          <w:rFonts w:ascii="Calibri" w:eastAsia="Calibri" w:hAnsi="Calibri" w:cs="Calibri"/>
          <w:sz w:val="22"/>
        </w:rPr>
        <w:tab/>
      </w:r>
      <w:r>
        <w:t></w:t>
      </w:r>
      <w:r>
        <w:rPr>
          <w:sz w:val="37"/>
          <w:vertAlign w:val="subscript"/>
        </w:rPr>
        <w:t></w:t>
      </w:r>
      <w:r>
        <w:t>0</w:t>
      </w:r>
      <w:r>
        <w:tab/>
        <w:t xml:space="preserve">if </w:t>
      </w:r>
      <w:proofErr w:type="spellStart"/>
      <w:r>
        <w:rPr>
          <w:i/>
        </w:rPr>
        <w:t>n</w:t>
      </w:r>
      <w:r>
        <w:rPr>
          <w:i/>
          <w:vertAlign w:val="subscript"/>
        </w:rPr>
        <w:t>t</w:t>
      </w:r>
      <w:proofErr w:type="spellEnd"/>
      <w:r>
        <w:rPr>
          <w:i/>
          <w:vertAlign w:val="subscript"/>
        </w:rPr>
        <w:t xml:space="preserve"> </w:t>
      </w:r>
      <w:r>
        <w:t>= 1</w:t>
      </w:r>
      <w:r>
        <w:rPr>
          <w:i/>
        </w:rPr>
        <w:t>.</w:t>
      </w:r>
    </w:p>
    <w:p w14:paraId="3BA7627F" w14:textId="77777777" w:rsidR="006B4FC6" w:rsidRDefault="0051217D">
      <w:pPr>
        <w:spacing w:after="85" w:line="259" w:lineRule="auto"/>
        <w:ind w:left="2892" w:firstLine="0"/>
        <w:jc w:val="left"/>
      </w:pPr>
      <w:r>
        <w:t></w:t>
      </w:r>
    </w:p>
    <w:p w14:paraId="1F7A7F46" w14:textId="77777777" w:rsidR="006B4FC6" w:rsidRDefault="0051217D">
      <w:pPr>
        <w:tabs>
          <w:tab w:val="center" w:pos="3307"/>
          <w:tab w:val="center" w:pos="5075"/>
        </w:tabs>
        <w:spacing w:line="259" w:lineRule="auto"/>
        <w:ind w:left="0" w:firstLine="0"/>
        <w:jc w:val="left"/>
      </w:pPr>
      <w:r>
        <w:rPr>
          <w:rFonts w:ascii="Calibri" w:eastAsia="Calibri" w:hAnsi="Calibri" w:cs="Calibri"/>
          <w:sz w:val="22"/>
        </w:rPr>
        <w:tab/>
      </w:r>
      <w:r>
        <w:t></w:t>
      </w:r>
      <w:r>
        <w:rPr>
          <w:sz w:val="37"/>
          <w:vertAlign w:val="subscript"/>
        </w:rPr>
        <w:t></w:t>
      </w:r>
      <w:proofErr w:type="spellStart"/>
      <w:r>
        <w:rPr>
          <w:i/>
        </w:rPr>
        <w:t>n</w:t>
      </w:r>
      <w:r>
        <w:rPr>
          <w:i/>
          <w:vertAlign w:val="subscript"/>
        </w:rPr>
        <w:t>t</w:t>
      </w:r>
      <w:proofErr w:type="spellEnd"/>
      <w:r>
        <w:rPr>
          <w:i/>
          <w:vertAlign w:val="subscript"/>
        </w:rPr>
        <w:t xml:space="preserve"> </w:t>
      </w:r>
      <w:r>
        <w:t>+ 1</w:t>
      </w:r>
      <w:r>
        <w:tab/>
        <w:t xml:space="preserve">with probability </w:t>
      </w:r>
      <w:r>
        <w:rPr>
          <w:i/>
        </w:rPr>
        <w:t>p</w:t>
      </w:r>
      <w:r>
        <w:t>(</w:t>
      </w:r>
      <w:proofErr w:type="spellStart"/>
      <w:r>
        <w:rPr>
          <w:i/>
        </w:rPr>
        <w:t>n</w:t>
      </w:r>
      <w:r>
        <w:rPr>
          <w:i/>
          <w:vertAlign w:val="subscript"/>
        </w:rPr>
        <w:t>t</w:t>
      </w:r>
      <w:proofErr w:type="spellEnd"/>
      <w:r>
        <w:t>)</w:t>
      </w:r>
    </w:p>
    <w:p w14:paraId="397171CD" w14:textId="77777777" w:rsidR="006B4FC6" w:rsidRDefault="0051217D">
      <w:pPr>
        <w:tabs>
          <w:tab w:val="center" w:pos="2488"/>
          <w:tab w:val="center" w:pos="8695"/>
        </w:tabs>
        <w:spacing w:after="12" w:line="265" w:lineRule="auto"/>
        <w:ind w:left="0" w:firstLine="0"/>
        <w:jc w:val="left"/>
      </w:pPr>
      <w:r>
        <w:rPr>
          <w:rFonts w:ascii="Calibri" w:eastAsia="Calibri" w:hAnsi="Calibri" w:cs="Calibri"/>
          <w:sz w:val="22"/>
        </w:rPr>
        <w:tab/>
      </w:r>
      <w:r>
        <w:rPr>
          <w:i/>
        </w:rPr>
        <w:t>n</w:t>
      </w:r>
      <w:r>
        <w:rPr>
          <w:i/>
          <w:sz w:val="16"/>
        </w:rPr>
        <w:t>t</w:t>
      </w:r>
      <w:r>
        <w:rPr>
          <w:sz w:val="16"/>
        </w:rPr>
        <w:t xml:space="preserve">+1 </w:t>
      </w:r>
      <w:r>
        <w:t>=</w:t>
      </w:r>
      <w:r>
        <w:tab/>
        <w:t>(9)</w:t>
      </w:r>
    </w:p>
    <w:p w14:paraId="5027A95A" w14:textId="77777777" w:rsidR="006B4FC6" w:rsidRDefault="0051217D">
      <w:pPr>
        <w:tabs>
          <w:tab w:val="center" w:pos="3099"/>
          <w:tab w:val="center" w:pos="5313"/>
        </w:tabs>
        <w:spacing w:line="259" w:lineRule="auto"/>
        <w:ind w:left="0" w:firstLine="0"/>
        <w:jc w:val="left"/>
      </w:pPr>
      <w:r>
        <w:rPr>
          <w:rFonts w:ascii="Calibri" w:eastAsia="Calibri" w:hAnsi="Calibri" w:cs="Calibri"/>
          <w:sz w:val="22"/>
        </w:rPr>
        <w:tab/>
      </w:r>
      <w:r>
        <w:t></w:t>
      </w:r>
      <w:r>
        <w:rPr>
          <w:sz w:val="37"/>
          <w:vertAlign w:val="subscript"/>
        </w:rPr>
        <w:t></w:t>
      </w:r>
      <w:proofErr w:type="spellStart"/>
      <w:r>
        <w:rPr>
          <w:i/>
        </w:rPr>
        <w:t>n</w:t>
      </w:r>
      <w:r>
        <w:rPr>
          <w:i/>
          <w:vertAlign w:val="subscript"/>
        </w:rPr>
        <w:t>t</w:t>
      </w:r>
      <w:proofErr w:type="spellEnd"/>
      <w:r>
        <w:rPr>
          <w:i/>
          <w:vertAlign w:val="subscript"/>
        </w:rPr>
        <w:tab/>
      </w:r>
      <w:r>
        <w:t xml:space="preserve">with probability 1 </w:t>
      </w:r>
      <w:r>
        <w:t>−</w:t>
      </w:r>
      <w:r>
        <w:t xml:space="preserve"> </w:t>
      </w:r>
      <w:r>
        <w:rPr>
          <w:i/>
        </w:rPr>
        <w:t>p</w:t>
      </w:r>
      <w:r>
        <w:t>(</w:t>
      </w:r>
      <w:proofErr w:type="spellStart"/>
      <w:r>
        <w:rPr>
          <w:i/>
        </w:rPr>
        <w:t>n</w:t>
      </w:r>
      <w:r>
        <w:rPr>
          <w:i/>
          <w:vertAlign w:val="subscript"/>
        </w:rPr>
        <w:t>t</w:t>
      </w:r>
      <w:proofErr w:type="spellEnd"/>
      <w:r>
        <w:t>)</w:t>
      </w:r>
      <w:r>
        <w:rPr>
          <w:i/>
        </w:rPr>
        <w:t>.</w:t>
      </w:r>
    </w:p>
    <w:p w14:paraId="1C98C068" w14:textId="77777777" w:rsidR="006B4FC6" w:rsidRDefault="0051217D">
      <w:pPr>
        <w:spacing w:after="466"/>
        <w:ind w:left="-15" w:right="1516" w:firstLine="351"/>
      </w:pPr>
      <w:r>
        <w:t xml:space="preserve">In each period, the couple receives a random value of remaining as a couple, </w:t>
      </w:r>
      <w:proofErr w:type="spellStart"/>
      <w:r>
        <w:rPr>
          <w:i/>
        </w:rPr>
        <w:t>ψ</w:t>
      </w:r>
      <w:r>
        <w:rPr>
          <w:i/>
          <w:vertAlign w:val="subscript"/>
        </w:rPr>
        <w:t>t</w:t>
      </w:r>
      <w:proofErr w:type="spellEnd"/>
      <w:r>
        <w:t>. This is otherwise known as a ’love shock’ and it follows a unit-root process,</w:t>
      </w:r>
    </w:p>
    <w:p w14:paraId="2B1A2009" w14:textId="77777777" w:rsidR="006B4FC6" w:rsidRDefault="0051217D">
      <w:pPr>
        <w:tabs>
          <w:tab w:val="center" w:pos="4417"/>
          <w:tab w:val="center" w:pos="8636"/>
        </w:tabs>
        <w:spacing w:after="265" w:line="259" w:lineRule="auto"/>
        <w:ind w:left="0" w:firstLine="0"/>
        <w:jc w:val="left"/>
      </w:pPr>
      <w:r>
        <w:rPr>
          <w:rFonts w:ascii="Calibri" w:eastAsia="Calibri" w:hAnsi="Calibri" w:cs="Calibri"/>
          <w:sz w:val="22"/>
        </w:rPr>
        <w:tab/>
      </w:r>
      <w:r>
        <w:rPr>
          <w:i/>
        </w:rPr>
        <w:t>ψ</w:t>
      </w:r>
      <w:r>
        <w:rPr>
          <w:i/>
          <w:sz w:val="16"/>
        </w:rPr>
        <w:t>t</w:t>
      </w:r>
      <w:r>
        <w:rPr>
          <w:sz w:val="16"/>
        </w:rPr>
        <w:t xml:space="preserve">+1 </w:t>
      </w:r>
      <w:r>
        <w:t xml:space="preserve">= </w:t>
      </w:r>
      <w:proofErr w:type="spellStart"/>
      <w:r>
        <w:rPr>
          <w:i/>
        </w:rPr>
        <w:t>ψ</w:t>
      </w:r>
      <w:r>
        <w:rPr>
          <w:i/>
          <w:sz w:val="16"/>
        </w:rPr>
        <w:t>t</w:t>
      </w:r>
      <w:proofErr w:type="spellEnd"/>
      <w:r>
        <w:rPr>
          <w:i/>
          <w:sz w:val="16"/>
        </w:rPr>
        <w:t xml:space="preserve"> </w:t>
      </w:r>
      <w:r>
        <w:t xml:space="preserve">+ </w:t>
      </w:r>
      <w:r>
        <w:rPr>
          <w:i/>
        </w:rPr>
        <w:t>ε</w:t>
      </w:r>
      <w:r>
        <w:rPr>
          <w:i/>
          <w:sz w:val="16"/>
        </w:rPr>
        <w:t>t</w:t>
      </w:r>
      <w:r>
        <w:rPr>
          <w:sz w:val="16"/>
        </w:rPr>
        <w:t>+1</w:t>
      </w:r>
      <w:r>
        <w:rPr>
          <w:sz w:val="16"/>
        </w:rPr>
        <w:tab/>
      </w:r>
      <w:r>
        <w:t>(10)</w:t>
      </w:r>
    </w:p>
    <w:p w14:paraId="244BD356" w14:textId="77777777" w:rsidR="006B4FC6" w:rsidRDefault="0051217D">
      <w:pPr>
        <w:spacing w:after="12" w:line="265" w:lineRule="auto"/>
        <w:ind w:right="575"/>
        <w:jc w:val="right"/>
      </w:pPr>
      <w:r>
        <w:t xml:space="preserve">where </w:t>
      </w:r>
      <w:proofErr w:type="spellStart"/>
      <w:r>
        <w:rPr>
          <w:i/>
        </w:rPr>
        <w:t>ε</w:t>
      </w:r>
      <w:r>
        <w:rPr>
          <w:i/>
          <w:vertAlign w:val="subscript"/>
        </w:rPr>
        <w:t>t</w:t>
      </w:r>
      <w:proofErr w:type="spellEnd"/>
      <w:r>
        <w:rPr>
          <w:i/>
          <w:vertAlign w:val="subscript"/>
        </w:rPr>
        <w:t xml:space="preserve"> </w:t>
      </w:r>
      <w:r>
        <w:t xml:space="preserve">∼ </w:t>
      </w:r>
      <w:proofErr w:type="spellStart"/>
      <w:proofErr w:type="gramStart"/>
      <w:r>
        <w:rPr>
          <w:i/>
        </w:rPr>
        <w:t>iid</w:t>
      </w:r>
      <w:r>
        <w:t>N</w:t>
      </w:r>
      <w:proofErr w:type="spellEnd"/>
      <w:r>
        <w:t>(</w:t>
      </w:r>
      <w:proofErr w:type="gramEnd"/>
      <w:r>
        <w:t>0</w:t>
      </w:r>
      <w:r>
        <w:rPr>
          <w:i/>
          <w:sz w:val="37"/>
          <w:vertAlign w:val="superscript"/>
        </w:rPr>
        <w:t>,σ</w:t>
      </w:r>
      <w:r>
        <w:rPr>
          <w:i/>
          <w:vertAlign w:val="subscript"/>
        </w:rPr>
        <w:t>ψ</w:t>
      </w:r>
      <w:r>
        <w:rPr>
          <w:vertAlign w:val="superscript"/>
        </w:rPr>
        <w:t xml:space="preserve">2 </w:t>
      </w:r>
      <w:r>
        <w:t xml:space="preserve">). The state variables for a couple are then </w:t>
      </w:r>
      <w:r>
        <w:t>S</w:t>
      </w:r>
      <w:r>
        <w:rPr>
          <w:i/>
          <w:vertAlign w:val="subscript"/>
        </w:rPr>
        <w:t xml:space="preserve">t </w:t>
      </w:r>
      <w:r>
        <w:t>= (</w:t>
      </w:r>
      <w:r>
        <w:rPr>
          <w:i/>
        </w:rPr>
        <w:t>ψ</w:t>
      </w:r>
      <w:proofErr w:type="gramStart"/>
      <w:r>
        <w:rPr>
          <w:i/>
          <w:vertAlign w:val="subscript"/>
        </w:rPr>
        <w:t>t</w:t>
      </w:r>
      <w:r>
        <w:rPr>
          <w:i/>
        </w:rPr>
        <w:t>,A</w:t>
      </w:r>
      <w:r>
        <w:rPr>
          <w:i/>
          <w:vertAlign w:val="subscript"/>
        </w:rPr>
        <w:t>t</w:t>
      </w:r>
      <w:proofErr w:type="gramEnd"/>
      <w:r>
        <w:rPr>
          <w:vertAlign w:val="subscript"/>
        </w:rPr>
        <w:t>−</w:t>
      </w:r>
      <w:r>
        <w:rPr>
          <w:vertAlign w:val="subscript"/>
        </w:rPr>
        <w:t>1</w:t>
      </w:r>
      <w:r>
        <w:rPr>
          <w:i/>
        </w:rPr>
        <w:t>,n</w:t>
      </w:r>
      <w:r>
        <w:rPr>
          <w:i/>
          <w:vertAlign w:val="subscript"/>
        </w:rPr>
        <w:t>t</w:t>
      </w:r>
      <w:r>
        <w:rPr>
          <w:i/>
        </w:rPr>
        <w:t>,K</w:t>
      </w:r>
      <w:r>
        <w:rPr>
          <w:i/>
          <w:vertAlign w:val="subscript"/>
        </w:rPr>
        <w:t>w,t</w:t>
      </w:r>
      <w:r>
        <w:rPr>
          <w:i/>
        </w:rPr>
        <w:t>,K</w:t>
      </w:r>
      <w:r>
        <w:rPr>
          <w:i/>
          <w:vertAlign w:val="subscript"/>
        </w:rPr>
        <w:t>m,t</w:t>
      </w:r>
      <w:r>
        <w:t>)</w:t>
      </w:r>
    </w:p>
    <w:p w14:paraId="0BF74A76" w14:textId="77777777" w:rsidR="006B4FC6" w:rsidRDefault="0051217D">
      <w:pPr>
        <w:spacing w:after="359"/>
        <w:ind w:left="-5" w:right="1516"/>
      </w:pPr>
      <w:r>
        <w:t xml:space="preserve">besides the bargaining power coming into the period, </w:t>
      </w:r>
      <w:r>
        <w:rPr>
          <w:i/>
        </w:rPr>
        <w:t>µ</w:t>
      </w:r>
      <w:r>
        <w:rPr>
          <w:i/>
          <w:vertAlign w:val="subscript"/>
        </w:rPr>
        <w:t>t</w:t>
      </w:r>
      <w:r>
        <w:rPr>
          <w:vertAlign w:val="subscript"/>
        </w:rPr>
        <w:t>−</w:t>
      </w:r>
      <w:r>
        <w:rPr>
          <w:vertAlign w:val="subscript"/>
        </w:rPr>
        <w:t>1</w:t>
      </w:r>
      <w:r>
        <w:t>.</w:t>
      </w:r>
    </w:p>
    <w:p w14:paraId="28F03788" w14:textId="77777777" w:rsidR="006B4FC6" w:rsidRDefault="0051217D">
      <w:pPr>
        <w:pStyle w:val="Heading2"/>
        <w:ind w:left="598" w:hanging="613"/>
      </w:pPr>
      <w:bookmarkStart w:id="7" w:name="_Toc30868"/>
      <w:r>
        <w:t>Child-related transfers</w:t>
      </w:r>
      <w:bookmarkEnd w:id="7"/>
    </w:p>
    <w:p w14:paraId="228F2BC2" w14:textId="77777777" w:rsidR="006B4FC6" w:rsidRDefault="0051217D">
      <w:pPr>
        <w:spacing w:after="626"/>
        <w:ind w:left="-5" w:right="1516"/>
      </w:pPr>
      <w:r>
        <w:t>If a child is present, the household may receive child-related transfers. Child-related transfers ma</w:t>
      </w:r>
      <w:r>
        <w:t>y depend on whether a parent is single or married,</w:t>
      </w:r>
    </w:p>
    <w:p w14:paraId="698E72A9" w14:textId="77777777" w:rsidR="006B4FC6" w:rsidRDefault="0051217D">
      <w:pPr>
        <w:spacing w:after="228" w:line="265" w:lineRule="auto"/>
        <w:ind w:left="386"/>
        <w:jc w:val="left"/>
      </w:pPr>
      <w:proofErr w:type="spellStart"/>
      <w:r>
        <w:rPr>
          <w:i/>
        </w:rPr>
        <w:t>C</w:t>
      </w:r>
      <w:r>
        <w:rPr>
          <w:i/>
          <w:sz w:val="16"/>
        </w:rPr>
        <w:t>couple</w:t>
      </w:r>
      <w:proofErr w:type="spellEnd"/>
      <w:r>
        <w:t>(</w:t>
      </w:r>
      <w:proofErr w:type="spellStart"/>
      <w:proofErr w:type="gramStart"/>
      <w:r>
        <w:rPr>
          <w:i/>
        </w:rPr>
        <w:t>n</w:t>
      </w:r>
      <w:r>
        <w:rPr>
          <w:i/>
          <w:sz w:val="16"/>
        </w:rPr>
        <w:t>t</w:t>
      </w:r>
      <w:r>
        <w:rPr>
          <w:i/>
        </w:rPr>
        <w:t>,h</w:t>
      </w:r>
      <w:r>
        <w:rPr>
          <w:i/>
          <w:sz w:val="16"/>
        </w:rPr>
        <w:t>m</w:t>
      </w:r>
      <w:proofErr w:type="gramEnd"/>
      <w:r>
        <w:rPr>
          <w:i/>
          <w:sz w:val="16"/>
        </w:rPr>
        <w:t>,t</w:t>
      </w:r>
      <w:r>
        <w:rPr>
          <w:i/>
        </w:rPr>
        <w:t>,h</w:t>
      </w:r>
      <w:r>
        <w:rPr>
          <w:i/>
          <w:sz w:val="16"/>
        </w:rPr>
        <w:t>w,t</w:t>
      </w:r>
      <w:r>
        <w:rPr>
          <w:i/>
        </w:rPr>
        <w:t>,w</w:t>
      </w:r>
      <w:r>
        <w:rPr>
          <w:i/>
          <w:sz w:val="16"/>
        </w:rPr>
        <w:t>w,t</w:t>
      </w:r>
      <w:r>
        <w:rPr>
          <w:i/>
        </w:rPr>
        <w:t>,w</w:t>
      </w:r>
      <w:r>
        <w:rPr>
          <w:i/>
          <w:sz w:val="16"/>
        </w:rPr>
        <w:t>m,t</w:t>
      </w:r>
      <w:proofErr w:type="spellEnd"/>
      <w:r>
        <w:t>) =</w:t>
      </w:r>
      <w:r>
        <w:rPr>
          <w:i/>
        </w:rPr>
        <w:t>C</w:t>
      </w:r>
      <w:r>
        <w:rPr>
          <w:sz w:val="16"/>
        </w:rPr>
        <w:t>1</w:t>
      </w:r>
      <w:r>
        <w:t>(</w:t>
      </w:r>
      <w:proofErr w:type="spellStart"/>
      <w:r>
        <w:rPr>
          <w:i/>
        </w:rPr>
        <w:t>n</w:t>
      </w:r>
      <w:r>
        <w:rPr>
          <w:i/>
          <w:sz w:val="16"/>
        </w:rPr>
        <w:t>t</w:t>
      </w:r>
      <w:proofErr w:type="spellEnd"/>
      <w:r>
        <w:t xml:space="preserve">) + </w:t>
      </w:r>
      <w:r>
        <w:rPr>
          <w:i/>
        </w:rPr>
        <w:t>C</w:t>
      </w:r>
      <w:r>
        <w:rPr>
          <w:sz w:val="16"/>
        </w:rPr>
        <w:t>2</w:t>
      </w:r>
      <w:r>
        <w:t>(</w:t>
      </w:r>
      <w:proofErr w:type="spellStart"/>
      <w:r>
        <w:rPr>
          <w:i/>
        </w:rPr>
        <w:t>n</w:t>
      </w:r>
      <w:r>
        <w:rPr>
          <w:i/>
          <w:sz w:val="16"/>
        </w:rPr>
        <w:t>t</w:t>
      </w:r>
      <w:r>
        <w:rPr>
          <w:i/>
        </w:rPr>
        <w:t>,Y</w:t>
      </w:r>
      <w:r>
        <w:rPr>
          <w:i/>
          <w:sz w:val="16"/>
        </w:rPr>
        <w:t>m,t</w:t>
      </w:r>
      <w:r>
        <w:rPr>
          <w:i/>
        </w:rPr>
        <w:t>,Y</w:t>
      </w:r>
      <w:r>
        <w:rPr>
          <w:i/>
          <w:sz w:val="16"/>
        </w:rPr>
        <w:t>w,t</w:t>
      </w:r>
      <w:proofErr w:type="spellEnd"/>
      <w:r>
        <w:t>)</w:t>
      </w:r>
    </w:p>
    <w:p w14:paraId="18D1BEA6" w14:textId="77777777" w:rsidR="006B4FC6" w:rsidRDefault="0051217D">
      <w:pPr>
        <w:tabs>
          <w:tab w:val="center" w:pos="5917"/>
          <w:tab w:val="center" w:pos="8636"/>
        </w:tabs>
        <w:spacing w:after="801"/>
        <w:ind w:left="0" w:firstLine="0"/>
        <w:jc w:val="left"/>
      </w:pPr>
      <w:r>
        <w:rPr>
          <w:rFonts w:ascii="Calibri" w:eastAsia="Calibri" w:hAnsi="Calibri" w:cs="Calibri"/>
          <w:sz w:val="22"/>
        </w:rPr>
        <w:tab/>
      </w:r>
      <w:r>
        <w:t>+ [</w:t>
      </w:r>
      <w:r>
        <w:rPr>
          <w:i/>
        </w:rPr>
        <w:t>C</w:t>
      </w:r>
      <w:r>
        <w:rPr>
          <w:vertAlign w:val="subscript"/>
        </w:rPr>
        <w:t>3</w:t>
      </w:r>
      <w:r>
        <w:t>(</w:t>
      </w:r>
      <w:proofErr w:type="spellStart"/>
      <w:r>
        <w:rPr>
          <w:i/>
        </w:rPr>
        <w:t>n</w:t>
      </w:r>
      <w:r>
        <w:rPr>
          <w:i/>
          <w:vertAlign w:val="subscript"/>
        </w:rPr>
        <w:t>t</w:t>
      </w:r>
      <w:proofErr w:type="spellEnd"/>
      <w:r>
        <w:t xml:space="preserve">) + </w:t>
      </w:r>
      <w:r>
        <w:rPr>
          <w:i/>
        </w:rPr>
        <w:t>C</w:t>
      </w:r>
      <w:r>
        <w:rPr>
          <w:vertAlign w:val="subscript"/>
        </w:rPr>
        <w:t>4</w:t>
      </w:r>
      <w:r>
        <w:t>(</w:t>
      </w:r>
      <w:proofErr w:type="spellStart"/>
      <w:proofErr w:type="gramStart"/>
      <w:r>
        <w:rPr>
          <w:i/>
        </w:rPr>
        <w:t>n</w:t>
      </w:r>
      <w:r>
        <w:rPr>
          <w:i/>
          <w:vertAlign w:val="subscript"/>
        </w:rPr>
        <w:t>t</w:t>
      </w:r>
      <w:r>
        <w:rPr>
          <w:i/>
        </w:rPr>
        <w:t>,Y</w:t>
      </w:r>
      <w:r>
        <w:rPr>
          <w:i/>
          <w:vertAlign w:val="subscript"/>
        </w:rPr>
        <w:t>m</w:t>
      </w:r>
      <w:proofErr w:type="gramEnd"/>
      <w:r>
        <w:rPr>
          <w:i/>
          <w:vertAlign w:val="subscript"/>
        </w:rPr>
        <w:t>,t</w:t>
      </w:r>
      <w:r>
        <w:rPr>
          <w:i/>
        </w:rPr>
        <w:t>,Y</w:t>
      </w:r>
      <w:r>
        <w:rPr>
          <w:i/>
          <w:vertAlign w:val="subscript"/>
        </w:rPr>
        <w:t>w,t</w:t>
      </w:r>
      <w:proofErr w:type="spellEnd"/>
      <w:r>
        <w:t xml:space="preserve">)] </w:t>
      </w:r>
      <w:r>
        <w:t xml:space="preserve">· </w:t>
      </w:r>
      <w:r>
        <w:t>1(</w:t>
      </w:r>
      <w:proofErr w:type="spellStart"/>
      <w:r>
        <w:rPr>
          <w:i/>
        </w:rPr>
        <w:t>h</w:t>
      </w:r>
      <w:r>
        <w:rPr>
          <w:i/>
          <w:vertAlign w:val="subscript"/>
        </w:rPr>
        <w:t>w,t</w:t>
      </w:r>
      <w:proofErr w:type="spellEnd"/>
      <w:r>
        <w:rPr>
          <w:i/>
          <w:vertAlign w:val="subscript"/>
        </w:rPr>
        <w:t xml:space="preserve"> </w:t>
      </w:r>
      <w:r>
        <w:rPr>
          <w:i/>
        </w:rPr>
        <w:t>&gt; χ</w:t>
      </w:r>
      <w:r>
        <w:t>)</w:t>
      </w:r>
      <w:r>
        <w:tab/>
        <w:t>(11)</w:t>
      </w:r>
    </w:p>
    <w:p w14:paraId="418BA672" w14:textId="77777777" w:rsidR="006B4FC6" w:rsidRDefault="0051217D">
      <w:pPr>
        <w:spacing w:after="228" w:line="265" w:lineRule="auto"/>
        <w:ind w:left="1494"/>
        <w:jc w:val="left"/>
      </w:pPr>
      <w:proofErr w:type="spellStart"/>
      <w:r>
        <w:rPr>
          <w:i/>
        </w:rPr>
        <w:t>C</w:t>
      </w:r>
      <w:r>
        <w:rPr>
          <w:i/>
          <w:sz w:val="16"/>
        </w:rPr>
        <w:t>single</w:t>
      </w:r>
      <w:proofErr w:type="spellEnd"/>
      <w:r>
        <w:t>(</w:t>
      </w:r>
      <w:proofErr w:type="spellStart"/>
      <w:proofErr w:type="gramStart"/>
      <w:r>
        <w:rPr>
          <w:i/>
        </w:rPr>
        <w:t>n</w:t>
      </w:r>
      <w:r>
        <w:rPr>
          <w:i/>
          <w:sz w:val="16"/>
        </w:rPr>
        <w:t>t</w:t>
      </w:r>
      <w:r>
        <w:rPr>
          <w:i/>
        </w:rPr>
        <w:t>,h</w:t>
      </w:r>
      <w:r>
        <w:rPr>
          <w:i/>
          <w:sz w:val="16"/>
        </w:rPr>
        <w:t>j</w:t>
      </w:r>
      <w:proofErr w:type="gramEnd"/>
      <w:r>
        <w:rPr>
          <w:i/>
          <w:sz w:val="16"/>
        </w:rPr>
        <w:t>,t</w:t>
      </w:r>
      <w:r>
        <w:rPr>
          <w:i/>
        </w:rPr>
        <w:t>,w</w:t>
      </w:r>
      <w:r>
        <w:rPr>
          <w:i/>
          <w:sz w:val="16"/>
        </w:rPr>
        <w:t>j,t</w:t>
      </w:r>
      <w:proofErr w:type="spellEnd"/>
      <w:r>
        <w:t>) =</w:t>
      </w:r>
      <w:r>
        <w:rPr>
          <w:i/>
        </w:rPr>
        <w:t>C</w:t>
      </w:r>
      <w:r>
        <w:rPr>
          <w:sz w:val="16"/>
        </w:rPr>
        <w:t>1</w:t>
      </w:r>
      <w:r>
        <w:t>(</w:t>
      </w:r>
      <w:proofErr w:type="spellStart"/>
      <w:r>
        <w:rPr>
          <w:i/>
        </w:rPr>
        <w:t>n</w:t>
      </w:r>
      <w:r>
        <w:rPr>
          <w:i/>
          <w:sz w:val="16"/>
        </w:rPr>
        <w:t>t</w:t>
      </w:r>
      <w:proofErr w:type="spellEnd"/>
      <w:r>
        <w:t xml:space="preserve">) + </w:t>
      </w:r>
      <w:r>
        <w:rPr>
          <w:i/>
        </w:rPr>
        <w:t>C</w:t>
      </w:r>
      <w:r>
        <w:rPr>
          <w:sz w:val="16"/>
        </w:rPr>
        <w:t>2</w:t>
      </w:r>
      <w:r>
        <w:t>(</w:t>
      </w:r>
      <w:proofErr w:type="spellStart"/>
      <w:r>
        <w:rPr>
          <w:i/>
        </w:rPr>
        <w:t>n</w:t>
      </w:r>
      <w:r>
        <w:rPr>
          <w:i/>
          <w:sz w:val="16"/>
        </w:rPr>
        <w:t>t</w:t>
      </w:r>
      <w:r>
        <w:rPr>
          <w:i/>
        </w:rPr>
        <w:t>,Y</w:t>
      </w:r>
      <w:r>
        <w:rPr>
          <w:i/>
          <w:sz w:val="16"/>
        </w:rPr>
        <w:t>j,t</w:t>
      </w:r>
      <w:proofErr w:type="spellEnd"/>
      <w:r>
        <w:t>)</w:t>
      </w:r>
    </w:p>
    <w:p w14:paraId="257D2979" w14:textId="77777777" w:rsidR="006B4FC6" w:rsidRDefault="0051217D">
      <w:pPr>
        <w:tabs>
          <w:tab w:val="center" w:pos="5537"/>
          <w:tab w:val="center" w:pos="8636"/>
        </w:tabs>
        <w:spacing w:after="299" w:line="259" w:lineRule="auto"/>
        <w:ind w:left="0" w:firstLine="0"/>
        <w:jc w:val="left"/>
      </w:pPr>
      <w:r>
        <w:rPr>
          <w:rFonts w:ascii="Calibri" w:eastAsia="Calibri" w:hAnsi="Calibri" w:cs="Calibri"/>
          <w:sz w:val="22"/>
        </w:rPr>
        <w:tab/>
      </w:r>
      <w:r>
        <w:t>+ [</w:t>
      </w:r>
      <w:r>
        <w:rPr>
          <w:i/>
        </w:rPr>
        <w:t>C</w:t>
      </w:r>
      <w:r>
        <w:rPr>
          <w:vertAlign w:val="subscript"/>
        </w:rPr>
        <w:t>3</w:t>
      </w:r>
      <w:r>
        <w:t>(</w:t>
      </w:r>
      <w:proofErr w:type="spellStart"/>
      <w:r>
        <w:rPr>
          <w:i/>
        </w:rPr>
        <w:t>n</w:t>
      </w:r>
      <w:r>
        <w:rPr>
          <w:i/>
          <w:vertAlign w:val="subscript"/>
        </w:rPr>
        <w:t>t</w:t>
      </w:r>
      <w:proofErr w:type="spellEnd"/>
      <w:r>
        <w:t xml:space="preserve">) + </w:t>
      </w:r>
      <w:r>
        <w:rPr>
          <w:i/>
        </w:rPr>
        <w:t>C</w:t>
      </w:r>
      <w:r>
        <w:rPr>
          <w:vertAlign w:val="subscript"/>
        </w:rPr>
        <w:t>4</w:t>
      </w:r>
      <w:r>
        <w:t>(</w:t>
      </w:r>
      <w:proofErr w:type="spellStart"/>
      <w:proofErr w:type="gramStart"/>
      <w:r>
        <w:rPr>
          <w:i/>
        </w:rPr>
        <w:t>n</w:t>
      </w:r>
      <w:r>
        <w:rPr>
          <w:i/>
          <w:vertAlign w:val="subscript"/>
        </w:rPr>
        <w:t>t</w:t>
      </w:r>
      <w:r>
        <w:rPr>
          <w:i/>
        </w:rPr>
        <w:t>,Y</w:t>
      </w:r>
      <w:r>
        <w:rPr>
          <w:i/>
          <w:vertAlign w:val="subscript"/>
        </w:rPr>
        <w:t>j</w:t>
      </w:r>
      <w:proofErr w:type="gramEnd"/>
      <w:r>
        <w:rPr>
          <w:i/>
          <w:vertAlign w:val="subscript"/>
        </w:rPr>
        <w:t>,t</w:t>
      </w:r>
      <w:proofErr w:type="spellEnd"/>
      <w:r>
        <w:t xml:space="preserve">)] </w:t>
      </w:r>
      <w:r>
        <w:t xml:space="preserve">· </w:t>
      </w:r>
      <w:r>
        <w:t>1(</w:t>
      </w:r>
      <w:proofErr w:type="spellStart"/>
      <w:r>
        <w:rPr>
          <w:i/>
        </w:rPr>
        <w:t>h</w:t>
      </w:r>
      <w:r>
        <w:rPr>
          <w:i/>
          <w:vertAlign w:val="subscript"/>
        </w:rPr>
        <w:t>j,t</w:t>
      </w:r>
      <w:proofErr w:type="spellEnd"/>
      <w:r>
        <w:rPr>
          <w:i/>
          <w:vertAlign w:val="subscript"/>
        </w:rPr>
        <w:t xml:space="preserve"> </w:t>
      </w:r>
      <w:r>
        <w:rPr>
          <w:i/>
        </w:rPr>
        <w:t>&gt; χ</w:t>
      </w:r>
      <w:r>
        <w:t>)</w:t>
      </w:r>
      <w:r>
        <w:tab/>
        <w:t>(12)</w:t>
      </w:r>
    </w:p>
    <w:p w14:paraId="4DACDA6D" w14:textId="77777777" w:rsidR="006B4FC6" w:rsidRDefault="0051217D">
      <w:pPr>
        <w:spacing w:after="34"/>
        <w:ind w:left="-5" w:right="1516"/>
      </w:pPr>
      <w:r>
        <w:lastRenderedPageBreak/>
        <w:t xml:space="preserve">where </w:t>
      </w:r>
      <w:r>
        <w:rPr>
          <w:i/>
        </w:rPr>
        <w:t xml:space="preserve">χ </w:t>
      </w:r>
      <w:r>
        <w:t xml:space="preserve">∈ </w:t>
      </w:r>
      <w:r>
        <w:t>[0</w:t>
      </w:r>
      <w:r>
        <w:rPr>
          <w:i/>
        </w:rPr>
        <w:t>,</w:t>
      </w:r>
      <w:r>
        <w:t>1] denotes some minimum level of work hours to qualify for transfers that are conditional on hours worked.</w:t>
      </w:r>
      <w:r>
        <w:rPr>
          <w:vertAlign w:val="superscript"/>
        </w:rPr>
        <w:footnoteReference w:id="1"/>
      </w:r>
    </w:p>
    <w:p w14:paraId="7B446EC5" w14:textId="77777777" w:rsidR="006B4FC6" w:rsidRDefault="0051217D">
      <w:pPr>
        <w:spacing w:after="340"/>
        <w:ind w:left="-15" w:right="1516" w:firstLine="351"/>
      </w:pPr>
      <w:r>
        <w:t>This formulation allows for four different flavours of child-related transfers across two dimensions, including those that are conditi</w:t>
      </w:r>
      <w:r>
        <w:t>onal/unconditional on market work and those that are universal/means-tested. Table 1 illustrates the different components of child-related transfers in this model.</w:t>
      </w:r>
    </w:p>
    <w:p w14:paraId="0B5A8058" w14:textId="77777777" w:rsidR="006B4FC6" w:rsidRDefault="0051217D">
      <w:pPr>
        <w:pStyle w:val="Heading2"/>
        <w:ind w:left="598" w:hanging="613"/>
      </w:pPr>
      <w:bookmarkStart w:id="8" w:name="_Toc30869"/>
      <w:r>
        <w:t>Bellman equations</w:t>
      </w:r>
      <w:bookmarkEnd w:id="8"/>
    </w:p>
    <w:p w14:paraId="29FA5E5A" w14:textId="77777777" w:rsidR="006B4FC6" w:rsidRDefault="0051217D">
      <w:pPr>
        <w:spacing w:after="659"/>
        <w:ind w:left="-5" w:right="1516"/>
      </w:pPr>
      <w:r>
        <w:t>The value of entering a period as a couple is</w:t>
      </w:r>
    </w:p>
    <w:p w14:paraId="050266E2" w14:textId="77777777" w:rsidR="006B4FC6" w:rsidRDefault="0051217D">
      <w:pPr>
        <w:spacing w:after="274" w:line="265" w:lineRule="auto"/>
        <w:ind w:left="181"/>
        <w:jc w:val="left"/>
      </w:pPr>
      <w:proofErr w:type="spellStart"/>
      <w:proofErr w:type="gramStart"/>
      <w:r>
        <w:rPr>
          <w:i/>
        </w:rPr>
        <w:t>V</w:t>
      </w:r>
      <w:r>
        <w:rPr>
          <w:i/>
          <w:sz w:val="16"/>
        </w:rPr>
        <w:t>j,tm</w:t>
      </w:r>
      <w:proofErr w:type="spellEnd"/>
      <w:proofErr w:type="gramEnd"/>
      <w:r>
        <w:t>(</w:t>
      </w:r>
      <w:r>
        <w:rPr>
          <w:i/>
        </w:rPr>
        <w:t>ψ</w:t>
      </w:r>
      <w:r>
        <w:rPr>
          <w:i/>
          <w:sz w:val="16"/>
        </w:rPr>
        <w:t>t</w:t>
      </w:r>
      <w:r>
        <w:rPr>
          <w:i/>
        </w:rPr>
        <w:t>,A</w:t>
      </w:r>
      <w:r>
        <w:rPr>
          <w:i/>
          <w:sz w:val="16"/>
        </w:rPr>
        <w:t>t</w:t>
      </w:r>
      <w:r>
        <w:rPr>
          <w:sz w:val="16"/>
        </w:rPr>
        <w:t>−</w:t>
      </w:r>
      <w:r>
        <w:rPr>
          <w:sz w:val="16"/>
        </w:rPr>
        <w:t>1</w:t>
      </w:r>
      <w:r>
        <w:rPr>
          <w:i/>
        </w:rPr>
        <w:t>,µ</w:t>
      </w:r>
      <w:r>
        <w:rPr>
          <w:i/>
          <w:sz w:val="16"/>
        </w:rPr>
        <w:t>t</w:t>
      </w:r>
      <w:r>
        <w:rPr>
          <w:sz w:val="16"/>
        </w:rPr>
        <w:t>−</w:t>
      </w:r>
      <w:r>
        <w:rPr>
          <w:sz w:val="16"/>
        </w:rPr>
        <w:t>1</w:t>
      </w:r>
      <w:r>
        <w:rPr>
          <w:i/>
        </w:rPr>
        <w:t>,K</w:t>
      </w:r>
      <w:r>
        <w:rPr>
          <w:i/>
          <w:sz w:val="16"/>
        </w:rPr>
        <w:t>w,t</w:t>
      </w:r>
      <w:r>
        <w:rPr>
          <w:i/>
        </w:rPr>
        <w:t>,K</w:t>
      </w:r>
      <w:r>
        <w:rPr>
          <w:i/>
          <w:sz w:val="16"/>
        </w:rPr>
        <w:t>m,t</w:t>
      </w:r>
      <w:r>
        <w:rPr>
          <w:i/>
        </w:rPr>
        <w:t>,n</w:t>
      </w:r>
      <w:r>
        <w:rPr>
          <w:i/>
          <w:sz w:val="16"/>
        </w:rPr>
        <w:t>t</w:t>
      </w:r>
      <w:r>
        <w:rPr>
          <w:sz w:val="16"/>
        </w:rPr>
        <w:t>−</w:t>
      </w:r>
      <w:r>
        <w:rPr>
          <w:sz w:val="16"/>
        </w:rPr>
        <w:t>1</w:t>
      </w:r>
      <w:r>
        <w:t>) =</w:t>
      </w:r>
      <w:proofErr w:type="spellStart"/>
      <w:r>
        <w:rPr>
          <w:i/>
        </w:rPr>
        <w:t>D</w:t>
      </w:r>
      <w:r>
        <w:rPr>
          <w:i/>
          <w:sz w:val="16"/>
        </w:rPr>
        <w:t>t⋆</w:t>
      </w:r>
      <w:r>
        <w:rPr>
          <w:i/>
        </w:rPr>
        <w:t>V</w:t>
      </w:r>
      <w:r>
        <w:rPr>
          <w:i/>
          <w:sz w:val="16"/>
        </w:rPr>
        <w:t>j,tm</w:t>
      </w:r>
      <w:r>
        <w:rPr>
          <w:sz w:val="16"/>
        </w:rPr>
        <w:t>→</w:t>
      </w:r>
      <w:r>
        <w:rPr>
          <w:i/>
          <w:sz w:val="16"/>
        </w:rPr>
        <w:t>s</w:t>
      </w:r>
      <w:proofErr w:type="spellEnd"/>
      <w:r>
        <w:t>(</w:t>
      </w:r>
      <w:r>
        <w:rPr>
          <w:i/>
        </w:rPr>
        <w:t>κ</w:t>
      </w:r>
      <w:r>
        <w:rPr>
          <w:i/>
          <w:sz w:val="16"/>
        </w:rPr>
        <w:t>j</w:t>
      </w:r>
      <w:r>
        <w:rPr>
          <w:i/>
        </w:rPr>
        <w:t>A</w:t>
      </w:r>
      <w:r>
        <w:rPr>
          <w:i/>
          <w:sz w:val="16"/>
        </w:rPr>
        <w:t>t</w:t>
      </w:r>
      <w:r>
        <w:rPr>
          <w:sz w:val="16"/>
        </w:rPr>
        <w:t>−</w:t>
      </w:r>
      <w:r>
        <w:rPr>
          <w:sz w:val="16"/>
        </w:rPr>
        <w:t>1</w:t>
      </w:r>
      <w:r>
        <w:rPr>
          <w:i/>
        </w:rPr>
        <w:t>,K</w:t>
      </w:r>
      <w:r>
        <w:rPr>
          <w:i/>
          <w:sz w:val="16"/>
        </w:rPr>
        <w:t>j,t</w:t>
      </w:r>
      <w:r>
        <w:rPr>
          <w:sz w:val="16"/>
        </w:rPr>
        <w:t>−</w:t>
      </w:r>
      <w:r>
        <w:rPr>
          <w:sz w:val="16"/>
        </w:rPr>
        <w:t>1</w:t>
      </w:r>
      <w:r>
        <w:rPr>
          <w:i/>
        </w:rPr>
        <w:t>,n</w:t>
      </w:r>
      <w:r>
        <w:rPr>
          <w:i/>
          <w:sz w:val="16"/>
        </w:rPr>
        <w:t>t</w:t>
      </w:r>
      <w:r>
        <w:rPr>
          <w:sz w:val="16"/>
        </w:rPr>
        <w:t>−</w:t>
      </w:r>
      <w:r>
        <w:rPr>
          <w:sz w:val="16"/>
        </w:rPr>
        <w:t>1</w:t>
      </w:r>
      <w:r>
        <w:t>)</w:t>
      </w:r>
    </w:p>
    <w:p w14:paraId="4831AAD1" w14:textId="77777777" w:rsidR="006B4FC6" w:rsidRDefault="0051217D">
      <w:pPr>
        <w:spacing w:after="228" w:line="265" w:lineRule="auto"/>
        <w:ind w:left="2871"/>
        <w:jc w:val="left"/>
      </w:pPr>
      <w:r>
        <w:t xml:space="preserve">+ (1 </w:t>
      </w:r>
      <w:r>
        <w:t>−</w:t>
      </w:r>
      <w:r>
        <w:t xml:space="preserve"> </w:t>
      </w:r>
      <w:r>
        <w:rPr>
          <w:i/>
        </w:rPr>
        <w:t>D</w:t>
      </w:r>
      <w:r>
        <w:rPr>
          <w:i/>
          <w:sz w:val="16"/>
        </w:rPr>
        <w:t>t</w:t>
      </w:r>
      <w:proofErr w:type="gramStart"/>
      <w:r>
        <w:rPr>
          <w:i/>
          <w:sz w:val="16"/>
        </w:rPr>
        <w:t>⋆</w:t>
      </w:r>
      <w:r>
        <w:t>)</w:t>
      </w:r>
      <w:proofErr w:type="spellStart"/>
      <w:r>
        <w:rPr>
          <w:i/>
        </w:rPr>
        <w:t>V</w:t>
      </w:r>
      <w:r>
        <w:rPr>
          <w:i/>
          <w:sz w:val="16"/>
        </w:rPr>
        <w:t>j</w:t>
      </w:r>
      <w:proofErr w:type="gramEnd"/>
      <w:r>
        <w:rPr>
          <w:i/>
          <w:sz w:val="16"/>
        </w:rPr>
        <w:t>,tm</w:t>
      </w:r>
      <w:r>
        <w:rPr>
          <w:sz w:val="16"/>
        </w:rPr>
        <w:t>→</w:t>
      </w:r>
      <w:r>
        <w:rPr>
          <w:i/>
          <w:sz w:val="16"/>
        </w:rPr>
        <w:t>m</w:t>
      </w:r>
      <w:proofErr w:type="spellEnd"/>
      <w:r>
        <w:t>(</w:t>
      </w:r>
      <w:r>
        <w:rPr>
          <w:i/>
        </w:rPr>
        <w:t>ψ</w:t>
      </w:r>
      <w:r>
        <w:rPr>
          <w:i/>
          <w:sz w:val="16"/>
        </w:rPr>
        <w:t>t</w:t>
      </w:r>
      <w:r>
        <w:rPr>
          <w:i/>
        </w:rPr>
        <w:t>,A</w:t>
      </w:r>
      <w:r>
        <w:rPr>
          <w:i/>
          <w:sz w:val="16"/>
        </w:rPr>
        <w:t>t</w:t>
      </w:r>
      <w:r>
        <w:rPr>
          <w:sz w:val="16"/>
        </w:rPr>
        <w:t>−</w:t>
      </w:r>
      <w:r>
        <w:rPr>
          <w:sz w:val="16"/>
        </w:rPr>
        <w:t>1</w:t>
      </w:r>
      <w:r>
        <w:rPr>
          <w:i/>
        </w:rPr>
        <w:t>,µ</w:t>
      </w:r>
      <w:r>
        <w:rPr>
          <w:i/>
          <w:sz w:val="16"/>
        </w:rPr>
        <w:t>t</w:t>
      </w:r>
      <w:r>
        <w:rPr>
          <w:sz w:val="16"/>
        </w:rPr>
        <w:t>−</w:t>
      </w:r>
      <w:r>
        <w:rPr>
          <w:sz w:val="16"/>
        </w:rPr>
        <w:t>1</w:t>
      </w:r>
      <w:r>
        <w:rPr>
          <w:i/>
        </w:rPr>
        <w:t>,K</w:t>
      </w:r>
      <w:r>
        <w:rPr>
          <w:i/>
          <w:sz w:val="16"/>
        </w:rPr>
        <w:t>w,t</w:t>
      </w:r>
      <w:r>
        <w:rPr>
          <w:sz w:val="16"/>
        </w:rPr>
        <w:t>−</w:t>
      </w:r>
      <w:r>
        <w:rPr>
          <w:sz w:val="16"/>
        </w:rPr>
        <w:t>1</w:t>
      </w:r>
      <w:r>
        <w:rPr>
          <w:i/>
        </w:rPr>
        <w:t>,K</w:t>
      </w:r>
      <w:r>
        <w:rPr>
          <w:i/>
          <w:sz w:val="16"/>
        </w:rPr>
        <w:t>m,t</w:t>
      </w:r>
      <w:r>
        <w:rPr>
          <w:sz w:val="16"/>
        </w:rPr>
        <w:t>−</w:t>
      </w:r>
      <w:r>
        <w:rPr>
          <w:sz w:val="16"/>
        </w:rPr>
        <w:t>1</w:t>
      </w:r>
      <w:r>
        <w:rPr>
          <w:i/>
        </w:rPr>
        <w:t>,n</w:t>
      </w:r>
      <w:r>
        <w:rPr>
          <w:i/>
          <w:sz w:val="16"/>
        </w:rPr>
        <w:t>t</w:t>
      </w:r>
      <w:r>
        <w:rPr>
          <w:sz w:val="16"/>
        </w:rPr>
        <w:t>−</w:t>
      </w:r>
      <w:r>
        <w:rPr>
          <w:sz w:val="16"/>
        </w:rPr>
        <w:t>1</w:t>
      </w:r>
      <w:r>
        <w:t>) (13)</w:t>
      </w:r>
    </w:p>
    <w:tbl>
      <w:tblPr>
        <w:tblStyle w:val="TableGrid"/>
        <w:tblW w:w="7281" w:type="dxa"/>
        <w:tblInd w:w="781" w:type="dxa"/>
        <w:tblCellMar>
          <w:top w:w="91" w:type="dxa"/>
          <w:left w:w="0" w:type="dxa"/>
          <w:bottom w:w="94" w:type="dxa"/>
          <w:right w:w="30" w:type="dxa"/>
        </w:tblCellMar>
        <w:tblLook w:val="04A0" w:firstRow="1" w:lastRow="0" w:firstColumn="1" w:lastColumn="0" w:noHBand="0" w:noVBand="1"/>
      </w:tblPr>
      <w:tblGrid>
        <w:gridCol w:w="3073"/>
        <w:gridCol w:w="1940"/>
        <w:gridCol w:w="2268"/>
      </w:tblGrid>
      <w:tr w:rsidR="006B4FC6" w14:paraId="06CA53E1" w14:textId="77777777">
        <w:trPr>
          <w:trHeight w:val="525"/>
        </w:trPr>
        <w:tc>
          <w:tcPr>
            <w:tcW w:w="3074" w:type="dxa"/>
            <w:tcBorders>
              <w:top w:val="single" w:sz="7" w:space="0" w:color="000000"/>
              <w:left w:val="nil"/>
              <w:bottom w:val="single" w:sz="5" w:space="0" w:color="000000"/>
              <w:right w:val="nil"/>
            </w:tcBorders>
          </w:tcPr>
          <w:p w14:paraId="3472EF0A" w14:textId="77777777" w:rsidR="006B4FC6" w:rsidRDefault="006B4FC6">
            <w:pPr>
              <w:spacing w:after="160" w:line="259" w:lineRule="auto"/>
              <w:ind w:left="0" w:firstLine="0"/>
              <w:jc w:val="left"/>
            </w:pPr>
          </w:p>
        </w:tc>
        <w:tc>
          <w:tcPr>
            <w:tcW w:w="1940" w:type="dxa"/>
            <w:tcBorders>
              <w:top w:val="single" w:sz="7" w:space="0" w:color="000000"/>
              <w:left w:val="nil"/>
              <w:bottom w:val="single" w:sz="5" w:space="0" w:color="000000"/>
              <w:right w:val="nil"/>
            </w:tcBorders>
            <w:vAlign w:val="center"/>
          </w:tcPr>
          <w:p w14:paraId="384927AD" w14:textId="77777777" w:rsidR="006B4FC6" w:rsidRDefault="0051217D">
            <w:pPr>
              <w:spacing w:after="0" w:line="259" w:lineRule="auto"/>
              <w:ind w:left="0" w:firstLine="0"/>
              <w:jc w:val="left"/>
            </w:pPr>
            <w:r>
              <w:t>Universal</w:t>
            </w:r>
          </w:p>
        </w:tc>
        <w:tc>
          <w:tcPr>
            <w:tcW w:w="2268" w:type="dxa"/>
            <w:tcBorders>
              <w:top w:val="single" w:sz="7" w:space="0" w:color="000000"/>
              <w:left w:val="nil"/>
              <w:bottom w:val="single" w:sz="5" w:space="0" w:color="000000"/>
              <w:right w:val="nil"/>
            </w:tcBorders>
            <w:vAlign w:val="center"/>
          </w:tcPr>
          <w:p w14:paraId="6983F7E7" w14:textId="77777777" w:rsidR="006B4FC6" w:rsidRDefault="0051217D">
            <w:pPr>
              <w:spacing w:after="0" w:line="259" w:lineRule="auto"/>
              <w:ind w:left="0" w:firstLine="0"/>
              <w:jc w:val="left"/>
            </w:pPr>
            <w:r>
              <w:t>Means-tested</w:t>
            </w:r>
          </w:p>
        </w:tc>
      </w:tr>
      <w:tr w:rsidR="006B4FC6" w14:paraId="60C7A62D" w14:textId="77777777">
        <w:trPr>
          <w:trHeight w:val="498"/>
        </w:trPr>
        <w:tc>
          <w:tcPr>
            <w:tcW w:w="3074" w:type="dxa"/>
            <w:tcBorders>
              <w:top w:val="single" w:sz="5" w:space="0" w:color="000000"/>
              <w:left w:val="nil"/>
              <w:bottom w:val="nil"/>
              <w:right w:val="nil"/>
            </w:tcBorders>
          </w:tcPr>
          <w:p w14:paraId="1B0094FD" w14:textId="77777777" w:rsidR="006B4FC6" w:rsidRDefault="0051217D">
            <w:pPr>
              <w:spacing w:after="0" w:line="259" w:lineRule="auto"/>
              <w:ind w:left="0" w:firstLine="0"/>
              <w:jc w:val="left"/>
            </w:pPr>
            <w:r>
              <w:t>Unconditional on work</w:t>
            </w:r>
          </w:p>
        </w:tc>
        <w:tc>
          <w:tcPr>
            <w:tcW w:w="1940" w:type="dxa"/>
            <w:tcBorders>
              <w:top w:val="single" w:sz="5" w:space="0" w:color="000000"/>
              <w:left w:val="nil"/>
              <w:bottom w:val="nil"/>
              <w:right w:val="nil"/>
            </w:tcBorders>
            <w:vAlign w:val="bottom"/>
          </w:tcPr>
          <w:p w14:paraId="006074DF" w14:textId="77777777" w:rsidR="006B4FC6" w:rsidRDefault="0051217D">
            <w:pPr>
              <w:spacing w:after="0" w:line="259" w:lineRule="auto"/>
              <w:ind w:left="0" w:firstLine="0"/>
              <w:jc w:val="left"/>
            </w:pPr>
            <w:r>
              <w:rPr>
                <w:i/>
              </w:rPr>
              <w:t>C</w:t>
            </w:r>
            <w:r>
              <w:rPr>
                <w:vertAlign w:val="subscript"/>
              </w:rPr>
              <w:t>1</w:t>
            </w:r>
            <w:r>
              <w:t>(</w:t>
            </w:r>
            <w:proofErr w:type="spellStart"/>
            <w:r>
              <w:rPr>
                <w:i/>
              </w:rPr>
              <w:t>n</w:t>
            </w:r>
            <w:r>
              <w:rPr>
                <w:i/>
                <w:vertAlign w:val="subscript"/>
              </w:rPr>
              <w:t>t</w:t>
            </w:r>
            <w:proofErr w:type="spellEnd"/>
            <w:r>
              <w:t xml:space="preserve">) = </w:t>
            </w:r>
            <w:r>
              <w:rPr>
                <w:i/>
              </w:rPr>
              <w:t>ϕ</w:t>
            </w:r>
            <w:r>
              <w:rPr>
                <w:vertAlign w:val="subscript"/>
              </w:rPr>
              <w:t>0</w:t>
            </w:r>
          </w:p>
        </w:tc>
        <w:tc>
          <w:tcPr>
            <w:tcW w:w="2268" w:type="dxa"/>
            <w:tcBorders>
              <w:top w:val="single" w:sz="5" w:space="0" w:color="000000"/>
              <w:left w:val="nil"/>
              <w:bottom w:val="nil"/>
              <w:right w:val="nil"/>
            </w:tcBorders>
            <w:vAlign w:val="bottom"/>
          </w:tcPr>
          <w:p w14:paraId="0F704304" w14:textId="77777777" w:rsidR="006B4FC6" w:rsidRDefault="0051217D">
            <w:pPr>
              <w:spacing w:after="0" w:line="259" w:lineRule="auto"/>
              <w:ind w:left="0" w:firstLine="0"/>
            </w:pPr>
            <w:r>
              <w:rPr>
                <w:i/>
              </w:rPr>
              <w:t>C</w:t>
            </w:r>
            <w:r>
              <w:rPr>
                <w:sz w:val="16"/>
              </w:rPr>
              <w:t>2</w:t>
            </w:r>
            <w:r>
              <w:t>(</w:t>
            </w:r>
            <w:proofErr w:type="spellStart"/>
            <w:proofErr w:type="gramStart"/>
            <w:r>
              <w:rPr>
                <w:i/>
              </w:rPr>
              <w:t>n</w:t>
            </w:r>
            <w:r>
              <w:rPr>
                <w:i/>
                <w:sz w:val="16"/>
              </w:rPr>
              <w:t>t</w:t>
            </w:r>
            <w:r>
              <w:rPr>
                <w:i/>
              </w:rPr>
              <w:t>,Y</w:t>
            </w:r>
            <w:r>
              <w:rPr>
                <w:i/>
                <w:sz w:val="16"/>
              </w:rPr>
              <w:t>t</w:t>
            </w:r>
            <w:proofErr w:type="spellEnd"/>
            <w:proofErr w:type="gramEnd"/>
            <w:r>
              <w:t xml:space="preserve">) = </w:t>
            </w:r>
            <w:r>
              <w:rPr>
                <w:i/>
              </w:rPr>
              <w:t>ϕ</w:t>
            </w:r>
            <w:r>
              <w:rPr>
                <w:sz w:val="16"/>
              </w:rPr>
              <w:t xml:space="preserve">1 </w:t>
            </w:r>
            <w:r>
              <w:t>−</w:t>
            </w:r>
            <w:r>
              <w:t xml:space="preserve"> </w:t>
            </w:r>
            <w:r>
              <w:rPr>
                <w:i/>
              </w:rPr>
              <w:t>ϕ</w:t>
            </w:r>
            <w:r>
              <w:rPr>
                <w:sz w:val="16"/>
              </w:rPr>
              <w:t>2</w:t>
            </w:r>
            <w:r>
              <w:rPr>
                <w:i/>
              </w:rPr>
              <w:t>Y</w:t>
            </w:r>
            <w:r>
              <w:rPr>
                <w:i/>
                <w:sz w:val="16"/>
              </w:rPr>
              <w:t>t</w:t>
            </w:r>
          </w:p>
        </w:tc>
      </w:tr>
      <w:tr w:rsidR="006B4FC6" w14:paraId="75D9D06C" w14:textId="77777777">
        <w:trPr>
          <w:trHeight w:val="428"/>
        </w:trPr>
        <w:tc>
          <w:tcPr>
            <w:tcW w:w="3074" w:type="dxa"/>
            <w:tcBorders>
              <w:top w:val="nil"/>
              <w:left w:val="nil"/>
              <w:bottom w:val="single" w:sz="7" w:space="0" w:color="000000"/>
              <w:right w:val="nil"/>
            </w:tcBorders>
          </w:tcPr>
          <w:p w14:paraId="663EFD9E" w14:textId="77777777" w:rsidR="006B4FC6" w:rsidRDefault="0051217D">
            <w:pPr>
              <w:spacing w:after="0" w:line="259" w:lineRule="auto"/>
              <w:ind w:left="0" w:firstLine="0"/>
              <w:jc w:val="left"/>
            </w:pPr>
            <w:r>
              <w:t>Conditional on work</w:t>
            </w:r>
          </w:p>
        </w:tc>
        <w:tc>
          <w:tcPr>
            <w:tcW w:w="1940" w:type="dxa"/>
            <w:tcBorders>
              <w:top w:val="nil"/>
              <w:left w:val="nil"/>
              <w:bottom w:val="single" w:sz="7" w:space="0" w:color="000000"/>
              <w:right w:val="nil"/>
            </w:tcBorders>
            <w:vAlign w:val="center"/>
          </w:tcPr>
          <w:p w14:paraId="199490AF" w14:textId="77777777" w:rsidR="006B4FC6" w:rsidRDefault="0051217D">
            <w:pPr>
              <w:spacing w:after="0" w:line="259" w:lineRule="auto"/>
              <w:ind w:left="0" w:firstLine="0"/>
              <w:jc w:val="left"/>
            </w:pPr>
            <w:r>
              <w:rPr>
                <w:i/>
              </w:rPr>
              <w:t>C</w:t>
            </w:r>
            <w:r>
              <w:rPr>
                <w:vertAlign w:val="subscript"/>
              </w:rPr>
              <w:t>3</w:t>
            </w:r>
            <w:r>
              <w:t>(</w:t>
            </w:r>
            <w:proofErr w:type="spellStart"/>
            <w:r>
              <w:rPr>
                <w:i/>
              </w:rPr>
              <w:t>n</w:t>
            </w:r>
            <w:r>
              <w:rPr>
                <w:i/>
                <w:vertAlign w:val="subscript"/>
              </w:rPr>
              <w:t>t</w:t>
            </w:r>
            <w:proofErr w:type="spellEnd"/>
            <w:r>
              <w:t xml:space="preserve">) = </w:t>
            </w:r>
            <w:r>
              <w:rPr>
                <w:i/>
              </w:rPr>
              <w:t>ϕ</w:t>
            </w:r>
            <w:r>
              <w:rPr>
                <w:vertAlign w:val="subscript"/>
              </w:rPr>
              <w:t>3</w:t>
            </w:r>
          </w:p>
        </w:tc>
        <w:tc>
          <w:tcPr>
            <w:tcW w:w="2268" w:type="dxa"/>
            <w:tcBorders>
              <w:top w:val="nil"/>
              <w:left w:val="nil"/>
              <w:bottom w:val="single" w:sz="7" w:space="0" w:color="000000"/>
              <w:right w:val="nil"/>
            </w:tcBorders>
            <w:vAlign w:val="center"/>
          </w:tcPr>
          <w:p w14:paraId="737F4DD5" w14:textId="77777777" w:rsidR="006B4FC6" w:rsidRDefault="0051217D">
            <w:pPr>
              <w:spacing w:after="0" w:line="259" w:lineRule="auto"/>
              <w:ind w:left="0" w:firstLine="0"/>
            </w:pPr>
            <w:r>
              <w:rPr>
                <w:i/>
              </w:rPr>
              <w:t>C</w:t>
            </w:r>
            <w:r>
              <w:rPr>
                <w:sz w:val="16"/>
              </w:rPr>
              <w:t>4</w:t>
            </w:r>
            <w:r>
              <w:t>(</w:t>
            </w:r>
            <w:proofErr w:type="spellStart"/>
            <w:proofErr w:type="gramStart"/>
            <w:r>
              <w:rPr>
                <w:i/>
              </w:rPr>
              <w:t>n</w:t>
            </w:r>
            <w:r>
              <w:rPr>
                <w:i/>
                <w:sz w:val="16"/>
              </w:rPr>
              <w:t>t</w:t>
            </w:r>
            <w:r>
              <w:rPr>
                <w:i/>
              </w:rPr>
              <w:t>,Y</w:t>
            </w:r>
            <w:r>
              <w:rPr>
                <w:i/>
                <w:sz w:val="16"/>
              </w:rPr>
              <w:t>t</w:t>
            </w:r>
            <w:proofErr w:type="spellEnd"/>
            <w:proofErr w:type="gramEnd"/>
            <w:r>
              <w:t xml:space="preserve">) = </w:t>
            </w:r>
            <w:r>
              <w:rPr>
                <w:i/>
              </w:rPr>
              <w:t>ϕ</w:t>
            </w:r>
            <w:r>
              <w:rPr>
                <w:sz w:val="16"/>
              </w:rPr>
              <w:t xml:space="preserve">4 </w:t>
            </w:r>
            <w:r>
              <w:t>−</w:t>
            </w:r>
            <w:r>
              <w:t xml:space="preserve"> </w:t>
            </w:r>
            <w:r>
              <w:rPr>
                <w:i/>
              </w:rPr>
              <w:t>ϕ</w:t>
            </w:r>
            <w:r>
              <w:rPr>
                <w:sz w:val="16"/>
              </w:rPr>
              <w:t>5</w:t>
            </w:r>
            <w:r>
              <w:rPr>
                <w:i/>
              </w:rPr>
              <w:t>Y</w:t>
            </w:r>
            <w:r>
              <w:rPr>
                <w:i/>
                <w:sz w:val="16"/>
              </w:rPr>
              <w:t>t</w:t>
            </w:r>
          </w:p>
        </w:tc>
      </w:tr>
    </w:tbl>
    <w:p w14:paraId="401DBCBD" w14:textId="77777777" w:rsidR="006B4FC6" w:rsidRDefault="0051217D">
      <w:pPr>
        <w:spacing w:after="397" w:line="385" w:lineRule="auto"/>
        <w:ind w:left="-5" w:right="999"/>
        <w:jc w:val="left"/>
      </w:pPr>
      <w:r>
        <w:rPr>
          <w:sz w:val="20"/>
        </w:rPr>
        <w:t>Table 1: A taxonomy of child-related transfers, inspired by that of (</w:t>
      </w:r>
      <w:proofErr w:type="spellStart"/>
      <w:r>
        <w:rPr>
          <w:sz w:val="20"/>
        </w:rPr>
        <w:t>Guner</w:t>
      </w:r>
      <w:proofErr w:type="spellEnd"/>
      <w:r>
        <w:rPr>
          <w:sz w:val="20"/>
        </w:rPr>
        <w:t xml:space="preserve">, </w:t>
      </w:r>
      <w:proofErr w:type="spellStart"/>
      <w:r>
        <w:rPr>
          <w:sz w:val="20"/>
        </w:rPr>
        <w:t>Kaygusuz</w:t>
      </w:r>
      <w:proofErr w:type="spellEnd"/>
      <w:r>
        <w:rPr>
          <w:sz w:val="20"/>
        </w:rPr>
        <w:t xml:space="preserve">, and Ventura 2020). </w:t>
      </w:r>
      <w:proofErr w:type="spellStart"/>
      <w:r>
        <w:rPr>
          <w:i/>
          <w:sz w:val="20"/>
        </w:rPr>
        <w:t>Y</w:t>
      </w:r>
      <w:r>
        <w:rPr>
          <w:i/>
          <w:sz w:val="20"/>
          <w:vertAlign w:val="subscript"/>
        </w:rPr>
        <w:t>t</w:t>
      </w:r>
      <w:proofErr w:type="spellEnd"/>
      <w:r>
        <w:rPr>
          <w:i/>
          <w:sz w:val="20"/>
          <w:vertAlign w:val="subscript"/>
        </w:rPr>
        <w:t xml:space="preserve"> </w:t>
      </w:r>
      <w:r>
        <w:rPr>
          <w:sz w:val="20"/>
        </w:rPr>
        <w:t>expresses income on the household level.</w:t>
      </w:r>
    </w:p>
    <w:p w14:paraId="4FDE8217" w14:textId="77777777" w:rsidR="006B4FC6" w:rsidRDefault="0051217D">
      <w:pPr>
        <w:spacing w:after="353" w:line="303" w:lineRule="auto"/>
        <w:ind w:left="-15" w:right="1516" w:firstLine="351"/>
      </w:pPr>
      <w:r>
        <w:t xml:space="preserve">where </w:t>
      </w:r>
      <w:proofErr w:type="spellStart"/>
      <w:r>
        <w:rPr>
          <w:i/>
        </w:rPr>
        <w:t>κ</w:t>
      </w:r>
      <w:r>
        <w:rPr>
          <w:i/>
          <w:vertAlign w:val="subscript"/>
        </w:rPr>
        <w:t>j</w:t>
      </w:r>
      <w:proofErr w:type="spellEnd"/>
      <w:r>
        <w:rPr>
          <w:i/>
          <w:vertAlign w:val="subscript"/>
        </w:rPr>
        <w:t xml:space="preserve"> </w:t>
      </w:r>
      <w:r>
        <w:t xml:space="preserve">is the share of household wealth member </w:t>
      </w:r>
      <w:r>
        <w:rPr>
          <w:i/>
        </w:rPr>
        <w:t xml:space="preserve">j </w:t>
      </w:r>
      <w:r>
        <w:t>gets in case of divorce (</w:t>
      </w:r>
      <w:proofErr w:type="spellStart"/>
      <w:r>
        <w:rPr>
          <w:i/>
        </w:rPr>
        <w:t>κ</w:t>
      </w:r>
      <w:r>
        <w:rPr>
          <w:i/>
          <w:vertAlign w:val="subscript"/>
        </w:rPr>
        <w:t>w</w:t>
      </w:r>
      <w:r>
        <w:t>+</w:t>
      </w:r>
      <w:r>
        <w:rPr>
          <w:i/>
        </w:rPr>
        <w:t>κ</w:t>
      </w:r>
      <w:r>
        <w:rPr>
          <w:i/>
          <w:vertAlign w:val="subscript"/>
        </w:rPr>
        <w:t>m</w:t>
      </w:r>
      <w:proofErr w:type="spellEnd"/>
      <w:r>
        <w:rPr>
          <w:i/>
          <w:vertAlign w:val="subscript"/>
        </w:rPr>
        <w:t xml:space="preserve"> </w:t>
      </w:r>
      <w:r>
        <w:t xml:space="preserve">= </w:t>
      </w:r>
      <w:r>
        <w:t>1). The choice to divorce,</w:t>
      </w:r>
      <w:r>
        <w:rPr>
          <w:noProof/>
        </w:rPr>
        <w:drawing>
          <wp:inline distT="0" distB="0" distL="0" distR="0" wp14:anchorId="4DB005AB" wp14:editId="74D64FE7">
            <wp:extent cx="176784" cy="149352"/>
            <wp:effectExtent l="0" t="0" r="0" b="0"/>
            <wp:docPr id="30306" name="Picture 30306"/>
            <wp:cNvGraphicFramePr/>
            <a:graphic xmlns:a="http://schemas.openxmlformats.org/drawingml/2006/main">
              <a:graphicData uri="http://schemas.openxmlformats.org/drawingml/2006/picture">
                <pic:pic xmlns:pic="http://schemas.openxmlformats.org/drawingml/2006/picture">
                  <pic:nvPicPr>
                    <pic:cNvPr id="30306" name="Picture 30306"/>
                    <pic:cNvPicPr/>
                  </pic:nvPicPr>
                  <pic:blipFill>
                    <a:blip r:embed="rId16"/>
                    <a:stretch>
                      <a:fillRect/>
                    </a:stretch>
                  </pic:blipFill>
                  <pic:spPr>
                    <a:xfrm>
                      <a:off x="0" y="0"/>
                      <a:ext cx="176784" cy="149352"/>
                    </a:xfrm>
                    <a:prstGeom prst="rect">
                      <a:avLst/>
                    </a:prstGeom>
                  </pic:spPr>
                </pic:pic>
              </a:graphicData>
            </a:graphic>
          </wp:inline>
        </w:drawing>
      </w:r>
      <w:r>
        <w:t xml:space="preserve">, is discussed below. The value of transitioning into </w:t>
      </w:r>
      <w:proofErr w:type="gramStart"/>
      <w:r>
        <w:t>single-hood</w:t>
      </w:r>
      <w:proofErr w:type="gramEnd"/>
    </w:p>
    <w:p w14:paraId="2631879F" w14:textId="77777777" w:rsidR="006B4FC6" w:rsidRDefault="0051217D">
      <w:pPr>
        <w:spacing w:after="202" w:line="259" w:lineRule="auto"/>
        <w:ind w:left="629" w:firstLine="0"/>
        <w:jc w:val="left"/>
      </w:pPr>
      <w:r>
        <w:rPr>
          <w:noProof/>
        </w:rPr>
        <w:drawing>
          <wp:inline distT="0" distB="0" distL="0" distR="0" wp14:anchorId="5CC44881" wp14:editId="711E52CE">
            <wp:extent cx="4745737" cy="246888"/>
            <wp:effectExtent l="0" t="0" r="0" b="0"/>
            <wp:docPr id="30307" name="Picture 30307"/>
            <wp:cNvGraphicFramePr/>
            <a:graphic xmlns:a="http://schemas.openxmlformats.org/drawingml/2006/main">
              <a:graphicData uri="http://schemas.openxmlformats.org/drawingml/2006/picture">
                <pic:pic xmlns:pic="http://schemas.openxmlformats.org/drawingml/2006/picture">
                  <pic:nvPicPr>
                    <pic:cNvPr id="30307" name="Picture 30307"/>
                    <pic:cNvPicPr/>
                  </pic:nvPicPr>
                  <pic:blipFill>
                    <a:blip r:embed="rId17"/>
                    <a:stretch>
                      <a:fillRect/>
                    </a:stretch>
                  </pic:blipFill>
                  <pic:spPr>
                    <a:xfrm>
                      <a:off x="0" y="0"/>
                      <a:ext cx="4745737" cy="246888"/>
                    </a:xfrm>
                    <a:prstGeom prst="rect">
                      <a:avLst/>
                    </a:prstGeom>
                  </pic:spPr>
                </pic:pic>
              </a:graphicData>
            </a:graphic>
          </wp:inline>
        </w:drawing>
      </w:r>
    </w:p>
    <w:p w14:paraId="552C9B61" w14:textId="77777777" w:rsidR="006B4FC6" w:rsidRDefault="0051217D">
      <w:pPr>
        <w:tabs>
          <w:tab w:val="center" w:pos="2514"/>
          <w:tab w:val="center" w:pos="5409"/>
          <w:tab w:val="center" w:pos="8636"/>
        </w:tabs>
        <w:spacing w:after="256" w:line="265" w:lineRule="auto"/>
        <w:ind w:left="0" w:firstLine="0"/>
        <w:jc w:val="left"/>
      </w:pPr>
      <w:r>
        <w:rPr>
          <w:rFonts w:ascii="Calibri" w:eastAsia="Calibri" w:hAnsi="Calibri" w:cs="Calibri"/>
          <w:sz w:val="22"/>
        </w:rPr>
        <w:tab/>
      </w:r>
      <w:proofErr w:type="spellStart"/>
      <w:r>
        <w:t>s.t.</w:t>
      </w:r>
      <w:proofErr w:type="spellEnd"/>
      <w:r>
        <w:tab/>
      </w:r>
      <w:r>
        <w:rPr>
          <w:i/>
        </w:rPr>
        <w:t>A</w:t>
      </w:r>
      <w:r>
        <w:rPr>
          <w:i/>
          <w:sz w:val="16"/>
        </w:rPr>
        <w:t xml:space="preserve">t </w:t>
      </w:r>
      <w:r>
        <w:t>=</w:t>
      </w:r>
      <w:r>
        <w:rPr>
          <w:i/>
        </w:rPr>
        <w:t>RA</w:t>
      </w:r>
      <w:r>
        <w:rPr>
          <w:i/>
          <w:sz w:val="16"/>
        </w:rPr>
        <w:t>t</w:t>
      </w:r>
      <w:r>
        <w:rPr>
          <w:sz w:val="16"/>
        </w:rPr>
        <w:t>−</w:t>
      </w:r>
      <w:r>
        <w:rPr>
          <w:sz w:val="16"/>
        </w:rPr>
        <w:t xml:space="preserve">1 </w:t>
      </w:r>
      <w:r>
        <w:t xml:space="preserve">+ </w:t>
      </w:r>
      <w:proofErr w:type="spellStart"/>
      <w:proofErr w:type="gramStart"/>
      <w:r>
        <w:rPr>
          <w:i/>
        </w:rPr>
        <w:t>Y</w:t>
      </w:r>
      <w:r>
        <w:rPr>
          <w:i/>
          <w:sz w:val="16"/>
        </w:rPr>
        <w:t>j,t</w:t>
      </w:r>
      <w:proofErr w:type="spellEnd"/>
      <w:proofErr w:type="gramEnd"/>
      <w:r>
        <w:rPr>
          <w:i/>
          <w:sz w:val="16"/>
        </w:rPr>
        <w:t xml:space="preserve"> </w:t>
      </w:r>
      <w:r>
        <w:t>−</w:t>
      </w:r>
      <w:r>
        <w:t xml:space="preserve"> </w:t>
      </w:r>
      <w:proofErr w:type="spellStart"/>
      <w:r>
        <w:rPr>
          <w:i/>
        </w:rPr>
        <w:t>c</w:t>
      </w:r>
      <w:r>
        <w:rPr>
          <w:i/>
          <w:sz w:val="16"/>
        </w:rPr>
        <w:t>t</w:t>
      </w:r>
      <w:proofErr w:type="spellEnd"/>
      <w:r>
        <w:rPr>
          <w:i/>
          <w:sz w:val="16"/>
        </w:rPr>
        <w:t xml:space="preserve"> </w:t>
      </w:r>
      <w:r>
        <w:t>−</w:t>
      </w:r>
      <w:r>
        <w:t xml:space="preserve"> </w:t>
      </w:r>
      <w:proofErr w:type="spellStart"/>
      <w:r>
        <w:rPr>
          <w:i/>
        </w:rPr>
        <w:t>c</w:t>
      </w:r>
      <w:r>
        <w:rPr>
          <w:i/>
          <w:sz w:val="16"/>
        </w:rPr>
        <w:t>j,t</w:t>
      </w:r>
      <w:proofErr w:type="spellEnd"/>
      <w:r>
        <w:rPr>
          <w:i/>
          <w:sz w:val="16"/>
        </w:rPr>
        <w:t xml:space="preserve"> </w:t>
      </w:r>
      <w:r>
        <w:t xml:space="preserve">+ </w:t>
      </w:r>
      <w:proofErr w:type="spellStart"/>
      <w:r>
        <w:rPr>
          <w:i/>
        </w:rPr>
        <w:t>C</w:t>
      </w:r>
      <w:r>
        <w:rPr>
          <w:i/>
          <w:sz w:val="16"/>
        </w:rPr>
        <w:t>single</w:t>
      </w:r>
      <w:proofErr w:type="spellEnd"/>
      <w:r>
        <w:t>(</w:t>
      </w:r>
      <w:proofErr w:type="spellStart"/>
      <w:r>
        <w:rPr>
          <w:i/>
        </w:rPr>
        <w:t>n</w:t>
      </w:r>
      <w:r>
        <w:rPr>
          <w:i/>
          <w:sz w:val="16"/>
        </w:rPr>
        <w:t>t</w:t>
      </w:r>
      <w:r>
        <w:rPr>
          <w:i/>
        </w:rPr>
        <w:t>,h</w:t>
      </w:r>
      <w:r>
        <w:rPr>
          <w:i/>
          <w:sz w:val="16"/>
        </w:rPr>
        <w:t>j,t</w:t>
      </w:r>
      <w:r>
        <w:rPr>
          <w:i/>
        </w:rPr>
        <w:t>,w</w:t>
      </w:r>
      <w:r>
        <w:rPr>
          <w:i/>
          <w:sz w:val="16"/>
        </w:rPr>
        <w:t>j,t</w:t>
      </w:r>
      <w:proofErr w:type="spellEnd"/>
      <w:r>
        <w:t>)</w:t>
      </w:r>
      <w:r>
        <w:tab/>
        <w:t>(14)</w:t>
      </w:r>
    </w:p>
    <w:p w14:paraId="2B51B00E" w14:textId="77777777" w:rsidR="006B4FC6" w:rsidRDefault="0051217D">
      <w:pPr>
        <w:spacing w:after="39"/>
        <w:ind w:left="-15" w:right="1516" w:firstLine="351"/>
      </w:pPr>
      <w:r>
        <w:lastRenderedPageBreak/>
        <w:t xml:space="preserve">where </w:t>
      </w:r>
      <w:r>
        <w:rPr>
          <w:noProof/>
        </w:rPr>
        <w:drawing>
          <wp:inline distT="0" distB="0" distL="0" distR="0" wp14:anchorId="335B8FCA" wp14:editId="5AA80209">
            <wp:extent cx="2493264" cy="179832"/>
            <wp:effectExtent l="0" t="0" r="0" b="0"/>
            <wp:docPr id="30308" name="Picture 30308"/>
            <wp:cNvGraphicFramePr/>
            <a:graphic xmlns:a="http://schemas.openxmlformats.org/drawingml/2006/main">
              <a:graphicData uri="http://schemas.openxmlformats.org/drawingml/2006/picture">
                <pic:pic xmlns:pic="http://schemas.openxmlformats.org/drawingml/2006/picture">
                  <pic:nvPicPr>
                    <pic:cNvPr id="30308" name="Picture 30308"/>
                    <pic:cNvPicPr/>
                  </pic:nvPicPr>
                  <pic:blipFill>
                    <a:blip r:embed="rId18"/>
                    <a:stretch>
                      <a:fillRect/>
                    </a:stretch>
                  </pic:blipFill>
                  <pic:spPr>
                    <a:xfrm>
                      <a:off x="0" y="0"/>
                      <a:ext cx="2493264" cy="179832"/>
                    </a:xfrm>
                    <a:prstGeom prst="rect">
                      <a:avLst/>
                    </a:prstGeom>
                  </pic:spPr>
                </pic:pic>
              </a:graphicData>
            </a:graphic>
          </wp:inline>
        </w:drawing>
      </w:r>
      <w:r>
        <w:t xml:space="preserve">), since </w:t>
      </w:r>
      <w:proofErr w:type="gramStart"/>
      <w:r>
        <w:t>single-hood</w:t>
      </w:r>
      <w:proofErr w:type="gramEnd"/>
      <w:r>
        <w:t xml:space="preserve"> is treated as an absorbing state. This means that once a person becom</w:t>
      </w:r>
      <w:r>
        <w:t>es single, they remain single for all future periods.</w:t>
      </w:r>
      <w:r>
        <w:rPr>
          <w:vertAlign w:val="superscript"/>
        </w:rPr>
        <w:footnoteReference w:id="2"/>
      </w:r>
    </w:p>
    <w:p w14:paraId="77DBDE6D" w14:textId="77777777" w:rsidR="006B4FC6" w:rsidRDefault="0051217D">
      <w:pPr>
        <w:spacing w:after="698"/>
        <w:ind w:left="361" w:right="1516"/>
      </w:pPr>
      <w:r>
        <w:t>The value of remaining married is</w:t>
      </w:r>
    </w:p>
    <w:p w14:paraId="48F0F787" w14:textId="77777777" w:rsidR="006B4FC6" w:rsidRDefault="0051217D">
      <w:pPr>
        <w:spacing w:after="293" w:line="265" w:lineRule="auto"/>
        <w:ind w:left="181"/>
        <w:jc w:val="left"/>
      </w:pPr>
      <w:proofErr w:type="spellStart"/>
      <w:proofErr w:type="gramStart"/>
      <w:r>
        <w:rPr>
          <w:i/>
        </w:rPr>
        <w:t>V</w:t>
      </w:r>
      <w:r>
        <w:rPr>
          <w:i/>
          <w:sz w:val="16"/>
        </w:rPr>
        <w:t>j,tm</w:t>
      </w:r>
      <w:proofErr w:type="gramEnd"/>
      <w:r>
        <w:rPr>
          <w:sz w:val="16"/>
        </w:rPr>
        <w:t>→</w:t>
      </w:r>
      <w:r>
        <w:rPr>
          <w:i/>
          <w:sz w:val="16"/>
        </w:rPr>
        <w:t>m</w:t>
      </w:r>
      <w:proofErr w:type="spellEnd"/>
      <w:r>
        <w:t>(</w:t>
      </w:r>
      <w:r>
        <w:rPr>
          <w:i/>
        </w:rPr>
        <w:t>ψ</w:t>
      </w:r>
      <w:r>
        <w:rPr>
          <w:i/>
          <w:sz w:val="16"/>
        </w:rPr>
        <w:t>t</w:t>
      </w:r>
      <w:r>
        <w:rPr>
          <w:i/>
        </w:rPr>
        <w:t>,A</w:t>
      </w:r>
      <w:r>
        <w:rPr>
          <w:i/>
          <w:sz w:val="16"/>
        </w:rPr>
        <w:t>t</w:t>
      </w:r>
      <w:r>
        <w:rPr>
          <w:sz w:val="16"/>
        </w:rPr>
        <w:t>−</w:t>
      </w:r>
      <w:r>
        <w:rPr>
          <w:sz w:val="16"/>
        </w:rPr>
        <w:t>1</w:t>
      </w:r>
      <w:r>
        <w:rPr>
          <w:i/>
        </w:rPr>
        <w:t>,µ</w:t>
      </w:r>
      <w:r>
        <w:rPr>
          <w:i/>
          <w:sz w:val="16"/>
        </w:rPr>
        <w:t>t</w:t>
      </w:r>
      <w:r>
        <w:rPr>
          <w:sz w:val="16"/>
        </w:rPr>
        <w:t>−</w:t>
      </w:r>
      <w:r>
        <w:rPr>
          <w:sz w:val="16"/>
        </w:rPr>
        <w:t>1</w:t>
      </w:r>
      <w:r>
        <w:rPr>
          <w:i/>
        </w:rPr>
        <w:t>,n</w:t>
      </w:r>
      <w:r>
        <w:rPr>
          <w:i/>
          <w:sz w:val="16"/>
        </w:rPr>
        <w:t>t</w:t>
      </w:r>
      <w:r>
        <w:rPr>
          <w:sz w:val="16"/>
        </w:rPr>
        <w:t>−</w:t>
      </w:r>
      <w:r>
        <w:rPr>
          <w:sz w:val="16"/>
        </w:rPr>
        <w:t>1</w:t>
      </w:r>
      <w:r>
        <w:rPr>
          <w:i/>
        </w:rPr>
        <w:t>,K</w:t>
      </w:r>
      <w:r>
        <w:rPr>
          <w:i/>
          <w:sz w:val="16"/>
        </w:rPr>
        <w:t>w,t</w:t>
      </w:r>
      <w:r>
        <w:rPr>
          <w:sz w:val="16"/>
        </w:rPr>
        <w:t>−</w:t>
      </w:r>
      <w:r>
        <w:rPr>
          <w:sz w:val="16"/>
        </w:rPr>
        <w:t>1</w:t>
      </w:r>
      <w:r>
        <w:rPr>
          <w:i/>
        </w:rPr>
        <w:t>,K</w:t>
      </w:r>
      <w:r>
        <w:rPr>
          <w:i/>
          <w:sz w:val="16"/>
        </w:rPr>
        <w:t>m,t</w:t>
      </w:r>
      <w:r>
        <w:rPr>
          <w:sz w:val="16"/>
        </w:rPr>
        <w:t>−</w:t>
      </w:r>
      <w:r>
        <w:rPr>
          <w:sz w:val="16"/>
        </w:rPr>
        <w:t>1</w:t>
      </w:r>
      <w:r>
        <w:t xml:space="preserve">) = </w:t>
      </w:r>
      <w:proofErr w:type="spellStart"/>
      <w:r>
        <w:rPr>
          <w:i/>
        </w:rPr>
        <w:t>U</w:t>
      </w:r>
      <w:r>
        <w:rPr>
          <w:i/>
          <w:sz w:val="16"/>
        </w:rPr>
        <w:t>j</w:t>
      </w:r>
      <w:proofErr w:type="spellEnd"/>
      <w:r>
        <w:t>(</w:t>
      </w:r>
      <w:proofErr w:type="spellStart"/>
      <w:r>
        <w:rPr>
          <w:i/>
        </w:rPr>
        <w:t>c</w:t>
      </w:r>
      <w:r>
        <w:rPr>
          <w:i/>
          <w:sz w:val="16"/>
        </w:rPr>
        <w:t>⋆</w:t>
      </w:r>
      <w:r>
        <w:rPr>
          <w:i/>
          <w:sz w:val="16"/>
        </w:rPr>
        <w:t>j,t</w:t>
      </w:r>
      <w:r>
        <w:rPr>
          <w:i/>
        </w:rPr>
        <w:t>,c</w:t>
      </w:r>
      <w:r>
        <w:rPr>
          <w:i/>
          <w:sz w:val="16"/>
        </w:rPr>
        <w:t>⋆</w:t>
      </w:r>
      <w:r>
        <w:rPr>
          <w:i/>
          <w:sz w:val="16"/>
        </w:rPr>
        <w:t>t</w:t>
      </w:r>
      <w:proofErr w:type="spellEnd"/>
      <w:r>
        <w:rPr>
          <w:i/>
          <w:sz w:val="16"/>
        </w:rPr>
        <w:t xml:space="preserve"> </w:t>
      </w:r>
      <w:r>
        <w:rPr>
          <w:i/>
        </w:rPr>
        <w:t>,</w:t>
      </w:r>
      <w:proofErr w:type="spellStart"/>
      <w:r>
        <w:rPr>
          <w:i/>
        </w:rPr>
        <w:t>h</w:t>
      </w:r>
      <w:r>
        <w:rPr>
          <w:i/>
          <w:sz w:val="16"/>
        </w:rPr>
        <w:t>⋆</w:t>
      </w:r>
      <w:r>
        <w:rPr>
          <w:i/>
          <w:sz w:val="16"/>
        </w:rPr>
        <w:t>w,t</w:t>
      </w:r>
      <w:r>
        <w:rPr>
          <w:i/>
        </w:rPr>
        <w:t>,h</w:t>
      </w:r>
      <w:r>
        <w:rPr>
          <w:i/>
          <w:sz w:val="16"/>
        </w:rPr>
        <w:t>⋆</w:t>
      </w:r>
      <w:r>
        <w:rPr>
          <w:i/>
          <w:sz w:val="16"/>
        </w:rPr>
        <w:t>m,t</w:t>
      </w:r>
      <w:proofErr w:type="spellEnd"/>
      <w:r>
        <w:t xml:space="preserve">) + </w:t>
      </w:r>
      <w:proofErr w:type="spellStart"/>
      <w:r>
        <w:rPr>
          <w:i/>
        </w:rPr>
        <w:t>ψ</w:t>
      </w:r>
      <w:r>
        <w:rPr>
          <w:i/>
          <w:sz w:val="16"/>
        </w:rPr>
        <w:t>t</w:t>
      </w:r>
      <w:proofErr w:type="spellEnd"/>
    </w:p>
    <w:p w14:paraId="5F54E0AA" w14:textId="77777777" w:rsidR="006B4FC6" w:rsidRDefault="0051217D">
      <w:pPr>
        <w:tabs>
          <w:tab w:val="center" w:pos="6007"/>
          <w:tab w:val="center" w:pos="8636"/>
        </w:tabs>
        <w:spacing w:after="256" w:line="265" w:lineRule="auto"/>
        <w:ind w:left="0" w:firstLine="0"/>
        <w:jc w:val="left"/>
      </w:pPr>
      <w:r>
        <w:rPr>
          <w:rFonts w:ascii="Calibri" w:eastAsia="Calibri" w:hAnsi="Calibri" w:cs="Calibri"/>
          <w:sz w:val="22"/>
        </w:rPr>
        <w:tab/>
      </w:r>
      <w:r>
        <w:t xml:space="preserve">+ </w:t>
      </w:r>
      <w:r>
        <w:rPr>
          <w:i/>
        </w:rPr>
        <w:t>β</w:t>
      </w:r>
      <w:proofErr w:type="gramStart"/>
      <w:r>
        <w:rPr>
          <w:rFonts w:ascii="Calibri" w:eastAsia="Calibri" w:hAnsi="Calibri" w:cs="Calibri"/>
        </w:rPr>
        <w:t>E</w:t>
      </w:r>
      <w:r>
        <w:rPr>
          <w:i/>
          <w:sz w:val="16"/>
        </w:rPr>
        <w:t>t</w:t>
      </w:r>
      <w:r>
        <w:t>[</w:t>
      </w:r>
      <w:proofErr w:type="gramEnd"/>
      <w:r>
        <w:rPr>
          <w:i/>
        </w:rPr>
        <w:t>V</w:t>
      </w:r>
      <w:r>
        <w:rPr>
          <w:i/>
          <w:sz w:val="16"/>
        </w:rPr>
        <w:t>j,tm</w:t>
      </w:r>
      <w:r>
        <w:rPr>
          <w:sz w:val="16"/>
        </w:rPr>
        <w:t>+1</w:t>
      </w:r>
      <w:r>
        <w:t>(</w:t>
      </w:r>
      <w:r>
        <w:rPr>
          <w:i/>
        </w:rPr>
        <w:t>ψ</w:t>
      </w:r>
      <w:r>
        <w:rPr>
          <w:i/>
          <w:sz w:val="16"/>
        </w:rPr>
        <w:t>t</w:t>
      </w:r>
      <w:r>
        <w:rPr>
          <w:sz w:val="16"/>
        </w:rPr>
        <w:t>+1</w:t>
      </w:r>
      <w:r>
        <w:rPr>
          <w:i/>
        </w:rPr>
        <w:t>,A</w:t>
      </w:r>
      <w:r>
        <w:rPr>
          <w:i/>
          <w:sz w:val="16"/>
        </w:rPr>
        <w:t>t</w:t>
      </w:r>
      <w:r>
        <w:rPr>
          <w:i/>
        </w:rPr>
        <w:t>,µ</w:t>
      </w:r>
      <w:r>
        <w:rPr>
          <w:i/>
          <w:sz w:val="16"/>
        </w:rPr>
        <w:t>t</w:t>
      </w:r>
      <w:r>
        <w:rPr>
          <w:i/>
        </w:rPr>
        <w:t>,K</w:t>
      </w:r>
      <w:r>
        <w:rPr>
          <w:i/>
          <w:sz w:val="16"/>
        </w:rPr>
        <w:t>w,t</w:t>
      </w:r>
      <w:r>
        <w:rPr>
          <w:i/>
        </w:rPr>
        <w:t>,K</w:t>
      </w:r>
      <w:r>
        <w:rPr>
          <w:i/>
          <w:sz w:val="16"/>
        </w:rPr>
        <w:t>m,t</w:t>
      </w:r>
      <w:r>
        <w:rPr>
          <w:i/>
        </w:rPr>
        <w:t>,n</w:t>
      </w:r>
      <w:r>
        <w:rPr>
          <w:i/>
          <w:sz w:val="16"/>
        </w:rPr>
        <w:t>t</w:t>
      </w:r>
      <w:r>
        <w:t>)]</w:t>
      </w:r>
      <w:r>
        <w:tab/>
        <w:t>(15)</w:t>
      </w:r>
    </w:p>
    <w:p w14:paraId="563BC5CE" w14:textId="77777777" w:rsidR="006B4FC6" w:rsidRDefault="0051217D">
      <w:pPr>
        <w:tabs>
          <w:tab w:val="center" w:pos="3880"/>
          <w:tab w:val="center" w:pos="5548"/>
        </w:tabs>
        <w:spacing w:after="231" w:line="259" w:lineRule="auto"/>
        <w:ind w:left="0" w:firstLine="0"/>
        <w:jc w:val="left"/>
      </w:pPr>
      <w:r>
        <w:rPr>
          <w:rFonts w:ascii="Calibri" w:eastAsia="Calibri" w:hAnsi="Calibri" w:cs="Calibri"/>
          <w:sz w:val="22"/>
        </w:rPr>
        <w:tab/>
      </w:r>
      <w:proofErr w:type="spellStart"/>
      <w:r>
        <w:t>s.t.</w:t>
      </w:r>
      <w:proofErr w:type="spellEnd"/>
      <w:r>
        <w:tab/>
      </w:r>
      <w:r>
        <w:rPr>
          <w:i/>
        </w:rPr>
        <w:t>A</w:t>
      </w:r>
      <w:r>
        <w:rPr>
          <w:i/>
          <w:sz w:val="16"/>
        </w:rPr>
        <w:t xml:space="preserve">t </w:t>
      </w:r>
      <w:r>
        <w:t xml:space="preserve">= </w:t>
      </w:r>
      <w:r>
        <w:rPr>
          <w:i/>
        </w:rPr>
        <w:t>RA</w:t>
      </w:r>
      <w:r>
        <w:rPr>
          <w:i/>
          <w:sz w:val="16"/>
        </w:rPr>
        <w:t>t</w:t>
      </w:r>
      <w:r>
        <w:rPr>
          <w:sz w:val="16"/>
        </w:rPr>
        <w:t>−</w:t>
      </w:r>
      <w:r>
        <w:rPr>
          <w:sz w:val="16"/>
        </w:rPr>
        <w:t xml:space="preserve">1 </w:t>
      </w:r>
      <w:r>
        <w:t xml:space="preserve">+ </w:t>
      </w:r>
      <w:proofErr w:type="spellStart"/>
      <w:proofErr w:type="gramStart"/>
      <w:r>
        <w:rPr>
          <w:i/>
        </w:rPr>
        <w:t>Y</w:t>
      </w:r>
      <w:r>
        <w:rPr>
          <w:i/>
          <w:sz w:val="16"/>
        </w:rPr>
        <w:t>w,t</w:t>
      </w:r>
      <w:proofErr w:type="spellEnd"/>
      <w:proofErr w:type="gramEnd"/>
      <w:r>
        <w:rPr>
          <w:i/>
          <w:sz w:val="16"/>
        </w:rPr>
        <w:t xml:space="preserve"> </w:t>
      </w:r>
      <w:r>
        <w:t xml:space="preserve">+ </w:t>
      </w:r>
      <w:proofErr w:type="spellStart"/>
      <w:r>
        <w:rPr>
          <w:i/>
        </w:rPr>
        <w:t>Y</w:t>
      </w:r>
      <w:r>
        <w:rPr>
          <w:i/>
          <w:sz w:val="16"/>
        </w:rPr>
        <w:t>m,t</w:t>
      </w:r>
      <w:proofErr w:type="spellEnd"/>
    </w:p>
    <w:p w14:paraId="4E2046D4" w14:textId="77777777" w:rsidR="006B4FC6" w:rsidRDefault="0051217D">
      <w:pPr>
        <w:tabs>
          <w:tab w:val="center" w:pos="5520"/>
          <w:tab w:val="center" w:pos="8636"/>
        </w:tabs>
        <w:spacing w:after="287" w:line="265" w:lineRule="auto"/>
        <w:ind w:left="0" w:firstLine="0"/>
        <w:jc w:val="left"/>
      </w:pPr>
      <w:r>
        <w:rPr>
          <w:rFonts w:ascii="Calibri" w:eastAsia="Calibri" w:hAnsi="Calibri" w:cs="Calibri"/>
          <w:sz w:val="22"/>
        </w:rPr>
        <w:tab/>
      </w:r>
      <w:r>
        <w:t>−</w:t>
      </w:r>
      <w:r>
        <w:t xml:space="preserve"> </w:t>
      </w:r>
      <w:r>
        <w:t>(</w:t>
      </w:r>
      <w:proofErr w:type="spellStart"/>
      <w:r>
        <w:rPr>
          <w:i/>
        </w:rPr>
        <w:t>c</w:t>
      </w:r>
      <w:r>
        <w:rPr>
          <w:i/>
          <w:sz w:val="16"/>
        </w:rPr>
        <w:t>⋆</w:t>
      </w:r>
      <w:r>
        <w:rPr>
          <w:i/>
          <w:sz w:val="16"/>
        </w:rPr>
        <w:t>t</w:t>
      </w:r>
      <w:proofErr w:type="spellEnd"/>
      <w:r>
        <w:rPr>
          <w:i/>
          <w:sz w:val="16"/>
        </w:rPr>
        <w:t xml:space="preserve"> </w:t>
      </w:r>
      <w:r>
        <w:t xml:space="preserve">+ </w:t>
      </w:r>
      <w:proofErr w:type="spellStart"/>
      <w:r>
        <w:rPr>
          <w:i/>
        </w:rPr>
        <w:t>c</w:t>
      </w:r>
      <w:r>
        <w:rPr>
          <w:i/>
          <w:sz w:val="16"/>
        </w:rPr>
        <w:t>⋆</w:t>
      </w:r>
      <w:proofErr w:type="gramStart"/>
      <w:r>
        <w:rPr>
          <w:i/>
          <w:sz w:val="16"/>
        </w:rPr>
        <w:t>w,t</w:t>
      </w:r>
      <w:proofErr w:type="spellEnd"/>
      <w:proofErr w:type="gramEnd"/>
      <w:r>
        <w:rPr>
          <w:i/>
          <w:sz w:val="16"/>
        </w:rPr>
        <w:t xml:space="preserve"> </w:t>
      </w:r>
      <w:r>
        <w:t xml:space="preserve">+ </w:t>
      </w:r>
      <w:proofErr w:type="spellStart"/>
      <w:r>
        <w:rPr>
          <w:i/>
        </w:rPr>
        <w:t>c</w:t>
      </w:r>
      <w:r>
        <w:rPr>
          <w:i/>
          <w:sz w:val="16"/>
        </w:rPr>
        <w:t>⋆</w:t>
      </w:r>
      <w:r>
        <w:rPr>
          <w:i/>
          <w:sz w:val="16"/>
        </w:rPr>
        <w:t>m,t</w:t>
      </w:r>
      <w:proofErr w:type="spellEnd"/>
      <w:r>
        <w:t xml:space="preserve">) + </w:t>
      </w:r>
      <w:proofErr w:type="spellStart"/>
      <w:r>
        <w:rPr>
          <w:i/>
        </w:rPr>
        <w:t>C</w:t>
      </w:r>
      <w:r>
        <w:rPr>
          <w:i/>
          <w:sz w:val="16"/>
        </w:rPr>
        <w:t>couple</w:t>
      </w:r>
      <w:proofErr w:type="spellEnd"/>
      <w:r>
        <w:t>(</w:t>
      </w:r>
      <w:proofErr w:type="spellStart"/>
      <w:r>
        <w:rPr>
          <w:i/>
        </w:rPr>
        <w:t>n</w:t>
      </w:r>
      <w:r>
        <w:rPr>
          <w:i/>
          <w:sz w:val="16"/>
        </w:rPr>
        <w:t>t</w:t>
      </w:r>
      <w:r>
        <w:rPr>
          <w:i/>
        </w:rPr>
        <w:t>,h</w:t>
      </w:r>
      <w:r>
        <w:rPr>
          <w:i/>
          <w:sz w:val="16"/>
        </w:rPr>
        <w:t>m,t</w:t>
      </w:r>
      <w:r>
        <w:rPr>
          <w:i/>
        </w:rPr>
        <w:t>,h</w:t>
      </w:r>
      <w:r>
        <w:rPr>
          <w:i/>
          <w:sz w:val="16"/>
        </w:rPr>
        <w:t>w,t</w:t>
      </w:r>
      <w:r>
        <w:rPr>
          <w:i/>
        </w:rPr>
        <w:t>,w</w:t>
      </w:r>
      <w:r>
        <w:rPr>
          <w:i/>
          <w:sz w:val="16"/>
        </w:rPr>
        <w:t>w,t</w:t>
      </w:r>
      <w:r>
        <w:rPr>
          <w:i/>
        </w:rPr>
        <w:t>,w</w:t>
      </w:r>
      <w:r>
        <w:rPr>
          <w:i/>
          <w:sz w:val="16"/>
        </w:rPr>
        <w:t>m,t</w:t>
      </w:r>
      <w:proofErr w:type="spellEnd"/>
      <w:r>
        <w:t>)</w:t>
      </w:r>
      <w:r>
        <w:tab/>
        <w:t>(16)</w:t>
      </w:r>
    </w:p>
    <w:p w14:paraId="474A086F" w14:textId="77777777" w:rsidR="006B4FC6" w:rsidRDefault="0051217D">
      <w:pPr>
        <w:tabs>
          <w:tab w:val="center" w:pos="4904"/>
          <w:tab w:val="center" w:pos="8636"/>
        </w:tabs>
        <w:spacing w:after="296" w:line="265" w:lineRule="auto"/>
        <w:ind w:left="0" w:firstLine="0"/>
        <w:jc w:val="left"/>
      </w:pPr>
      <w:r>
        <w:rPr>
          <w:rFonts w:ascii="Calibri" w:eastAsia="Calibri" w:hAnsi="Calibri" w:cs="Calibri"/>
          <w:sz w:val="22"/>
        </w:rPr>
        <w:tab/>
      </w:r>
      <w:r>
        <w:rPr>
          <w:i/>
        </w:rPr>
        <w:t>ψ</w:t>
      </w:r>
      <w:r>
        <w:rPr>
          <w:i/>
          <w:sz w:val="16"/>
        </w:rPr>
        <w:t>t</w:t>
      </w:r>
      <w:r>
        <w:rPr>
          <w:sz w:val="16"/>
        </w:rPr>
        <w:t xml:space="preserve">+1 </w:t>
      </w:r>
      <w:r>
        <w:t xml:space="preserve">= </w:t>
      </w:r>
      <w:proofErr w:type="spellStart"/>
      <w:r>
        <w:rPr>
          <w:i/>
        </w:rPr>
        <w:t>ψ</w:t>
      </w:r>
      <w:r>
        <w:rPr>
          <w:i/>
          <w:sz w:val="16"/>
        </w:rPr>
        <w:t>t</w:t>
      </w:r>
      <w:proofErr w:type="spellEnd"/>
      <w:r>
        <w:rPr>
          <w:i/>
          <w:sz w:val="16"/>
        </w:rPr>
        <w:t xml:space="preserve"> </w:t>
      </w:r>
      <w:r>
        <w:t xml:space="preserve">+ </w:t>
      </w:r>
      <w:r>
        <w:rPr>
          <w:i/>
        </w:rPr>
        <w:t>ε</w:t>
      </w:r>
      <w:r>
        <w:rPr>
          <w:i/>
          <w:sz w:val="16"/>
        </w:rPr>
        <w:t>t</w:t>
      </w:r>
      <w:r>
        <w:rPr>
          <w:sz w:val="16"/>
        </w:rPr>
        <w:t>+1</w:t>
      </w:r>
      <w:r>
        <w:rPr>
          <w:sz w:val="16"/>
        </w:rPr>
        <w:tab/>
      </w:r>
      <w:r>
        <w:t>(17)</w:t>
      </w:r>
    </w:p>
    <w:p w14:paraId="7E3266DB" w14:textId="77777777" w:rsidR="006B4FC6" w:rsidRDefault="0051217D">
      <w:pPr>
        <w:spacing w:after="346"/>
        <w:ind w:left="-15" w:right="1516" w:firstLine="351"/>
      </w:pPr>
      <w:r>
        <w:t>Solving this problem follows a two-step process, which is laid out in the following sections.</w:t>
      </w:r>
    </w:p>
    <w:p w14:paraId="6EA0EC45" w14:textId="77777777" w:rsidR="006B4FC6" w:rsidRDefault="0051217D">
      <w:pPr>
        <w:pStyle w:val="Heading2"/>
        <w:spacing w:after="305"/>
        <w:ind w:left="598" w:hanging="613"/>
      </w:pPr>
      <w:bookmarkStart w:id="9" w:name="_Toc30870"/>
      <w:r>
        <w:t>Solving the unconstrained problem of couples</w:t>
      </w:r>
      <w:bookmarkEnd w:id="9"/>
    </w:p>
    <w:p w14:paraId="2E951811" w14:textId="77777777" w:rsidR="006B4FC6" w:rsidRDefault="0051217D">
      <w:pPr>
        <w:spacing w:after="34"/>
        <w:ind w:left="-5" w:right="1516"/>
      </w:pPr>
      <w:r>
        <w:t>The optimal value of (</w:t>
      </w:r>
      <w:proofErr w:type="spellStart"/>
      <w:r>
        <w:rPr>
          <w:i/>
        </w:rPr>
        <w:t>c</w:t>
      </w:r>
      <w:r>
        <w:rPr>
          <w:i/>
          <w:vertAlign w:val="superscript"/>
        </w:rPr>
        <w:t>⋆</w:t>
      </w:r>
      <w:proofErr w:type="gramStart"/>
      <w:r>
        <w:rPr>
          <w:i/>
          <w:vertAlign w:val="subscript"/>
        </w:rPr>
        <w:t>w,t</w:t>
      </w:r>
      <w:proofErr w:type="gramEnd"/>
      <w:r>
        <w:rPr>
          <w:i/>
        </w:rPr>
        <w:t>,c</w:t>
      </w:r>
      <w:r>
        <w:rPr>
          <w:i/>
          <w:vertAlign w:val="superscript"/>
        </w:rPr>
        <w:t>⋆</w:t>
      </w:r>
      <w:r>
        <w:rPr>
          <w:i/>
          <w:vertAlign w:val="subscript"/>
        </w:rPr>
        <w:t>m,t</w:t>
      </w:r>
      <w:r>
        <w:rPr>
          <w:i/>
        </w:rPr>
        <w:t>,c</w:t>
      </w:r>
      <w:r>
        <w:rPr>
          <w:i/>
          <w:vertAlign w:val="superscript"/>
        </w:rPr>
        <w:t>⋆</w:t>
      </w:r>
      <w:r>
        <w:rPr>
          <w:i/>
          <w:vertAlign w:val="subscript"/>
        </w:rPr>
        <w:t>t</w:t>
      </w:r>
      <w:proofErr w:type="spellEnd"/>
      <w:r>
        <w:rPr>
          <w:i/>
          <w:vertAlign w:val="subscript"/>
        </w:rPr>
        <w:t xml:space="preserve"> </w:t>
      </w:r>
      <w:r>
        <w:rPr>
          <w:i/>
        </w:rPr>
        <w:t>,</w:t>
      </w:r>
      <w:proofErr w:type="spellStart"/>
      <w:r>
        <w:rPr>
          <w:i/>
        </w:rPr>
        <w:t>h</w:t>
      </w:r>
      <w:r>
        <w:rPr>
          <w:i/>
          <w:vertAlign w:val="superscript"/>
        </w:rPr>
        <w:t>⋆</w:t>
      </w:r>
      <w:r>
        <w:rPr>
          <w:i/>
          <w:vertAlign w:val="subscript"/>
        </w:rPr>
        <w:t>m</w:t>
      </w:r>
      <w:r>
        <w:rPr>
          <w:i/>
          <w:vertAlign w:val="subscript"/>
        </w:rPr>
        <w:t>,t</w:t>
      </w:r>
      <w:r>
        <w:rPr>
          <w:i/>
        </w:rPr>
        <w:t>,h</w:t>
      </w:r>
      <w:r>
        <w:rPr>
          <w:i/>
          <w:vertAlign w:val="superscript"/>
        </w:rPr>
        <w:t>⋆</w:t>
      </w:r>
      <w:r>
        <w:rPr>
          <w:i/>
          <w:vertAlign w:val="subscript"/>
        </w:rPr>
        <w:t>w,t</w:t>
      </w:r>
      <w:proofErr w:type="spellEnd"/>
      <w:r>
        <w:t xml:space="preserve">) and </w:t>
      </w:r>
      <w:r>
        <w:rPr>
          <w:i/>
        </w:rPr>
        <w:t>µ</w:t>
      </w:r>
      <w:r>
        <w:rPr>
          <w:i/>
          <w:vertAlign w:val="subscript"/>
        </w:rPr>
        <w:t>t</w:t>
      </w:r>
      <w:r>
        <w:t xml:space="preserve">, along with </w:t>
      </w:r>
      <w:r>
        <w:rPr>
          <w:i/>
          <w:sz w:val="37"/>
          <w:vertAlign w:val="superscript"/>
        </w:rPr>
        <w:t>D</w:t>
      </w:r>
      <w:r>
        <w:rPr>
          <w:i/>
          <w:vertAlign w:val="subscript"/>
        </w:rPr>
        <w:t>t</w:t>
      </w:r>
      <w:r>
        <w:rPr>
          <w:i/>
          <w:vertAlign w:val="superscript"/>
        </w:rPr>
        <w:t>⋆</w:t>
      </w:r>
      <w:r>
        <w:t>, are found in the following way.</w:t>
      </w:r>
    </w:p>
    <w:p w14:paraId="28C9078A" w14:textId="77777777" w:rsidR="006B4FC6" w:rsidRDefault="0051217D">
      <w:pPr>
        <w:spacing w:after="727"/>
        <w:ind w:left="-15" w:right="1516" w:firstLine="351"/>
      </w:pPr>
      <w:r>
        <w:t xml:space="preserve">Let the solution to a problem of couples, under the condition that they remain together taking the bargaining power, </w:t>
      </w:r>
      <w:r>
        <w:rPr>
          <w:i/>
        </w:rPr>
        <w:t>µ</w:t>
      </w:r>
      <w:r>
        <w:t>, as given be</w:t>
      </w:r>
    </w:p>
    <w:p w14:paraId="4332F7EC" w14:textId="77777777" w:rsidR="006B4FC6" w:rsidRDefault="0051217D">
      <w:pPr>
        <w:spacing w:after="292" w:line="265" w:lineRule="auto"/>
        <w:ind w:left="181"/>
        <w:jc w:val="left"/>
      </w:pPr>
      <w:proofErr w:type="spellStart"/>
      <w:proofErr w:type="gramStart"/>
      <w:r>
        <w:rPr>
          <w:i/>
        </w:rPr>
        <w:t>V</w:t>
      </w:r>
      <w:r>
        <w:rPr>
          <w:i/>
          <w:sz w:val="16"/>
        </w:rPr>
        <w:t>j,tm</w:t>
      </w:r>
      <w:proofErr w:type="gramEnd"/>
      <w:r>
        <w:rPr>
          <w:sz w:val="16"/>
        </w:rPr>
        <w:t>→</w:t>
      </w:r>
      <w:r>
        <w:rPr>
          <w:i/>
          <w:sz w:val="16"/>
        </w:rPr>
        <w:t>m</w:t>
      </w:r>
      <w:proofErr w:type="spellEnd"/>
      <w:r>
        <w:t>(</w:t>
      </w:r>
      <w:r>
        <w:rPr>
          <w:i/>
        </w:rPr>
        <w:t>ψ</w:t>
      </w:r>
      <w:r>
        <w:rPr>
          <w:i/>
          <w:sz w:val="16"/>
        </w:rPr>
        <w:t>t</w:t>
      </w:r>
      <w:r>
        <w:rPr>
          <w:i/>
        </w:rPr>
        <w:t>,A</w:t>
      </w:r>
      <w:r>
        <w:rPr>
          <w:i/>
          <w:sz w:val="16"/>
        </w:rPr>
        <w:t>t</w:t>
      </w:r>
      <w:r>
        <w:rPr>
          <w:sz w:val="16"/>
        </w:rPr>
        <w:t>−</w:t>
      </w:r>
      <w:r>
        <w:rPr>
          <w:sz w:val="16"/>
        </w:rPr>
        <w:t>1</w:t>
      </w:r>
      <w:r>
        <w:rPr>
          <w:i/>
        </w:rPr>
        <w:t>,µ</w:t>
      </w:r>
      <w:r>
        <w:rPr>
          <w:i/>
          <w:sz w:val="16"/>
        </w:rPr>
        <w:t>t</w:t>
      </w:r>
      <w:r>
        <w:rPr>
          <w:sz w:val="16"/>
        </w:rPr>
        <w:t>−</w:t>
      </w:r>
      <w:r>
        <w:rPr>
          <w:sz w:val="16"/>
        </w:rPr>
        <w:t>1</w:t>
      </w:r>
      <w:r>
        <w:rPr>
          <w:i/>
        </w:rPr>
        <w:t>,n</w:t>
      </w:r>
      <w:r>
        <w:rPr>
          <w:i/>
          <w:sz w:val="16"/>
        </w:rPr>
        <w:t>t</w:t>
      </w:r>
      <w:r>
        <w:rPr>
          <w:sz w:val="16"/>
        </w:rPr>
        <w:t>−</w:t>
      </w:r>
      <w:r>
        <w:rPr>
          <w:sz w:val="16"/>
        </w:rPr>
        <w:t>1</w:t>
      </w:r>
      <w:r>
        <w:rPr>
          <w:i/>
        </w:rPr>
        <w:t>,K</w:t>
      </w:r>
      <w:r>
        <w:rPr>
          <w:i/>
          <w:sz w:val="16"/>
        </w:rPr>
        <w:t>w,t</w:t>
      </w:r>
      <w:r>
        <w:rPr>
          <w:sz w:val="16"/>
        </w:rPr>
        <w:t>−</w:t>
      </w:r>
      <w:r>
        <w:rPr>
          <w:sz w:val="16"/>
        </w:rPr>
        <w:t>1</w:t>
      </w:r>
      <w:r>
        <w:rPr>
          <w:i/>
        </w:rPr>
        <w:t>,K</w:t>
      </w:r>
      <w:r>
        <w:rPr>
          <w:i/>
          <w:sz w:val="16"/>
        </w:rPr>
        <w:t>m,t</w:t>
      </w:r>
      <w:r>
        <w:rPr>
          <w:sz w:val="16"/>
        </w:rPr>
        <w:t>−</w:t>
      </w:r>
      <w:r>
        <w:rPr>
          <w:sz w:val="16"/>
        </w:rPr>
        <w:t>1</w:t>
      </w:r>
      <w:r>
        <w:t>) =</w:t>
      </w:r>
      <w:proofErr w:type="spellStart"/>
      <w:r>
        <w:rPr>
          <w:i/>
        </w:rPr>
        <w:t>U</w:t>
      </w:r>
      <w:r>
        <w:rPr>
          <w:i/>
          <w:sz w:val="16"/>
        </w:rPr>
        <w:t>j</w:t>
      </w:r>
      <w:proofErr w:type="spellEnd"/>
      <w:r>
        <w:t>(</w:t>
      </w:r>
      <w:proofErr w:type="spellStart"/>
      <w:r>
        <w:rPr>
          <w:i/>
        </w:rPr>
        <w:t>c</w:t>
      </w:r>
      <w:r>
        <w:rPr>
          <w:i/>
          <w:sz w:val="16"/>
        </w:rPr>
        <w:t>⋆</w:t>
      </w:r>
      <w:r>
        <w:rPr>
          <w:i/>
          <w:sz w:val="16"/>
        </w:rPr>
        <w:t>j,t</w:t>
      </w:r>
      <w:r>
        <w:rPr>
          <w:i/>
        </w:rPr>
        <w:t>,c</w:t>
      </w:r>
      <w:r>
        <w:rPr>
          <w:i/>
          <w:sz w:val="16"/>
        </w:rPr>
        <w:t>⋆</w:t>
      </w:r>
      <w:r>
        <w:rPr>
          <w:i/>
          <w:sz w:val="16"/>
        </w:rPr>
        <w:t>t</w:t>
      </w:r>
      <w:proofErr w:type="spellEnd"/>
      <w:r>
        <w:rPr>
          <w:i/>
          <w:sz w:val="16"/>
        </w:rPr>
        <w:t xml:space="preserve"> </w:t>
      </w:r>
      <w:r>
        <w:rPr>
          <w:i/>
        </w:rPr>
        <w:t>,</w:t>
      </w:r>
      <w:proofErr w:type="spellStart"/>
      <w:r>
        <w:rPr>
          <w:i/>
        </w:rPr>
        <w:t>h</w:t>
      </w:r>
      <w:r>
        <w:rPr>
          <w:i/>
          <w:sz w:val="16"/>
        </w:rPr>
        <w:t>⋆</w:t>
      </w:r>
      <w:r>
        <w:rPr>
          <w:i/>
          <w:sz w:val="16"/>
        </w:rPr>
        <w:t>w,t</w:t>
      </w:r>
      <w:r>
        <w:rPr>
          <w:i/>
        </w:rPr>
        <w:t>,h</w:t>
      </w:r>
      <w:r>
        <w:rPr>
          <w:i/>
          <w:sz w:val="16"/>
        </w:rPr>
        <w:t>⋆</w:t>
      </w:r>
      <w:r>
        <w:rPr>
          <w:i/>
          <w:sz w:val="16"/>
        </w:rPr>
        <w:t>m,t</w:t>
      </w:r>
      <w:r>
        <w:rPr>
          <w:i/>
        </w:rPr>
        <w:t>,n</w:t>
      </w:r>
      <w:r>
        <w:rPr>
          <w:i/>
          <w:sz w:val="16"/>
        </w:rPr>
        <w:t>t</w:t>
      </w:r>
      <w:proofErr w:type="spellEnd"/>
      <w:r>
        <w:t xml:space="preserve">) + </w:t>
      </w:r>
      <w:proofErr w:type="spellStart"/>
      <w:r>
        <w:rPr>
          <w:i/>
        </w:rPr>
        <w:t>ψ</w:t>
      </w:r>
      <w:r>
        <w:rPr>
          <w:i/>
          <w:sz w:val="16"/>
        </w:rPr>
        <w:t>t</w:t>
      </w:r>
      <w:proofErr w:type="spellEnd"/>
    </w:p>
    <w:p w14:paraId="155DFAD2" w14:textId="77777777" w:rsidR="006B4FC6" w:rsidRDefault="0051217D">
      <w:pPr>
        <w:tabs>
          <w:tab w:val="center" w:pos="6184"/>
          <w:tab w:val="center" w:pos="8636"/>
        </w:tabs>
        <w:spacing w:after="256" w:line="265" w:lineRule="auto"/>
        <w:ind w:left="0" w:firstLine="0"/>
        <w:jc w:val="left"/>
      </w:pPr>
      <w:r>
        <w:rPr>
          <w:rFonts w:ascii="Calibri" w:eastAsia="Calibri" w:hAnsi="Calibri" w:cs="Calibri"/>
          <w:sz w:val="22"/>
        </w:rPr>
        <w:tab/>
      </w:r>
      <w:r>
        <w:t xml:space="preserve">+ </w:t>
      </w:r>
      <w:r>
        <w:rPr>
          <w:i/>
        </w:rPr>
        <w:t>β</w:t>
      </w:r>
      <w:proofErr w:type="gramStart"/>
      <w:r>
        <w:rPr>
          <w:rFonts w:ascii="Calibri" w:eastAsia="Calibri" w:hAnsi="Calibri" w:cs="Calibri"/>
        </w:rPr>
        <w:t>E</w:t>
      </w:r>
      <w:r>
        <w:rPr>
          <w:i/>
          <w:sz w:val="16"/>
        </w:rPr>
        <w:t>t</w:t>
      </w:r>
      <w:r>
        <w:t>[</w:t>
      </w:r>
      <w:proofErr w:type="gramEnd"/>
      <w:r>
        <w:rPr>
          <w:i/>
        </w:rPr>
        <w:t>V</w:t>
      </w:r>
      <w:r>
        <w:rPr>
          <w:i/>
          <w:sz w:val="16"/>
        </w:rPr>
        <w:t>j,tm</w:t>
      </w:r>
      <w:r>
        <w:rPr>
          <w:sz w:val="16"/>
        </w:rPr>
        <w:t>+1</w:t>
      </w:r>
      <w:r>
        <w:t>(</w:t>
      </w:r>
      <w:r>
        <w:rPr>
          <w:i/>
        </w:rPr>
        <w:t>ψ</w:t>
      </w:r>
      <w:r>
        <w:rPr>
          <w:i/>
          <w:sz w:val="16"/>
        </w:rPr>
        <w:t>t</w:t>
      </w:r>
      <w:r>
        <w:rPr>
          <w:sz w:val="16"/>
        </w:rPr>
        <w:t>+1</w:t>
      </w:r>
      <w:r>
        <w:rPr>
          <w:i/>
        </w:rPr>
        <w:t>,A</w:t>
      </w:r>
      <w:r>
        <w:rPr>
          <w:i/>
          <w:sz w:val="16"/>
        </w:rPr>
        <w:t>t</w:t>
      </w:r>
      <w:r>
        <w:rPr>
          <w:i/>
        </w:rPr>
        <w:t>,µ</w:t>
      </w:r>
      <w:r>
        <w:rPr>
          <w:i/>
          <w:sz w:val="16"/>
        </w:rPr>
        <w:t>t</w:t>
      </w:r>
      <w:r>
        <w:rPr>
          <w:i/>
        </w:rPr>
        <w:t>,K</w:t>
      </w:r>
      <w:r>
        <w:rPr>
          <w:i/>
          <w:sz w:val="16"/>
        </w:rPr>
        <w:t>w,t</w:t>
      </w:r>
      <w:r>
        <w:rPr>
          <w:i/>
        </w:rPr>
        <w:t>,K</w:t>
      </w:r>
      <w:r>
        <w:rPr>
          <w:i/>
          <w:sz w:val="16"/>
        </w:rPr>
        <w:t>m,t</w:t>
      </w:r>
      <w:r>
        <w:rPr>
          <w:i/>
        </w:rPr>
        <w:t>,n</w:t>
      </w:r>
      <w:r>
        <w:rPr>
          <w:i/>
          <w:sz w:val="16"/>
        </w:rPr>
        <w:t>t</w:t>
      </w:r>
      <w:r>
        <w:t>)]</w:t>
      </w:r>
      <w:r>
        <w:tab/>
        <w:t>(18)</w:t>
      </w:r>
    </w:p>
    <w:p w14:paraId="516BF4D9" w14:textId="77777777" w:rsidR="006B4FC6" w:rsidRDefault="0051217D">
      <w:pPr>
        <w:tabs>
          <w:tab w:val="center" w:pos="3808"/>
          <w:tab w:val="center" w:pos="6428"/>
        </w:tabs>
        <w:spacing w:after="256" w:line="265" w:lineRule="auto"/>
        <w:ind w:left="0" w:firstLine="0"/>
        <w:jc w:val="left"/>
      </w:pPr>
      <w:r>
        <w:rPr>
          <w:rFonts w:ascii="Calibri" w:eastAsia="Calibri" w:hAnsi="Calibri" w:cs="Calibri"/>
          <w:sz w:val="22"/>
        </w:rPr>
        <w:tab/>
      </w:r>
      <w:proofErr w:type="spellStart"/>
      <w:r>
        <w:t>s.t.</w:t>
      </w:r>
      <w:proofErr w:type="spellEnd"/>
      <w:r>
        <w:tab/>
      </w:r>
      <w:r>
        <w:rPr>
          <w:i/>
        </w:rPr>
        <w:t>A</w:t>
      </w:r>
      <w:r>
        <w:rPr>
          <w:i/>
          <w:sz w:val="16"/>
        </w:rPr>
        <w:t xml:space="preserve">t </w:t>
      </w:r>
      <w:r>
        <w:t>=</w:t>
      </w:r>
      <w:r>
        <w:rPr>
          <w:i/>
        </w:rPr>
        <w:t>RA</w:t>
      </w:r>
      <w:r>
        <w:rPr>
          <w:i/>
          <w:sz w:val="16"/>
        </w:rPr>
        <w:t>t</w:t>
      </w:r>
      <w:r>
        <w:rPr>
          <w:sz w:val="16"/>
        </w:rPr>
        <w:t>−</w:t>
      </w:r>
      <w:r>
        <w:rPr>
          <w:sz w:val="16"/>
        </w:rPr>
        <w:t xml:space="preserve">1 </w:t>
      </w:r>
      <w:r>
        <w:t xml:space="preserve">+ </w:t>
      </w:r>
      <w:proofErr w:type="spellStart"/>
      <w:proofErr w:type="gramStart"/>
      <w:r>
        <w:rPr>
          <w:i/>
        </w:rPr>
        <w:t>Y</w:t>
      </w:r>
      <w:r>
        <w:rPr>
          <w:i/>
          <w:sz w:val="16"/>
        </w:rPr>
        <w:t>w,t</w:t>
      </w:r>
      <w:proofErr w:type="spellEnd"/>
      <w:proofErr w:type="gramEnd"/>
      <w:r>
        <w:rPr>
          <w:i/>
          <w:sz w:val="16"/>
        </w:rPr>
        <w:t xml:space="preserve"> </w:t>
      </w:r>
      <w:r>
        <w:t xml:space="preserve">+ </w:t>
      </w:r>
      <w:proofErr w:type="spellStart"/>
      <w:r>
        <w:rPr>
          <w:i/>
        </w:rPr>
        <w:t>Y</w:t>
      </w:r>
      <w:r>
        <w:rPr>
          <w:i/>
          <w:sz w:val="16"/>
        </w:rPr>
        <w:t>m,t</w:t>
      </w:r>
      <w:proofErr w:type="spellEnd"/>
      <w:r>
        <w:rPr>
          <w:i/>
          <w:sz w:val="16"/>
        </w:rPr>
        <w:t xml:space="preserve"> </w:t>
      </w:r>
      <w:r>
        <w:t>−</w:t>
      </w:r>
      <w:r>
        <w:t xml:space="preserve"> </w:t>
      </w:r>
      <w:r>
        <w:t>(</w:t>
      </w:r>
      <w:proofErr w:type="spellStart"/>
      <w:r>
        <w:rPr>
          <w:i/>
        </w:rPr>
        <w:t>c</w:t>
      </w:r>
      <w:r>
        <w:rPr>
          <w:i/>
          <w:sz w:val="16"/>
        </w:rPr>
        <w:t>⋆</w:t>
      </w:r>
      <w:r>
        <w:rPr>
          <w:i/>
          <w:sz w:val="16"/>
        </w:rPr>
        <w:t>t</w:t>
      </w:r>
      <w:proofErr w:type="spellEnd"/>
      <w:r>
        <w:rPr>
          <w:i/>
          <w:sz w:val="16"/>
        </w:rPr>
        <w:t xml:space="preserve"> </w:t>
      </w:r>
      <w:r>
        <w:t xml:space="preserve">+ </w:t>
      </w:r>
      <w:proofErr w:type="spellStart"/>
      <w:r>
        <w:rPr>
          <w:i/>
        </w:rPr>
        <w:t>c</w:t>
      </w:r>
      <w:r>
        <w:rPr>
          <w:i/>
          <w:sz w:val="16"/>
        </w:rPr>
        <w:t>⋆</w:t>
      </w:r>
      <w:r>
        <w:rPr>
          <w:i/>
          <w:sz w:val="16"/>
        </w:rPr>
        <w:t>w,t</w:t>
      </w:r>
      <w:proofErr w:type="spellEnd"/>
      <w:r>
        <w:rPr>
          <w:i/>
          <w:sz w:val="16"/>
        </w:rPr>
        <w:t xml:space="preserve"> </w:t>
      </w:r>
      <w:r>
        <w:t xml:space="preserve">+ </w:t>
      </w:r>
      <w:proofErr w:type="spellStart"/>
      <w:r>
        <w:rPr>
          <w:i/>
        </w:rPr>
        <w:t>c</w:t>
      </w:r>
      <w:r>
        <w:rPr>
          <w:i/>
          <w:sz w:val="16"/>
        </w:rPr>
        <w:t>⋆</w:t>
      </w:r>
      <w:r>
        <w:rPr>
          <w:i/>
          <w:sz w:val="16"/>
        </w:rPr>
        <w:t>m,t</w:t>
      </w:r>
      <w:proofErr w:type="spellEnd"/>
      <w:r>
        <w:t>)</w:t>
      </w:r>
    </w:p>
    <w:p w14:paraId="359D0944" w14:textId="77777777" w:rsidR="006B4FC6" w:rsidRDefault="0051217D">
      <w:pPr>
        <w:tabs>
          <w:tab w:val="center" w:pos="6417"/>
          <w:tab w:val="center" w:pos="8636"/>
        </w:tabs>
        <w:spacing w:after="256" w:line="265" w:lineRule="auto"/>
        <w:ind w:left="0" w:firstLine="0"/>
        <w:jc w:val="left"/>
      </w:pPr>
      <w:r>
        <w:rPr>
          <w:rFonts w:ascii="Calibri" w:eastAsia="Calibri" w:hAnsi="Calibri" w:cs="Calibri"/>
          <w:sz w:val="22"/>
        </w:rPr>
        <w:tab/>
      </w:r>
      <w:r>
        <w:t xml:space="preserve">+ </w:t>
      </w:r>
      <w:proofErr w:type="spellStart"/>
      <w:r>
        <w:rPr>
          <w:i/>
        </w:rPr>
        <w:t>C</w:t>
      </w:r>
      <w:r>
        <w:rPr>
          <w:i/>
          <w:sz w:val="16"/>
        </w:rPr>
        <w:t>couple</w:t>
      </w:r>
      <w:proofErr w:type="spellEnd"/>
      <w:r>
        <w:t>(</w:t>
      </w:r>
      <w:proofErr w:type="spellStart"/>
      <w:proofErr w:type="gramStart"/>
      <w:r>
        <w:rPr>
          <w:i/>
        </w:rPr>
        <w:t>n</w:t>
      </w:r>
      <w:r>
        <w:rPr>
          <w:i/>
          <w:sz w:val="16"/>
        </w:rPr>
        <w:t>t</w:t>
      </w:r>
      <w:r>
        <w:rPr>
          <w:i/>
        </w:rPr>
        <w:t>,h</w:t>
      </w:r>
      <w:r>
        <w:rPr>
          <w:i/>
          <w:sz w:val="16"/>
        </w:rPr>
        <w:t>m</w:t>
      </w:r>
      <w:proofErr w:type="gramEnd"/>
      <w:r>
        <w:rPr>
          <w:i/>
          <w:sz w:val="16"/>
        </w:rPr>
        <w:t>,t</w:t>
      </w:r>
      <w:r>
        <w:rPr>
          <w:i/>
        </w:rPr>
        <w:t>,h</w:t>
      </w:r>
      <w:r>
        <w:rPr>
          <w:i/>
          <w:sz w:val="16"/>
        </w:rPr>
        <w:t>w,t</w:t>
      </w:r>
      <w:r>
        <w:rPr>
          <w:i/>
        </w:rPr>
        <w:t>,w</w:t>
      </w:r>
      <w:r>
        <w:rPr>
          <w:i/>
          <w:sz w:val="16"/>
        </w:rPr>
        <w:t>w,t</w:t>
      </w:r>
      <w:r>
        <w:rPr>
          <w:i/>
        </w:rPr>
        <w:t>,w</w:t>
      </w:r>
      <w:r>
        <w:rPr>
          <w:i/>
          <w:sz w:val="16"/>
        </w:rPr>
        <w:t>m,t</w:t>
      </w:r>
      <w:proofErr w:type="spellEnd"/>
      <w:r>
        <w:t>)</w:t>
      </w:r>
      <w:r>
        <w:tab/>
        <w:t>(19)</w:t>
      </w:r>
    </w:p>
    <w:p w14:paraId="647946C6" w14:textId="77777777" w:rsidR="006B4FC6" w:rsidRDefault="0051217D">
      <w:pPr>
        <w:tabs>
          <w:tab w:val="center" w:pos="4837"/>
          <w:tab w:val="center" w:pos="8636"/>
        </w:tabs>
        <w:spacing w:after="336" w:line="265" w:lineRule="auto"/>
        <w:ind w:left="0" w:firstLine="0"/>
        <w:jc w:val="left"/>
      </w:pPr>
      <w:r>
        <w:rPr>
          <w:rFonts w:ascii="Calibri" w:eastAsia="Calibri" w:hAnsi="Calibri" w:cs="Calibri"/>
          <w:sz w:val="22"/>
        </w:rPr>
        <w:lastRenderedPageBreak/>
        <w:tab/>
      </w:r>
      <w:r>
        <w:rPr>
          <w:i/>
        </w:rPr>
        <w:t>ψ</w:t>
      </w:r>
      <w:r>
        <w:rPr>
          <w:i/>
          <w:sz w:val="16"/>
        </w:rPr>
        <w:t>t</w:t>
      </w:r>
      <w:r>
        <w:rPr>
          <w:sz w:val="16"/>
        </w:rPr>
        <w:t xml:space="preserve">+1 </w:t>
      </w:r>
      <w:r>
        <w:t>=</w:t>
      </w:r>
      <w:proofErr w:type="spellStart"/>
      <w:r>
        <w:rPr>
          <w:i/>
        </w:rPr>
        <w:t>ψ</w:t>
      </w:r>
      <w:r>
        <w:rPr>
          <w:i/>
          <w:sz w:val="16"/>
        </w:rPr>
        <w:t>t</w:t>
      </w:r>
      <w:proofErr w:type="spellEnd"/>
      <w:r>
        <w:rPr>
          <w:i/>
          <w:sz w:val="16"/>
        </w:rPr>
        <w:t xml:space="preserve"> </w:t>
      </w:r>
      <w:r>
        <w:t xml:space="preserve">+ </w:t>
      </w:r>
      <w:r>
        <w:rPr>
          <w:i/>
        </w:rPr>
        <w:t>ε</w:t>
      </w:r>
      <w:r>
        <w:rPr>
          <w:i/>
          <w:sz w:val="16"/>
        </w:rPr>
        <w:t>t</w:t>
      </w:r>
      <w:r>
        <w:rPr>
          <w:sz w:val="16"/>
        </w:rPr>
        <w:t>+1</w:t>
      </w:r>
      <w:r>
        <w:rPr>
          <w:i/>
        </w:rPr>
        <w:t>.</w:t>
      </w:r>
      <w:r>
        <w:rPr>
          <w:i/>
        </w:rPr>
        <w:tab/>
      </w:r>
      <w:r>
        <w:t>(20)</w:t>
      </w:r>
    </w:p>
    <w:p w14:paraId="1B9D084D" w14:textId="77777777" w:rsidR="006B4FC6" w:rsidRDefault="0051217D">
      <w:pPr>
        <w:spacing w:after="720"/>
        <w:ind w:left="-15" w:right="1516" w:firstLine="351"/>
      </w:pPr>
      <w:r>
        <w:t>The value-of-choice function, which gives the value associated with choices of consumption and hours worked for both spouses, given</w:t>
      </w:r>
      <w:r>
        <w:t xml:space="preserve"> some </w:t>
      </w:r>
      <w:r>
        <w:rPr>
          <w:i/>
        </w:rPr>
        <w:t xml:space="preserve">µ </w:t>
      </w:r>
      <w:r>
        <w:t>is</w:t>
      </w:r>
    </w:p>
    <w:p w14:paraId="72543ACD" w14:textId="77777777" w:rsidR="006B4FC6" w:rsidRDefault="0051217D">
      <w:pPr>
        <w:spacing w:after="228" w:line="265" w:lineRule="auto"/>
        <w:ind w:left="285"/>
        <w:jc w:val="left"/>
      </w:pPr>
      <w:proofErr w:type="spellStart"/>
      <w:proofErr w:type="gramStart"/>
      <w:r>
        <w:rPr>
          <w:i/>
        </w:rPr>
        <w:t>v</w:t>
      </w:r>
      <w:r>
        <w:rPr>
          <w:i/>
          <w:sz w:val="16"/>
        </w:rPr>
        <w:t>j,t</w:t>
      </w:r>
      <w:proofErr w:type="spellEnd"/>
      <w:proofErr w:type="gramEnd"/>
      <w:r>
        <w:t>(</w:t>
      </w:r>
      <w:r>
        <w:rPr>
          <w:i/>
        </w:rPr>
        <w:t>ψ</w:t>
      </w:r>
      <w:r>
        <w:rPr>
          <w:i/>
          <w:sz w:val="16"/>
        </w:rPr>
        <w:t>t</w:t>
      </w:r>
      <w:r>
        <w:rPr>
          <w:i/>
        </w:rPr>
        <w:t>,A</w:t>
      </w:r>
      <w:r>
        <w:rPr>
          <w:i/>
          <w:sz w:val="16"/>
        </w:rPr>
        <w:t>t</w:t>
      </w:r>
      <w:r>
        <w:rPr>
          <w:sz w:val="16"/>
        </w:rPr>
        <w:t>−</w:t>
      </w:r>
      <w:r>
        <w:rPr>
          <w:sz w:val="16"/>
        </w:rPr>
        <w:t>1</w:t>
      </w:r>
      <w:r>
        <w:rPr>
          <w:i/>
        </w:rPr>
        <w:t>,K</w:t>
      </w:r>
      <w:r>
        <w:rPr>
          <w:i/>
          <w:sz w:val="16"/>
        </w:rPr>
        <w:t>w,t</w:t>
      </w:r>
      <w:r>
        <w:rPr>
          <w:sz w:val="16"/>
        </w:rPr>
        <w:t>−</w:t>
      </w:r>
      <w:r>
        <w:rPr>
          <w:sz w:val="16"/>
        </w:rPr>
        <w:t>1</w:t>
      </w:r>
      <w:r>
        <w:rPr>
          <w:i/>
        </w:rPr>
        <w:t>,K</w:t>
      </w:r>
      <w:r>
        <w:rPr>
          <w:i/>
          <w:sz w:val="16"/>
        </w:rPr>
        <w:t>m,t</w:t>
      </w:r>
      <w:r>
        <w:rPr>
          <w:sz w:val="16"/>
        </w:rPr>
        <w:t>−</w:t>
      </w:r>
      <w:r>
        <w:rPr>
          <w:sz w:val="16"/>
        </w:rPr>
        <w:t>1</w:t>
      </w:r>
      <w:r>
        <w:rPr>
          <w:i/>
        </w:rPr>
        <w:t>,µ,c</w:t>
      </w:r>
      <w:r>
        <w:rPr>
          <w:i/>
          <w:sz w:val="16"/>
        </w:rPr>
        <w:t>w,t</w:t>
      </w:r>
      <w:r>
        <w:rPr>
          <w:i/>
        </w:rPr>
        <w:t>,c</w:t>
      </w:r>
      <w:r>
        <w:rPr>
          <w:i/>
          <w:sz w:val="16"/>
        </w:rPr>
        <w:t>m,t</w:t>
      </w:r>
      <w:r>
        <w:rPr>
          <w:i/>
        </w:rPr>
        <w:t>,c</w:t>
      </w:r>
      <w:r>
        <w:rPr>
          <w:i/>
          <w:sz w:val="16"/>
        </w:rPr>
        <w:t>t</w:t>
      </w:r>
      <w:r>
        <w:rPr>
          <w:i/>
        </w:rPr>
        <w:t>,h</w:t>
      </w:r>
      <w:r>
        <w:rPr>
          <w:i/>
          <w:sz w:val="16"/>
        </w:rPr>
        <w:t>w,t</w:t>
      </w:r>
      <w:r>
        <w:rPr>
          <w:i/>
        </w:rPr>
        <w:t>,h</w:t>
      </w:r>
      <w:r>
        <w:rPr>
          <w:i/>
          <w:sz w:val="16"/>
        </w:rPr>
        <w:t>m,t</w:t>
      </w:r>
      <w:r>
        <w:rPr>
          <w:i/>
        </w:rPr>
        <w:t>,n</w:t>
      </w:r>
      <w:r>
        <w:rPr>
          <w:i/>
          <w:sz w:val="16"/>
        </w:rPr>
        <w:t>t</w:t>
      </w:r>
      <w:r>
        <w:t>) =</w:t>
      </w:r>
      <w:proofErr w:type="spellStart"/>
      <w:r>
        <w:rPr>
          <w:i/>
        </w:rPr>
        <w:t>U</w:t>
      </w:r>
      <w:r>
        <w:rPr>
          <w:i/>
          <w:sz w:val="16"/>
        </w:rPr>
        <w:t>j</w:t>
      </w:r>
      <w:proofErr w:type="spellEnd"/>
      <w:r>
        <w:t>(</w:t>
      </w:r>
      <w:proofErr w:type="spellStart"/>
      <w:r>
        <w:rPr>
          <w:i/>
        </w:rPr>
        <w:t>c</w:t>
      </w:r>
      <w:r>
        <w:rPr>
          <w:i/>
          <w:sz w:val="16"/>
        </w:rPr>
        <w:t>j,t</w:t>
      </w:r>
      <w:r>
        <w:rPr>
          <w:i/>
        </w:rPr>
        <w:t>,c</w:t>
      </w:r>
      <w:r>
        <w:rPr>
          <w:i/>
          <w:sz w:val="16"/>
        </w:rPr>
        <w:t>t</w:t>
      </w:r>
      <w:r>
        <w:rPr>
          <w:i/>
        </w:rPr>
        <w:t>,h</w:t>
      </w:r>
      <w:r>
        <w:rPr>
          <w:i/>
          <w:sz w:val="16"/>
        </w:rPr>
        <w:t>j,t</w:t>
      </w:r>
      <w:r>
        <w:rPr>
          <w:i/>
        </w:rPr>
        <w:t>,n</w:t>
      </w:r>
      <w:r>
        <w:rPr>
          <w:i/>
          <w:sz w:val="16"/>
        </w:rPr>
        <w:t>t</w:t>
      </w:r>
      <w:proofErr w:type="spellEnd"/>
      <w:r>
        <w:t xml:space="preserve">) + </w:t>
      </w:r>
      <w:proofErr w:type="spellStart"/>
      <w:r>
        <w:rPr>
          <w:i/>
        </w:rPr>
        <w:t>ψ</w:t>
      </w:r>
      <w:r>
        <w:rPr>
          <w:i/>
          <w:sz w:val="16"/>
        </w:rPr>
        <w:t>t</w:t>
      </w:r>
      <w:proofErr w:type="spellEnd"/>
    </w:p>
    <w:p w14:paraId="2460B998" w14:textId="77777777" w:rsidR="006B4FC6" w:rsidRDefault="0051217D">
      <w:pPr>
        <w:tabs>
          <w:tab w:val="center" w:pos="6871"/>
          <w:tab w:val="center" w:pos="8636"/>
        </w:tabs>
        <w:spacing w:after="360" w:line="265" w:lineRule="auto"/>
        <w:ind w:left="0" w:firstLine="0"/>
        <w:jc w:val="left"/>
      </w:pPr>
      <w:r>
        <w:rPr>
          <w:rFonts w:ascii="Calibri" w:eastAsia="Calibri" w:hAnsi="Calibri" w:cs="Calibri"/>
          <w:sz w:val="22"/>
        </w:rPr>
        <w:tab/>
      </w:r>
      <w:r>
        <w:t xml:space="preserve">+ </w:t>
      </w:r>
      <w:r>
        <w:rPr>
          <w:i/>
        </w:rPr>
        <w:t>β</w:t>
      </w:r>
      <w:proofErr w:type="gramStart"/>
      <w:r>
        <w:rPr>
          <w:rFonts w:ascii="Calibri" w:eastAsia="Calibri" w:hAnsi="Calibri" w:cs="Calibri"/>
        </w:rPr>
        <w:t>E</w:t>
      </w:r>
      <w:r>
        <w:rPr>
          <w:i/>
          <w:sz w:val="16"/>
        </w:rPr>
        <w:t>t</w:t>
      </w:r>
      <w:r>
        <w:t>[</w:t>
      </w:r>
      <w:proofErr w:type="gramEnd"/>
      <w:r>
        <w:rPr>
          <w:i/>
        </w:rPr>
        <w:t>V</w:t>
      </w:r>
      <w:r>
        <w:rPr>
          <w:i/>
          <w:sz w:val="16"/>
        </w:rPr>
        <w:t>j,tm</w:t>
      </w:r>
      <w:r>
        <w:rPr>
          <w:sz w:val="16"/>
        </w:rPr>
        <w:t>+1</w:t>
      </w:r>
      <w:r>
        <w:t>(</w:t>
      </w:r>
      <w:r>
        <w:rPr>
          <w:i/>
        </w:rPr>
        <w:t>ψ</w:t>
      </w:r>
      <w:r>
        <w:rPr>
          <w:i/>
          <w:sz w:val="16"/>
        </w:rPr>
        <w:t>t</w:t>
      </w:r>
      <w:r>
        <w:rPr>
          <w:sz w:val="16"/>
        </w:rPr>
        <w:t>+1</w:t>
      </w:r>
      <w:r>
        <w:rPr>
          <w:i/>
        </w:rPr>
        <w:t>,A</w:t>
      </w:r>
      <w:r>
        <w:rPr>
          <w:i/>
          <w:sz w:val="16"/>
        </w:rPr>
        <w:t>t</w:t>
      </w:r>
      <w:r>
        <w:rPr>
          <w:i/>
        </w:rPr>
        <w:t>,µ</w:t>
      </w:r>
      <w:r>
        <w:t>)]</w:t>
      </w:r>
      <w:r>
        <w:rPr>
          <w:i/>
        </w:rPr>
        <w:t>.</w:t>
      </w:r>
      <w:r>
        <w:rPr>
          <w:i/>
        </w:rPr>
        <w:tab/>
      </w:r>
      <w:r>
        <w:t>(21)</w:t>
      </w:r>
    </w:p>
    <w:p w14:paraId="2DBCBE15" w14:textId="77777777" w:rsidR="006B4FC6" w:rsidRDefault="0051217D">
      <w:pPr>
        <w:spacing w:after="96"/>
        <w:ind w:left="-15" w:right="1516" w:firstLine="351"/>
      </w:pPr>
      <w:r>
        <w:t xml:space="preserve">This first step involves solving the unconstrained problem, assuming that none of the participation constraints are violated, such that </w:t>
      </w:r>
      <w:r>
        <w:rPr>
          <w:i/>
        </w:rPr>
        <w:t xml:space="preserve">µ </w:t>
      </w:r>
      <w:r>
        <w:t xml:space="preserve">= </w:t>
      </w:r>
      <w:r>
        <w:rPr>
          <w:i/>
        </w:rPr>
        <w:t>µ</w:t>
      </w:r>
      <w:r>
        <w:rPr>
          <w:i/>
          <w:vertAlign w:val="subscript"/>
        </w:rPr>
        <w:t xml:space="preserve">t </w:t>
      </w:r>
      <w:r>
        <w:t xml:space="preserve">= </w:t>
      </w:r>
      <w:r>
        <w:rPr>
          <w:i/>
        </w:rPr>
        <w:t>µ</w:t>
      </w:r>
      <w:r>
        <w:rPr>
          <w:i/>
          <w:vertAlign w:val="subscript"/>
        </w:rPr>
        <w:t>t</w:t>
      </w:r>
      <w:r>
        <w:rPr>
          <w:vertAlign w:val="subscript"/>
        </w:rPr>
        <w:t>−</w:t>
      </w:r>
      <w:r>
        <w:rPr>
          <w:vertAlign w:val="subscript"/>
        </w:rPr>
        <w:t>1</w:t>
      </w:r>
      <w:r>
        <w:t>. This gives</w:t>
      </w:r>
    </w:p>
    <w:p w14:paraId="3CD4F881" w14:textId="77777777" w:rsidR="006B4FC6" w:rsidRDefault="0051217D">
      <w:pPr>
        <w:spacing w:after="244" w:line="442" w:lineRule="auto"/>
        <w:ind w:left="-5" w:right="1516"/>
      </w:pPr>
      <w:proofErr w:type="spellStart"/>
      <w:r>
        <w:rPr>
          <w:i/>
        </w:rPr>
        <w:t>c</w:t>
      </w:r>
      <w:r>
        <w:t>˜</w:t>
      </w:r>
      <w:r>
        <w:rPr>
          <w:i/>
          <w:sz w:val="16"/>
        </w:rPr>
        <w:t>w,t</w:t>
      </w:r>
      <w:proofErr w:type="spellEnd"/>
      <w:r>
        <w:t>(</w:t>
      </w:r>
      <w:r>
        <w:rPr>
          <w:i/>
        </w:rPr>
        <w:t>µ</w:t>
      </w:r>
      <w:r>
        <w:rPr>
          <w:i/>
          <w:sz w:val="16"/>
        </w:rPr>
        <w:t>t</w:t>
      </w:r>
      <w:r>
        <w:rPr>
          <w:sz w:val="16"/>
        </w:rPr>
        <w:t>−</w:t>
      </w:r>
      <w:r>
        <w:rPr>
          <w:sz w:val="16"/>
        </w:rPr>
        <w:t>1</w:t>
      </w:r>
      <w:r>
        <w:t>)</w:t>
      </w:r>
      <w:r>
        <w:rPr>
          <w:i/>
        </w:rPr>
        <w:t>,</w:t>
      </w:r>
      <w:proofErr w:type="spellStart"/>
      <w:r>
        <w:rPr>
          <w:i/>
        </w:rPr>
        <w:t>c</w:t>
      </w:r>
      <w:r>
        <w:t>˜</w:t>
      </w:r>
      <w:r>
        <w:rPr>
          <w:i/>
          <w:sz w:val="16"/>
        </w:rPr>
        <w:t>m,t</w:t>
      </w:r>
      <w:proofErr w:type="spellEnd"/>
      <w:r>
        <w:t>(</w:t>
      </w:r>
      <w:r>
        <w:rPr>
          <w:i/>
        </w:rPr>
        <w:t>µ</w:t>
      </w:r>
      <w:r>
        <w:rPr>
          <w:i/>
          <w:sz w:val="16"/>
        </w:rPr>
        <w:t>t</w:t>
      </w:r>
      <w:r>
        <w:rPr>
          <w:sz w:val="16"/>
        </w:rPr>
        <w:t>−</w:t>
      </w:r>
      <w:r>
        <w:rPr>
          <w:sz w:val="16"/>
        </w:rPr>
        <w:t>1</w:t>
      </w:r>
      <w:r>
        <w:t>)</w:t>
      </w:r>
      <w:r>
        <w:rPr>
          <w:i/>
        </w:rPr>
        <w:t>,</w:t>
      </w:r>
      <w:proofErr w:type="spellStart"/>
      <w:r>
        <w:rPr>
          <w:i/>
        </w:rPr>
        <w:t>c</w:t>
      </w:r>
      <w:r>
        <w:t>˜</w:t>
      </w:r>
      <w:r>
        <w:rPr>
          <w:i/>
          <w:sz w:val="16"/>
        </w:rPr>
        <w:t>t</w:t>
      </w:r>
      <w:proofErr w:type="spellEnd"/>
      <w:r>
        <w:t>(</w:t>
      </w:r>
      <w:r>
        <w:rPr>
          <w:i/>
        </w:rPr>
        <w:t>µ</w:t>
      </w:r>
      <w:r>
        <w:rPr>
          <w:i/>
          <w:sz w:val="16"/>
        </w:rPr>
        <w:t>t</w:t>
      </w:r>
      <w:r>
        <w:rPr>
          <w:sz w:val="16"/>
        </w:rPr>
        <w:t>−</w:t>
      </w:r>
      <w:r>
        <w:rPr>
          <w:sz w:val="16"/>
        </w:rPr>
        <w:t>1</w:t>
      </w:r>
      <w:r>
        <w:t>)</w:t>
      </w:r>
      <w:r>
        <w:rPr>
          <w:i/>
        </w:rPr>
        <w:t>,</w:t>
      </w:r>
      <w:proofErr w:type="spellStart"/>
      <w:r>
        <w:rPr>
          <w:i/>
        </w:rPr>
        <w:t>h</w:t>
      </w:r>
      <w:r>
        <w:t>˜</w:t>
      </w:r>
      <w:r>
        <w:rPr>
          <w:i/>
          <w:sz w:val="16"/>
        </w:rPr>
        <w:t>m,t</w:t>
      </w:r>
      <w:proofErr w:type="spellEnd"/>
      <w:r>
        <w:t>(</w:t>
      </w:r>
      <w:r>
        <w:rPr>
          <w:i/>
        </w:rPr>
        <w:t>µ</w:t>
      </w:r>
      <w:r>
        <w:rPr>
          <w:i/>
          <w:sz w:val="16"/>
        </w:rPr>
        <w:t>t</w:t>
      </w:r>
      <w:r>
        <w:rPr>
          <w:sz w:val="16"/>
        </w:rPr>
        <w:t>−</w:t>
      </w:r>
      <w:r>
        <w:rPr>
          <w:sz w:val="16"/>
        </w:rPr>
        <w:t>1</w:t>
      </w:r>
      <w:r>
        <w:t>)</w:t>
      </w:r>
      <w:r>
        <w:rPr>
          <w:i/>
        </w:rPr>
        <w:t>,</w:t>
      </w:r>
      <w:proofErr w:type="spellStart"/>
      <w:r>
        <w:rPr>
          <w:i/>
        </w:rPr>
        <w:t>h</w:t>
      </w:r>
      <w:r>
        <w:t>˜</w:t>
      </w:r>
      <w:r>
        <w:rPr>
          <w:i/>
          <w:sz w:val="16"/>
        </w:rPr>
        <w:t>w,t</w:t>
      </w:r>
      <w:proofErr w:type="spellEnd"/>
      <w:r>
        <w:t>(</w:t>
      </w:r>
      <w:r>
        <w:rPr>
          <w:i/>
        </w:rPr>
        <w:t>µ</w:t>
      </w:r>
      <w:r>
        <w:rPr>
          <w:i/>
          <w:sz w:val="16"/>
        </w:rPr>
        <w:t>t</w:t>
      </w:r>
      <w:r>
        <w:rPr>
          <w:sz w:val="16"/>
        </w:rPr>
        <w:t>−</w:t>
      </w:r>
      <w:r>
        <w:rPr>
          <w:sz w:val="16"/>
        </w:rPr>
        <w:t>1</w:t>
      </w:r>
      <w:r>
        <w:t xml:space="preserve">) and individual values of marriage as </w:t>
      </w:r>
      <w:r>
        <w:rPr>
          <w:i/>
        </w:rPr>
        <w:t>v</w:t>
      </w:r>
      <w:r>
        <w:rPr>
          <w:i/>
          <w:sz w:val="16"/>
        </w:rPr>
        <w:t>j,t</w:t>
      </w:r>
      <w:r>
        <w:t>(</w:t>
      </w:r>
      <w:r>
        <w:rPr>
          <w:i/>
        </w:rPr>
        <w:t>ψ</w:t>
      </w:r>
      <w:r>
        <w:rPr>
          <w:i/>
          <w:sz w:val="16"/>
        </w:rPr>
        <w:t>t</w:t>
      </w:r>
      <w:r>
        <w:rPr>
          <w:i/>
        </w:rPr>
        <w:t>,A</w:t>
      </w:r>
      <w:r>
        <w:rPr>
          <w:i/>
          <w:sz w:val="16"/>
        </w:rPr>
        <w:t>t</w:t>
      </w:r>
      <w:r>
        <w:rPr>
          <w:sz w:val="16"/>
        </w:rPr>
        <w:t>−</w:t>
      </w:r>
      <w:r>
        <w:rPr>
          <w:sz w:val="16"/>
        </w:rPr>
        <w:t>1</w:t>
      </w:r>
      <w:r>
        <w:rPr>
          <w:i/>
        </w:rPr>
        <w:t>,µ</w:t>
      </w:r>
      <w:r>
        <w:rPr>
          <w:i/>
          <w:sz w:val="16"/>
        </w:rPr>
        <w:t>t</w:t>
      </w:r>
      <w:r>
        <w:rPr>
          <w:sz w:val="16"/>
        </w:rPr>
        <w:t>−</w:t>
      </w:r>
      <w:r>
        <w:rPr>
          <w:sz w:val="16"/>
        </w:rPr>
        <w:t>1</w:t>
      </w:r>
      <w:r>
        <w:rPr>
          <w:i/>
        </w:rPr>
        <w:t>,c</w:t>
      </w:r>
      <w:r>
        <w:t>˜</w:t>
      </w:r>
      <w:r>
        <w:rPr>
          <w:i/>
          <w:sz w:val="16"/>
        </w:rPr>
        <w:t>w,t</w:t>
      </w:r>
      <w:r>
        <w:t>(</w:t>
      </w:r>
      <w:r>
        <w:rPr>
          <w:i/>
        </w:rPr>
        <w:t>µ</w:t>
      </w:r>
      <w:r>
        <w:rPr>
          <w:i/>
          <w:sz w:val="16"/>
        </w:rPr>
        <w:t>t</w:t>
      </w:r>
      <w:r>
        <w:rPr>
          <w:sz w:val="16"/>
        </w:rPr>
        <w:t>−</w:t>
      </w:r>
      <w:r>
        <w:rPr>
          <w:sz w:val="16"/>
        </w:rPr>
        <w:t>1</w:t>
      </w:r>
      <w:r>
        <w:t>)</w:t>
      </w:r>
      <w:r>
        <w:rPr>
          <w:i/>
        </w:rPr>
        <w:t>,c</w:t>
      </w:r>
      <w:r>
        <w:t>˜</w:t>
      </w:r>
      <w:r>
        <w:rPr>
          <w:i/>
          <w:sz w:val="16"/>
        </w:rPr>
        <w:t>m,t</w:t>
      </w:r>
      <w:r>
        <w:t>(</w:t>
      </w:r>
      <w:r>
        <w:rPr>
          <w:i/>
        </w:rPr>
        <w:t>µ</w:t>
      </w:r>
      <w:r>
        <w:rPr>
          <w:i/>
          <w:sz w:val="16"/>
        </w:rPr>
        <w:t>t</w:t>
      </w:r>
      <w:r>
        <w:rPr>
          <w:sz w:val="16"/>
        </w:rPr>
        <w:t>−</w:t>
      </w:r>
      <w:r>
        <w:rPr>
          <w:sz w:val="16"/>
        </w:rPr>
        <w:t>1</w:t>
      </w:r>
      <w:r>
        <w:t>)</w:t>
      </w:r>
      <w:r>
        <w:rPr>
          <w:i/>
        </w:rPr>
        <w:t>,c</w:t>
      </w:r>
      <w:r>
        <w:t>˜</w:t>
      </w:r>
      <w:r>
        <w:rPr>
          <w:i/>
          <w:sz w:val="16"/>
        </w:rPr>
        <w:t>t</w:t>
      </w:r>
      <w:r>
        <w:t>(</w:t>
      </w:r>
      <w:r>
        <w:rPr>
          <w:i/>
        </w:rPr>
        <w:t>µ</w:t>
      </w:r>
      <w:r>
        <w:rPr>
          <w:i/>
          <w:sz w:val="16"/>
        </w:rPr>
        <w:t>t</w:t>
      </w:r>
      <w:r>
        <w:rPr>
          <w:sz w:val="16"/>
        </w:rPr>
        <w:t>−</w:t>
      </w:r>
      <w:r>
        <w:rPr>
          <w:sz w:val="16"/>
        </w:rPr>
        <w:t>1</w:t>
      </w:r>
      <w:r>
        <w:t>)</w:t>
      </w:r>
      <w:r>
        <w:rPr>
          <w:i/>
        </w:rPr>
        <w:t>,h</w:t>
      </w:r>
      <w:r>
        <w:t>˜</w:t>
      </w:r>
      <w:r>
        <w:rPr>
          <w:i/>
          <w:sz w:val="16"/>
        </w:rPr>
        <w:t>m,t</w:t>
      </w:r>
      <w:r>
        <w:t>(</w:t>
      </w:r>
      <w:r>
        <w:rPr>
          <w:i/>
        </w:rPr>
        <w:t>µ</w:t>
      </w:r>
      <w:r>
        <w:rPr>
          <w:i/>
          <w:sz w:val="16"/>
        </w:rPr>
        <w:t>t</w:t>
      </w:r>
      <w:r>
        <w:rPr>
          <w:sz w:val="16"/>
        </w:rPr>
        <w:t>−</w:t>
      </w:r>
      <w:r>
        <w:rPr>
          <w:sz w:val="16"/>
        </w:rPr>
        <w:t>1</w:t>
      </w:r>
      <w:r>
        <w:t>)</w:t>
      </w:r>
      <w:r>
        <w:rPr>
          <w:i/>
        </w:rPr>
        <w:t>,h</w:t>
      </w:r>
      <w:r>
        <w:t>˜</w:t>
      </w:r>
      <w:r>
        <w:rPr>
          <w:i/>
          <w:sz w:val="16"/>
        </w:rPr>
        <w:t>w,t</w:t>
      </w:r>
      <w:r>
        <w:t>(</w:t>
      </w:r>
      <w:r>
        <w:rPr>
          <w:i/>
        </w:rPr>
        <w:t>µ</w:t>
      </w:r>
      <w:r>
        <w:rPr>
          <w:i/>
          <w:sz w:val="16"/>
        </w:rPr>
        <w:t>t</w:t>
      </w:r>
      <w:r>
        <w:rPr>
          <w:sz w:val="16"/>
        </w:rPr>
        <w:t>−</w:t>
      </w:r>
      <w:r>
        <w:rPr>
          <w:sz w:val="16"/>
        </w:rPr>
        <w:t>1</w:t>
      </w:r>
      <w:r>
        <w:t>)).</w:t>
      </w:r>
    </w:p>
    <w:p w14:paraId="514E54A3" w14:textId="77777777" w:rsidR="006B4FC6" w:rsidRDefault="0051217D">
      <w:pPr>
        <w:pStyle w:val="Heading2"/>
        <w:ind w:left="598" w:hanging="613"/>
      </w:pPr>
      <w:bookmarkStart w:id="10" w:name="_Toc30871"/>
      <w:r>
        <w:t>Checking the participation constraints</w:t>
      </w:r>
      <w:bookmarkEnd w:id="10"/>
    </w:p>
    <w:p w14:paraId="4511E102" w14:textId="77777777" w:rsidR="006B4FC6" w:rsidRDefault="0051217D">
      <w:pPr>
        <w:spacing w:after="676"/>
        <w:ind w:left="-5" w:right="1516"/>
      </w:pPr>
      <w:r>
        <w:t xml:space="preserve">The second step involves checking the participation constraints for three cases. For this </w:t>
      </w:r>
      <w:proofErr w:type="gramStart"/>
      <w:r>
        <w:t>purpose</w:t>
      </w:r>
      <w:proofErr w:type="gramEnd"/>
      <w:r>
        <w:t xml:space="preserve"> let</w:t>
      </w:r>
    </w:p>
    <w:p w14:paraId="59F1E3DD" w14:textId="77777777" w:rsidR="006B4FC6" w:rsidRDefault="0051217D">
      <w:pPr>
        <w:spacing w:after="228" w:line="265" w:lineRule="auto"/>
        <w:ind w:left="1192"/>
        <w:jc w:val="left"/>
      </w:pPr>
      <w:proofErr w:type="spellStart"/>
      <w:proofErr w:type="gramStart"/>
      <w:r>
        <w:rPr>
          <w:i/>
        </w:rPr>
        <w:t>S</w:t>
      </w:r>
      <w:r>
        <w:rPr>
          <w:i/>
          <w:sz w:val="16"/>
        </w:rPr>
        <w:t>j,t</w:t>
      </w:r>
      <w:proofErr w:type="spellEnd"/>
      <w:proofErr w:type="gramEnd"/>
      <w:r>
        <w:t>(</w:t>
      </w:r>
      <w:r>
        <w:rPr>
          <w:i/>
        </w:rPr>
        <w:t>µ</w:t>
      </w:r>
      <w:r>
        <w:t>) =</w:t>
      </w:r>
      <w:proofErr w:type="spellStart"/>
      <w:r>
        <w:rPr>
          <w:i/>
        </w:rPr>
        <w:t>S</w:t>
      </w:r>
      <w:r>
        <w:rPr>
          <w:i/>
          <w:sz w:val="16"/>
        </w:rPr>
        <w:t>j,t</w:t>
      </w:r>
      <w:proofErr w:type="spellEnd"/>
      <w:r>
        <w:t>(</w:t>
      </w:r>
      <w:r>
        <w:rPr>
          <w:i/>
        </w:rPr>
        <w:t>ψ</w:t>
      </w:r>
      <w:r>
        <w:rPr>
          <w:i/>
          <w:sz w:val="16"/>
        </w:rPr>
        <w:t>t</w:t>
      </w:r>
      <w:r>
        <w:rPr>
          <w:i/>
        </w:rPr>
        <w:t>,A</w:t>
      </w:r>
      <w:r>
        <w:rPr>
          <w:i/>
          <w:sz w:val="16"/>
        </w:rPr>
        <w:t>t</w:t>
      </w:r>
      <w:r>
        <w:rPr>
          <w:sz w:val="16"/>
        </w:rPr>
        <w:t>−</w:t>
      </w:r>
      <w:r>
        <w:rPr>
          <w:sz w:val="16"/>
        </w:rPr>
        <w:t>1</w:t>
      </w:r>
      <w:r>
        <w:rPr>
          <w:i/>
        </w:rPr>
        <w:t>,µ,c</w:t>
      </w:r>
      <w:r>
        <w:rPr>
          <w:i/>
          <w:sz w:val="16"/>
        </w:rPr>
        <w:t>w,t</w:t>
      </w:r>
      <w:r>
        <w:rPr>
          <w:i/>
        </w:rPr>
        <w:t>,c</w:t>
      </w:r>
      <w:r>
        <w:rPr>
          <w:i/>
          <w:sz w:val="16"/>
        </w:rPr>
        <w:t>m,t</w:t>
      </w:r>
      <w:r>
        <w:rPr>
          <w:i/>
        </w:rPr>
        <w:t>,c</w:t>
      </w:r>
      <w:r>
        <w:rPr>
          <w:i/>
          <w:sz w:val="16"/>
        </w:rPr>
        <w:t>t</w:t>
      </w:r>
      <w:r>
        <w:t>)</w:t>
      </w:r>
    </w:p>
    <w:p w14:paraId="2FBF82D5" w14:textId="77777777" w:rsidR="006B4FC6" w:rsidRDefault="0051217D">
      <w:pPr>
        <w:spacing w:after="228" w:line="265" w:lineRule="auto"/>
        <w:ind w:left="1912"/>
        <w:jc w:val="left"/>
      </w:pPr>
      <w:r>
        <w:t>=</w:t>
      </w:r>
      <w:proofErr w:type="spellStart"/>
      <w:proofErr w:type="gramStart"/>
      <w:r>
        <w:rPr>
          <w:i/>
        </w:rPr>
        <w:t>v</w:t>
      </w:r>
      <w:r>
        <w:rPr>
          <w:i/>
          <w:sz w:val="16"/>
        </w:rPr>
        <w:t>j,t</w:t>
      </w:r>
      <w:proofErr w:type="spellEnd"/>
      <w:proofErr w:type="gramEnd"/>
      <w:r>
        <w:t>(</w:t>
      </w:r>
      <w:r>
        <w:rPr>
          <w:i/>
        </w:rPr>
        <w:t>ψ</w:t>
      </w:r>
      <w:r>
        <w:rPr>
          <w:i/>
          <w:sz w:val="16"/>
        </w:rPr>
        <w:t>t</w:t>
      </w:r>
      <w:r>
        <w:rPr>
          <w:i/>
        </w:rPr>
        <w:t>,A</w:t>
      </w:r>
      <w:r>
        <w:rPr>
          <w:i/>
          <w:sz w:val="16"/>
        </w:rPr>
        <w:t>t</w:t>
      </w:r>
      <w:r>
        <w:rPr>
          <w:sz w:val="16"/>
        </w:rPr>
        <w:t>−</w:t>
      </w:r>
      <w:r>
        <w:rPr>
          <w:sz w:val="16"/>
        </w:rPr>
        <w:t>1</w:t>
      </w:r>
      <w:r>
        <w:rPr>
          <w:i/>
        </w:rPr>
        <w:t>,K</w:t>
      </w:r>
      <w:r>
        <w:rPr>
          <w:i/>
          <w:sz w:val="16"/>
        </w:rPr>
        <w:t>w,t</w:t>
      </w:r>
      <w:r>
        <w:rPr>
          <w:sz w:val="16"/>
        </w:rPr>
        <w:t>−</w:t>
      </w:r>
      <w:r>
        <w:rPr>
          <w:sz w:val="16"/>
        </w:rPr>
        <w:t>1</w:t>
      </w:r>
      <w:r>
        <w:rPr>
          <w:i/>
        </w:rPr>
        <w:t>,K</w:t>
      </w:r>
      <w:r>
        <w:rPr>
          <w:i/>
          <w:sz w:val="16"/>
        </w:rPr>
        <w:t>m,t</w:t>
      </w:r>
      <w:r>
        <w:rPr>
          <w:sz w:val="16"/>
        </w:rPr>
        <w:t>−</w:t>
      </w:r>
      <w:r>
        <w:rPr>
          <w:sz w:val="16"/>
        </w:rPr>
        <w:t>1</w:t>
      </w:r>
      <w:r>
        <w:rPr>
          <w:i/>
        </w:rPr>
        <w:t>,µ,c</w:t>
      </w:r>
      <w:r>
        <w:rPr>
          <w:i/>
          <w:sz w:val="16"/>
        </w:rPr>
        <w:t>w,t</w:t>
      </w:r>
      <w:r>
        <w:rPr>
          <w:i/>
        </w:rPr>
        <w:t>,c</w:t>
      </w:r>
      <w:r>
        <w:rPr>
          <w:i/>
          <w:sz w:val="16"/>
        </w:rPr>
        <w:t>m,t</w:t>
      </w:r>
      <w:r>
        <w:rPr>
          <w:i/>
        </w:rPr>
        <w:t>,c</w:t>
      </w:r>
      <w:r>
        <w:rPr>
          <w:i/>
          <w:sz w:val="16"/>
        </w:rPr>
        <w:t>t</w:t>
      </w:r>
      <w:r>
        <w:rPr>
          <w:i/>
        </w:rPr>
        <w:t>,h</w:t>
      </w:r>
      <w:r>
        <w:rPr>
          <w:i/>
          <w:sz w:val="16"/>
        </w:rPr>
        <w:t>w,t</w:t>
      </w:r>
      <w:r>
        <w:rPr>
          <w:i/>
        </w:rPr>
        <w:t>,h</w:t>
      </w:r>
      <w:r>
        <w:rPr>
          <w:i/>
          <w:sz w:val="16"/>
        </w:rPr>
        <w:t>m,t</w:t>
      </w:r>
      <w:r>
        <w:rPr>
          <w:i/>
        </w:rPr>
        <w:t>,n</w:t>
      </w:r>
      <w:r>
        <w:rPr>
          <w:i/>
          <w:sz w:val="16"/>
        </w:rPr>
        <w:t>t</w:t>
      </w:r>
      <w:r>
        <w:t>)</w:t>
      </w:r>
    </w:p>
    <w:p w14:paraId="610AEE48" w14:textId="77777777" w:rsidR="006B4FC6" w:rsidRDefault="0051217D">
      <w:pPr>
        <w:tabs>
          <w:tab w:val="center" w:pos="3608"/>
          <w:tab w:val="center" w:pos="8636"/>
        </w:tabs>
        <w:spacing w:after="405" w:line="265" w:lineRule="auto"/>
        <w:ind w:left="0" w:firstLine="0"/>
        <w:jc w:val="left"/>
      </w:pPr>
      <w:r>
        <w:rPr>
          <w:rFonts w:ascii="Calibri" w:eastAsia="Calibri" w:hAnsi="Calibri" w:cs="Calibri"/>
          <w:sz w:val="22"/>
        </w:rPr>
        <w:tab/>
      </w:r>
      <w:r>
        <w:t>−</w:t>
      </w:r>
      <w:r>
        <w:t xml:space="preserve"> </w:t>
      </w:r>
      <w:proofErr w:type="spellStart"/>
      <w:proofErr w:type="gramStart"/>
      <w:r>
        <w:rPr>
          <w:i/>
        </w:rPr>
        <w:t>V</w:t>
      </w:r>
      <w:r>
        <w:rPr>
          <w:i/>
          <w:sz w:val="16"/>
        </w:rPr>
        <w:t>j,tm</w:t>
      </w:r>
      <w:proofErr w:type="gramEnd"/>
      <w:r>
        <w:rPr>
          <w:sz w:val="16"/>
        </w:rPr>
        <w:t>→</w:t>
      </w:r>
      <w:r>
        <w:rPr>
          <w:i/>
          <w:sz w:val="16"/>
        </w:rPr>
        <w:t>s</w:t>
      </w:r>
      <w:proofErr w:type="spellEnd"/>
      <w:r>
        <w:t>(</w:t>
      </w:r>
      <w:r>
        <w:rPr>
          <w:i/>
        </w:rPr>
        <w:t>κ</w:t>
      </w:r>
      <w:r>
        <w:rPr>
          <w:i/>
          <w:sz w:val="16"/>
        </w:rPr>
        <w:t>j</w:t>
      </w:r>
      <w:r>
        <w:rPr>
          <w:i/>
        </w:rPr>
        <w:t>A</w:t>
      </w:r>
      <w:r>
        <w:rPr>
          <w:i/>
          <w:sz w:val="16"/>
        </w:rPr>
        <w:t>t</w:t>
      </w:r>
      <w:r>
        <w:rPr>
          <w:sz w:val="16"/>
        </w:rPr>
        <w:t>−</w:t>
      </w:r>
      <w:r>
        <w:rPr>
          <w:sz w:val="16"/>
        </w:rPr>
        <w:t>1</w:t>
      </w:r>
      <w:r>
        <w:rPr>
          <w:i/>
        </w:rPr>
        <w:t>,K</w:t>
      </w:r>
      <w:r>
        <w:rPr>
          <w:i/>
          <w:sz w:val="16"/>
        </w:rPr>
        <w:t>j,t</w:t>
      </w:r>
      <w:r>
        <w:rPr>
          <w:sz w:val="16"/>
        </w:rPr>
        <w:t>−</w:t>
      </w:r>
      <w:r>
        <w:rPr>
          <w:sz w:val="16"/>
        </w:rPr>
        <w:t>1</w:t>
      </w:r>
      <w:r>
        <w:rPr>
          <w:i/>
        </w:rPr>
        <w:t>,n</w:t>
      </w:r>
      <w:r>
        <w:rPr>
          <w:i/>
          <w:sz w:val="16"/>
        </w:rPr>
        <w:t>t</w:t>
      </w:r>
      <w:r>
        <w:rPr>
          <w:sz w:val="16"/>
        </w:rPr>
        <w:t>−</w:t>
      </w:r>
      <w:r>
        <w:rPr>
          <w:sz w:val="16"/>
        </w:rPr>
        <w:t>1</w:t>
      </w:r>
      <w:r>
        <w:t>)</w:t>
      </w:r>
      <w:r>
        <w:tab/>
        <w:t>(22)</w:t>
      </w:r>
    </w:p>
    <w:p w14:paraId="7B64363D" w14:textId="77777777" w:rsidR="006B4FC6" w:rsidRDefault="0051217D">
      <w:pPr>
        <w:spacing w:after="342" w:line="265" w:lineRule="auto"/>
        <w:ind w:right="1516"/>
        <w:jc w:val="right"/>
      </w:pPr>
      <w:r>
        <w:t xml:space="preserve">denote the marital surplus of household member </w:t>
      </w:r>
      <w:r>
        <w:rPr>
          <w:i/>
        </w:rPr>
        <w:t>j</w:t>
      </w:r>
      <w:r>
        <w:t>. The three cases are as follows:</w:t>
      </w:r>
    </w:p>
    <w:p w14:paraId="4E81CC8D" w14:textId="77777777" w:rsidR="006B4FC6" w:rsidRDefault="0051217D">
      <w:pPr>
        <w:numPr>
          <w:ilvl w:val="0"/>
          <w:numId w:val="1"/>
        </w:numPr>
        <w:spacing w:after="155" w:line="265" w:lineRule="auto"/>
        <w:ind w:right="1516" w:hanging="299"/>
      </w:pPr>
      <w:r>
        <w:t xml:space="preserve">If </w:t>
      </w:r>
      <w:proofErr w:type="spellStart"/>
      <w:proofErr w:type="gramStart"/>
      <w:r>
        <w:rPr>
          <w:i/>
        </w:rPr>
        <w:t>S</w:t>
      </w:r>
      <w:r>
        <w:rPr>
          <w:i/>
          <w:vertAlign w:val="subscript"/>
        </w:rPr>
        <w:t>j,t</w:t>
      </w:r>
      <w:proofErr w:type="spellEnd"/>
      <w:proofErr w:type="gramEnd"/>
      <w:r>
        <w:t>(</w:t>
      </w:r>
      <w:r>
        <w:rPr>
          <w:i/>
        </w:rPr>
        <w:t>µ</w:t>
      </w:r>
      <w:r>
        <w:rPr>
          <w:i/>
          <w:vertAlign w:val="subscript"/>
        </w:rPr>
        <w:t>t</w:t>
      </w:r>
      <w:r>
        <w:rPr>
          <w:vertAlign w:val="subscript"/>
        </w:rPr>
        <w:t>−</w:t>
      </w:r>
      <w:r>
        <w:rPr>
          <w:vertAlign w:val="subscript"/>
        </w:rPr>
        <w:t>1</w:t>
      </w:r>
      <w:r>
        <w:t xml:space="preserve">) </w:t>
      </w:r>
      <w:r>
        <w:t xml:space="preserve">≥ </w:t>
      </w:r>
      <w:r>
        <w:t xml:space="preserve">0 for both </w:t>
      </w:r>
      <w:r>
        <w:rPr>
          <w:i/>
        </w:rPr>
        <w:t xml:space="preserve">j </w:t>
      </w:r>
      <w:r>
        <w:t xml:space="preserve">= </w:t>
      </w:r>
      <w:proofErr w:type="spellStart"/>
      <w:r>
        <w:rPr>
          <w:i/>
        </w:rPr>
        <w:t>w,m</w:t>
      </w:r>
      <w:proofErr w:type="spellEnd"/>
      <w:r>
        <w:t>, they remain married and keep the bar-</w:t>
      </w:r>
    </w:p>
    <w:p w14:paraId="649129F1" w14:textId="77777777" w:rsidR="006B4FC6" w:rsidRDefault="0051217D">
      <w:pPr>
        <w:spacing w:after="239" w:line="265" w:lineRule="auto"/>
        <w:ind w:right="1516"/>
        <w:jc w:val="right"/>
      </w:pPr>
      <w:r>
        <w:t xml:space="preserve">gaining power unchanged. As such, I have </w:t>
      </w:r>
      <w:r>
        <w:rPr>
          <w:i/>
        </w:rPr>
        <w:t>µ</w:t>
      </w:r>
      <w:r>
        <w:rPr>
          <w:i/>
          <w:vertAlign w:val="subscript"/>
        </w:rPr>
        <w:t xml:space="preserve">t </w:t>
      </w:r>
      <w:r>
        <w:t xml:space="preserve">= </w:t>
      </w:r>
      <w:r>
        <w:rPr>
          <w:i/>
        </w:rPr>
        <w:t>µ</w:t>
      </w:r>
      <w:r>
        <w:rPr>
          <w:i/>
          <w:vertAlign w:val="subscript"/>
        </w:rPr>
        <w:t>t</w:t>
      </w:r>
      <w:r>
        <w:rPr>
          <w:vertAlign w:val="subscript"/>
        </w:rPr>
        <w:t>−</w:t>
      </w:r>
      <w:r>
        <w:rPr>
          <w:vertAlign w:val="subscript"/>
        </w:rPr>
        <w:t>1</w:t>
      </w:r>
      <w:r>
        <w:t>, (</w:t>
      </w:r>
      <w:proofErr w:type="spellStart"/>
      <w:r>
        <w:rPr>
          <w:i/>
        </w:rPr>
        <w:t>c</w:t>
      </w:r>
      <w:r>
        <w:rPr>
          <w:i/>
          <w:vertAlign w:val="superscript"/>
        </w:rPr>
        <w:t>⋆</w:t>
      </w:r>
      <w:proofErr w:type="gramStart"/>
      <w:r>
        <w:rPr>
          <w:i/>
          <w:vertAlign w:val="subscript"/>
        </w:rPr>
        <w:t>w,t</w:t>
      </w:r>
      <w:proofErr w:type="gramEnd"/>
      <w:r>
        <w:rPr>
          <w:i/>
        </w:rPr>
        <w:t>,c</w:t>
      </w:r>
      <w:r>
        <w:rPr>
          <w:i/>
          <w:vertAlign w:val="superscript"/>
        </w:rPr>
        <w:t>⋆</w:t>
      </w:r>
      <w:r>
        <w:rPr>
          <w:i/>
          <w:vertAlign w:val="subscript"/>
        </w:rPr>
        <w:t>m,t</w:t>
      </w:r>
      <w:r>
        <w:rPr>
          <w:i/>
        </w:rPr>
        <w:t>,c</w:t>
      </w:r>
      <w:r>
        <w:rPr>
          <w:i/>
          <w:vertAlign w:val="superscript"/>
        </w:rPr>
        <w:t>⋆</w:t>
      </w:r>
      <w:r>
        <w:rPr>
          <w:i/>
          <w:vertAlign w:val="subscript"/>
        </w:rPr>
        <w:t>t</w:t>
      </w:r>
      <w:proofErr w:type="spellEnd"/>
      <w:r>
        <w:rPr>
          <w:i/>
          <w:vertAlign w:val="subscript"/>
        </w:rPr>
        <w:t xml:space="preserve"> </w:t>
      </w:r>
      <w:r>
        <w:rPr>
          <w:i/>
        </w:rPr>
        <w:t>,</w:t>
      </w:r>
      <w:proofErr w:type="spellStart"/>
      <w:r>
        <w:rPr>
          <w:i/>
        </w:rPr>
        <w:t>h</w:t>
      </w:r>
      <w:r>
        <w:rPr>
          <w:i/>
          <w:vertAlign w:val="superscript"/>
        </w:rPr>
        <w:t>⋆</w:t>
      </w:r>
      <w:r>
        <w:rPr>
          <w:i/>
          <w:vertAlign w:val="subscript"/>
        </w:rPr>
        <w:t>m,t</w:t>
      </w:r>
      <w:r>
        <w:rPr>
          <w:i/>
        </w:rPr>
        <w:t>,h</w:t>
      </w:r>
      <w:r>
        <w:rPr>
          <w:i/>
          <w:vertAlign w:val="superscript"/>
        </w:rPr>
        <w:t>⋆</w:t>
      </w:r>
      <w:r>
        <w:rPr>
          <w:i/>
          <w:vertAlign w:val="subscript"/>
        </w:rPr>
        <w:t>w,t</w:t>
      </w:r>
      <w:proofErr w:type="spellEnd"/>
      <w:r>
        <w:t>) =</w:t>
      </w:r>
    </w:p>
    <w:p w14:paraId="3002F1E5" w14:textId="77777777" w:rsidR="006B4FC6" w:rsidRDefault="0051217D">
      <w:pPr>
        <w:spacing w:line="259" w:lineRule="auto"/>
        <w:ind w:left="595" w:right="1516"/>
      </w:pPr>
      <w:r>
        <w:t>(</w:t>
      </w:r>
      <w:proofErr w:type="spellStart"/>
      <w:r>
        <w:rPr>
          <w:i/>
        </w:rPr>
        <w:t>c</w:t>
      </w:r>
      <w:r>
        <w:t>˜</w:t>
      </w:r>
      <w:proofErr w:type="gramStart"/>
      <w:r>
        <w:rPr>
          <w:i/>
          <w:sz w:val="16"/>
        </w:rPr>
        <w:t>w,t</w:t>
      </w:r>
      <w:proofErr w:type="spellEnd"/>
      <w:proofErr w:type="gramEnd"/>
      <w:r>
        <w:t>(</w:t>
      </w:r>
      <w:r>
        <w:rPr>
          <w:i/>
        </w:rPr>
        <w:t>µ</w:t>
      </w:r>
      <w:r>
        <w:rPr>
          <w:i/>
          <w:sz w:val="16"/>
        </w:rPr>
        <w:t>t</w:t>
      </w:r>
      <w:r>
        <w:rPr>
          <w:sz w:val="16"/>
        </w:rPr>
        <w:t>−</w:t>
      </w:r>
      <w:r>
        <w:rPr>
          <w:sz w:val="16"/>
        </w:rPr>
        <w:t>1</w:t>
      </w:r>
      <w:r>
        <w:t>)</w:t>
      </w:r>
      <w:r>
        <w:rPr>
          <w:i/>
        </w:rPr>
        <w:t>,</w:t>
      </w:r>
      <w:proofErr w:type="spellStart"/>
      <w:r>
        <w:rPr>
          <w:i/>
        </w:rPr>
        <w:t>c</w:t>
      </w:r>
      <w:r>
        <w:t>˜</w:t>
      </w:r>
      <w:r>
        <w:rPr>
          <w:i/>
          <w:sz w:val="16"/>
        </w:rPr>
        <w:t>m,t</w:t>
      </w:r>
      <w:proofErr w:type="spellEnd"/>
      <w:r>
        <w:t>(</w:t>
      </w:r>
      <w:r>
        <w:rPr>
          <w:i/>
        </w:rPr>
        <w:t>µ</w:t>
      </w:r>
      <w:r>
        <w:rPr>
          <w:i/>
          <w:sz w:val="16"/>
        </w:rPr>
        <w:t>t</w:t>
      </w:r>
      <w:r>
        <w:rPr>
          <w:sz w:val="16"/>
        </w:rPr>
        <w:t>−</w:t>
      </w:r>
      <w:r>
        <w:rPr>
          <w:sz w:val="16"/>
        </w:rPr>
        <w:t>1</w:t>
      </w:r>
      <w:r>
        <w:t>)</w:t>
      </w:r>
      <w:r>
        <w:rPr>
          <w:i/>
        </w:rPr>
        <w:t>,</w:t>
      </w:r>
      <w:proofErr w:type="spellStart"/>
      <w:r>
        <w:rPr>
          <w:i/>
        </w:rPr>
        <w:t>c</w:t>
      </w:r>
      <w:r>
        <w:t>˜</w:t>
      </w:r>
      <w:r>
        <w:rPr>
          <w:i/>
          <w:sz w:val="16"/>
        </w:rPr>
        <w:t>t</w:t>
      </w:r>
      <w:proofErr w:type="spellEnd"/>
      <w:r>
        <w:t>(</w:t>
      </w:r>
      <w:r>
        <w:rPr>
          <w:i/>
        </w:rPr>
        <w:t>µ</w:t>
      </w:r>
      <w:r>
        <w:rPr>
          <w:i/>
          <w:sz w:val="16"/>
        </w:rPr>
        <w:t>t</w:t>
      </w:r>
      <w:r>
        <w:rPr>
          <w:sz w:val="16"/>
        </w:rPr>
        <w:t>−</w:t>
      </w:r>
      <w:r>
        <w:rPr>
          <w:sz w:val="16"/>
        </w:rPr>
        <w:t>1</w:t>
      </w:r>
      <w:r>
        <w:t>)</w:t>
      </w:r>
      <w:r>
        <w:rPr>
          <w:i/>
        </w:rPr>
        <w:t>,</w:t>
      </w:r>
      <w:proofErr w:type="spellStart"/>
      <w:r>
        <w:rPr>
          <w:i/>
        </w:rPr>
        <w:t>h</w:t>
      </w:r>
      <w:r>
        <w:t>˜</w:t>
      </w:r>
      <w:r>
        <w:rPr>
          <w:i/>
          <w:sz w:val="16"/>
        </w:rPr>
        <w:t>m,t</w:t>
      </w:r>
      <w:proofErr w:type="spellEnd"/>
      <w:r>
        <w:t>(</w:t>
      </w:r>
      <w:r>
        <w:rPr>
          <w:i/>
        </w:rPr>
        <w:t>µ</w:t>
      </w:r>
      <w:r>
        <w:rPr>
          <w:i/>
          <w:sz w:val="16"/>
        </w:rPr>
        <w:t>t</w:t>
      </w:r>
      <w:r>
        <w:rPr>
          <w:sz w:val="16"/>
        </w:rPr>
        <w:t>−</w:t>
      </w:r>
      <w:r>
        <w:rPr>
          <w:sz w:val="16"/>
        </w:rPr>
        <w:t>1</w:t>
      </w:r>
      <w:r>
        <w:t>)</w:t>
      </w:r>
      <w:r>
        <w:rPr>
          <w:i/>
        </w:rPr>
        <w:t>,</w:t>
      </w:r>
      <w:proofErr w:type="spellStart"/>
      <w:r>
        <w:rPr>
          <w:i/>
        </w:rPr>
        <w:t>h</w:t>
      </w:r>
      <w:r>
        <w:t>˜</w:t>
      </w:r>
      <w:r>
        <w:rPr>
          <w:i/>
          <w:sz w:val="16"/>
        </w:rPr>
        <w:t>w,t</w:t>
      </w:r>
      <w:proofErr w:type="spellEnd"/>
      <w:r>
        <w:t>(</w:t>
      </w:r>
      <w:r>
        <w:rPr>
          <w:i/>
        </w:rPr>
        <w:t>µ</w:t>
      </w:r>
      <w:r>
        <w:rPr>
          <w:i/>
          <w:sz w:val="16"/>
        </w:rPr>
        <w:t>t</w:t>
      </w:r>
      <w:r>
        <w:rPr>
          <w:sz w:val="16"/>
        </w:rPr>
        <w:t>−</w:t>
      </w:r>
      <w:r>
        <w:rPr>
          <w:sz w:val="16"/>
        </w:rPr>
        <w:t>1</w:t>
      </w:r>
      <w:r>
        <w:t xml:space="preserve">)), and </w:t>
      </w:r>
      <w:r>
        <w:rPr>
          <w:i/>
        </w:rPr>
        <w:t>D</w:t>
      </w:r>
      <w:r>
        <w:rPr>
          <w:i/>
          <w:sz w:val="16"/>
        </w:rPr>
        <w:t xml:space="preserve">t⋆ </w:t>
      </w:r>
      <w:r>
        <w:t>= 0.</w:t>
      </w:r>
    </w:p>
    <w:p w14:paraId="7C06B4E1" w14:textId="77777777" w:rsidR="006B4FC6" w:rsidRDefault="0051217D">
      <w:pPr>
        <w:numPr>
          <w:ilvl w:val="0"/>
          <w:numId w:val="1"/>
        </w:numPr>
        <w:spacing w:after="72" w:line="259" w:lineRule="auto"/>
        <w:ind w:right="1516" w:hanging="299"/>
      </w:pPr>
      <w:r>
        <w:t xml:space="preserve">If </w:t>
      </w:r>
      <w:proofErr w:type="spellStart"/>
      <w:proofErr w:type="gramStart"/>
      <w:r>
        <w:rPr>
          <w:i/>
        </w:rPr>
        <w:t>S</w:t>
      </w:r>
      <w:r>
        <w:rPr>
          <w:i/>
          <w:vertAlign w:val="subscript"/>
        </w:rPr>
        <w:t>j,t</w:t>
      </w:r>
      <w:proofErr w:type="spellEnd"/>
      <w:proofErr w:type="gramEnd"/>
      <w:r>
        <w:t>(</w:t>
      </w:r>
      <w:r>
        <w:rPr>
          <w:i/>
        </w:rPr>
        <w:t>µ</w:t>
      </w:r>
      <w:r>
        <w:rPr>
          <w:i/>
          <w:vertAlign w:val="subscript"/>
        </w:rPr>
        <w:t>t</w:t>
      </w:r>
      <w:r>
        <w:rPr>
          <w:vertAlign w:val="subscript"/>
        </w:rPr>
        <w:t>−</w:t>
      </w:r>
      <w:r>
        <w:rPr>
          <w:vertAlign w:val="subscript"/>
        </w:rPr>
        <w:t>1</w:t>
      </w:r>
      <w:r>
        <w:t xml:space="preserve">) </w:t>
      </w:r>
      <w:r>
        <w:rPr>
          <w:i/>
        </w:rPr>
        <w:t xml:space="preserve">&lt; </w:t>
      </w:r>
      <w:r>
        <w:t xml:space="preserve">0 for both </w:t>
      </w:r>
      <w:r>
        <w:rPr>
          <w:i/>
        </w:rPr>
        <w:t xml:space="preserve">j </w:t>
      </w:r>
      <w:r>
        <w:t xml:space="preserve">= </w:t>
      </w:r>
      <w:proofErr w:type="spellStart"/>
      <w:r>
        <w:rPr>
          <w:i/>
        </w:rPr>
        <w:t>w,m</w:t>
      </w:r>
      <w:proofErr w:type="spellEnd"/>
      <w:r>
        <w:t>, they divorce. As such</w:t>
      </w:r>
      <w:r>
        <w:tab/>
      </w:r>
      <w:r>
        <w:rPr>
          <w:noProof/>
        </w:rPr>
        <w:drawing>
          <wp:inline distT="0" distB="0" distL="0" distR="0" wp14:anchorId="7A63024F" wp14:editId="435C983F">
            <wp:extent cx="176784" cy="149352"/>
            <wp:effectExtent l="0" t="0" r="0" b="0"/>
            <wp:docPr id="30309" name="Picture 30309"/>
            <wp:cNvGraphicFramePr/>
            <a:graphic xmlns:a="http://schemas.openxmlformats.org/drawingml/2006/main">
              <a:graphicData uri="http://schemas.openxmlformats.org/drawingml/2006/picture">
                <pic:pic xmlns:pic="http://schemas.openxmlformats.org/drawingml/2006/picture">
                  <pic:nvPicPr>
                    <pic:cNvPr id="30309" name="Picture 30309"/>
                    <pic:cNvPicPr/>
                  </pic:nvPicPr>
                  <pic:blipFill>
                    <a:blip r:embed="rId19"/>
                    <a:stretch>
                      <a:fillRect/>
                    </a:stretch>
                  </pic:blipFill>
                  <pic:spPr>
                    <a:xfrm>
                      <a:off x="0" y="0"/>
                      <a:ext cx="176784" cy="149352"/>
                    </a:xfrm>
                    <a:prstGeom prst="rect">
                      <a:avLst/>
                    </a:prstGeom>
                  </pic:spPr>
                </pic:pic>
              </a:graphicData>
            </a:graphic>
          </wp:inline>
        </w:drawing>
      </w:r>
      <w:r>
        <w:t>= 1 and only</w:t>
      </w:r>
    </w:p>
    <w:p w14:paraId="28562203" w14:textId="77777777" w:rsidR="006B4FC6" w:rsidRDefault="0051217D">
      <w:pPr>
        <w:spacing w:after="275" w:line="259" w:lineRule="auto"/>
        <w:ind w:left="559" w:right="1516"/>
      </w:pPr>
      <w:r>
        <w:rPr>
          <w:noProof/>
        </w:rPr>
        <w:drawing>
          <wp:inline distT="0" distB="0" distL="0" distR="0" wp14:anchorId="524972FD" wp14:editId="66CD4666">
            <wp:extent cx="1499616" cy="176784"/>
            <wp:effectExtent l="0" t="0" r="0" b="0"/>
            <wp:docPr id="30310" name="Picture 30310"/>
            <wp:cNvGraphicFramePr/>
            <a:graphic xmlns:a="http://schemas.openxmlformats.org/drawingml/2006/main">
              <a:graphicData uri="http://schemas.openxmlformats.org/drawingml/2006/picture">
                <pic:pic xmlns:pic="http://schemas.openxmlformats.org/drawingml/2006/picture">
                  <pic:nvPicPr>
                    <pic:cNvPr id="30310" name="Picture 30310"/>
                    <pic:cNvPicPr/>
                  </pic:nvPicPr>
                  <pic:blipFill>
                    <a:blip r:embed="rId20"/>
                    <a:stretch>
                      <a:fillRect/>
                    </a:stretch>
                  </pic:blipFill>
                  <pic:spPr>
                    <a:xfrm>
                      <a:off x="0" y="0"/>
                      <a:ext cx="1499616" cy="176784"/>
                    </a:xfrm>
                    <a:prstGeom prst="rect">
                      <a:avLst/>
                    </a:prstGeom>
                  </pic:spPr>
                </pic:pic>
              </a:graphicData>
            </a:graphic>
          </wp:inline>
        </w:drawing>
      </w:r>
      <w:r>
        <w:t xml:space="preserve">) </w:t>
      </w:r>
      <w:proofErr w:type="gramStart"/>
      <w:r>
        <w:t>matters</w:t>
      </w:r>
      <w:proofErr w:type="gramEnd"/>
      <w:r>
        <w:t>.</w:t>
      </w:r>
    </w:p>
    <w:p w14:paraId="0B6393C0" w14:textId="77777777" w:rsidR="006B4FC6" w:rsidRDefault="0051217D">
      <w:pPr>
        <w:numPr>
          <w:ilvl w:val="0"/>
          <w:numId w:val="1"/>
        </w:numPr>
        <w:spacing w:after="314" w:line="465" w:lineRule="auto"/>
        <w:ind w:right="1516" w:hanging="299"/>
      </w:pPr>
      <w:r>
        <w:lastRenderedPageBreak/>
        <w:t xml:space="preserve">If one household member, the woman, for example, has a negative marital surplus while the man has a positive marital surplus, they re-negotiate </w:t>
      </w:r>
      <w:r>
        <w:rPr>
          <w:i/>
        </w:rPr>
        <w:t>µ</w:t>
      </w:r>
      <w:r>
        <w:rPr>
          <w:i/>
          <w:vertAlign w:val="subscript"/>
        </w:rPr>
        <w:t>t</w:t>
      </w:r>
      <w:r>
        <w:t>. Renegotiation happens by finding the lowest value ˜</w:t>
      </w:r>
      <w:r>
        <w:rPr>
          <w:i/>
        </w:rPr>
        <w:t xml:space="preserve">µ </w:t>
      </w:r>
      <w:r>
        <w:t>that solves</w:t>
      </w:r>
    </w:p>
    <w:p w14:paraId="0627EB3E" w14:textId="77777777" w:rsidR="006B4FC6" w:rsidRDefault="0051217D">
      <w:pPr>
        <w:spacing w:after="240" w:line="259" w:lineRule="auto"/>
        <w:ind w:right="1531"/>
        <w:jc w:val="center"/>
      </w:pPr>
      <w:r>
        <w:rPr>
          <w:i/>
        </w:rPr>
        <w:t>µ</w:t>
      </w:r>
      <w:proofErr w:type="gramStart"/>
      <w:r>
        <w:t>˜ :</w:t>
      </w:r>
      <w:proofErr w:type="gramEnd"/>
      <w:r>
        <w:t xml:space="preserve"> </w:t>
      </w:r>
      <w:proofErr w:type="spellStart"/>
      <w:r>
        <w:rPr>
          <w:i/>
        </w:rPr>
        <w:t>S</w:t>
      </w:r>
      <w:r>
        <w:rPr>
          <w:i/>
          <w:vertAlign w:val="subscript"/>
        </w:rPr>
        <w:t>w,t</w:t>
      </w:r>
      <w:proofErr w:type="spellEnd"/>
      <w:r>
        <w:t>(</w:t>
      </w:r>
      <w:r>
        <w:rPr>
          <w:i/>
        </w:rPr>
        <w:t>µ</w:t>
      </w:r>
      <w:r>
        <w:t>˜) = 0</w:t>
      </w:r>
    </w:p>
    <w:p w14:paraId="44786FBB" w14:textId="77777777" w:rsidR="006B4FC6" w:rsidRDefault="0051217D">
      <w:pPr>
        <w:spacing w:after="115"/>
        <w:ind w:left="-15" w:right="1516" w:firstLine="351"/>
      </w:pPr>
      <w:r>
        <w:t>making her just indiffere</w:t>
      </w:r>
      <w:r>
        <w:t xml:space="preserve">nt between remaining married and divorcing. If the man also has a positive surplus for this value, </w:t>
      </w:r>
      <w:proofErr w:type="spellStart"/>
      <w:proofErr w:type="gramStart"/>
      <w:r>
        <w:rPr>
          <w:i/>
        </w:rPr>
        <w:t>S</w:t>
      </w:r>
      <w:r>
        <w:rPr>
          <w:i/>
          <w:vertAlign w:val="subscript"/>
        </w:rPr>
        <w:t>m,t</w:t>
      </w:r>
      <w:proofErr w:type="spellEnd"/>
      <w:proofErr w:type="gramEnd"/>
      <w:r>
        <w:t>(</w:t>
      </w:r>
      <w:r>
        <w:rPr>
          <w:i/>
        </w:rPr>
        <w:t>µ</w:t>
      </w:r>
      <w:r>
        <w:t xml:space="preserve">˜) </w:t>
      </w:r>
      <w:r>
        <w:t xml:space="preserve">≥ </w:t>
      </w:r>
      <w:r>
        <w:t xml:space="preserve">0, they remain married and increase the bargaining power of the woman. In turn, </w:t>
      </w:r>
      <w:r>
        <w:rPr>
          <w:i/>
        </w:rPr>
        <w:t>µ</w:t>
      </w:r>
      <w:r>
        <w:rPr>
          <w:i/>
          <w:vertAlign w:val="subscript"/>
        </w:rPr>
        <w:t xml:space="preserve">t </w:t>
      </w:r>
      <w:r>
        <w:t xml:space="preserve">= </w:t>
      </w:r>
      <w:r>
        <w:rPr>
          <w:i/>
        </w:rPr>
        <w:t>µ</w:t>
      </w:r>
      <w:r>
        <w:t>˜, (</w:t>
      </w:r>
      <w:proofErr w:type="spellStart"/>
      <w:r>
        <w:rPr>
          <w:i/>
        </w:rPr>
        <w:t>c</w:t>
      </w:r>
      <w:r>
        <w:rPr>
          <w:i/>
          <w:vertAlign w:val="superscript"/>
        </w:rPr>
        <w:t>⋆</w:t>
      </w:r>
      <w:proofErr w:type="gramStart"/>
      <w:r>
        <w:rPr>
          <w:i/>
          <w:vertAlign w:val="subscript"/>
        </w:rPr>
        <w:t>w,t</w:t>
      </w:r>
      <w:proofErr w:type="gramEnd"/>
      <w:r>
        <w:rPr>
          <w:i/>
        </w:rPr>
        <w:t>,c</w:t>
      </w:r>
      <w:r>
        <w:rPr>
          <w:i/>
          <w:vertAlign w:val="superscript"/>
        </w:rPr>
        <w:t>⋆</w:t>
      </w:r>
      <w:r>
        <w:rPr>
          <w:i/>
          <w:vertAlign w:val="subscript"/>
        </w:rPr>
        <w:t>m,t</w:t>
      </w:r>
      <w:r>
        <w:rPr>
          <w:i/>
        </w:rPr>
        <w:t>,c</w:t>
      </w:r>
      <w:r>
        <w:rPr>
          <w:i/>
          <w:vertAlign w:val="superscript"/>
        </w:rPr>
        <w:t>⋆</w:t>
      </w:r>
      <w:r>
        <w:rPr>
          <w:i/>
          <w:vertAlign w:val="subscript"/>
        </w:rPr>
        <w:t>t</w:t>
      </w:r>
      <w:proofErr w:type="spellEnd"/>
      <w:r>
        <w:rPr>
          <w:i/>
          <w:vertAlign w:val="subscript"/>
        </w:rPr>
        <w:t xml:space="preserve"> </w:t>
      </w:r>
      <w:r>
        <w:rPr>
          <w:i/>
        </w:rPr>
        <w:t>,</w:t>
      </w:r>
      <w:proofErr w:type="spellStart"/>
      <w:r>
        <w:rPr>
          <w:i/>
        </w:rPr>
        <w:t>h</w:t>
      </w:r>
      <w:r>
        <w:rPr>
          <w:i/>
          <w:vertAlign w:val="superscript"/>
        </w:rPr>
        <w:t>⋆</w:t>
      </w:r>
      <w:r>
        <w:rPr>
          <w:i/>
          <w:vertAlign w:val="subscript"/>
        </w:rPr>
        <w:t>m,t</w:t>
      </w:r>
      <w:r>
        <w:rPr>
          <w:i/>
        </w:rPr>
        <w:t>,h</w:t>
      </w:r>
      <w:r>
        <w:rPr>
          <w:i/>
          <w:vertAlign w:val="superscript"/>
        </w:rPr>
        <w:t>⋆</w:t>
      </w:r>
      <w:r>
        <w:rPr>
          <w:i/>
          <w:vertAlign w:val="subscript"/>
        </w:rPr>
        <w:t>w,t</w:t>
      </w:r>
      <w:proofErr w:type="spellEnd"/>
      <w:r>
        <w:t>) =</w:t>
      </w:r>
    </w:p>
    <w:p w14:paraId="5B633A57" w14:textId="77777777" w:rsidR="006B4FC6" w:rsidRDefault="0051217D">
      <w:pPr>
        <w:spacing w:line="259" w:lineRule="auto"/>
        <w:ind w:left="-5"/>
      </w:pPr>
      <w:r>
        <w:t>(</w:t>
      </w:r>
      <w:proofErr w:type="spellStart"/>
      <w:r>
        <w:rPr>
          <w:i/>
        </w:rPr>
        <w:t>c</w:t>
      </w:r>
      <w:r>
        <w:t>˜</w:t>
      </w:r>
      <w:proofErr w:type="gramStart"/>
      <w:r>
        <w:rPr>
          <w:i/>
          <w:vertAlign w:val="subscript"/>
        </w:rPr>
        <w:t>w,t</w:t>
      </w:r>
      <w:proofErr w:type="spellEnd"/>
      <w:proofErr w:type="gramEnd"/>
      <w:r>
        <w:t>(</w:t>
      </w:r>
      <w:r>
        <w:rPr>
          <w:i/>
        </w:rPr>
        <w:t>µ</w:t>
      </w:r>
      <w:r>
        <w:t>˜)</w:t>
      </w:r>
      <w:r>
        <w:rPr>
          <w:i/>
        </w:rPr>
        <w:t>,</w:t>
      </w:r>
      <w:proofErr w:type="spellStart"/>
      <w:r>
        <w:rPr>
          <w:i/>
        </w:rPr>
        <w:t>c</w:t>
      </w:r>
      <w:r>
        <w:t>˜</w:t>
      </w:r>
      <w:r>
        <w:rPr>
          <w:i/>
          <w:vertAlign w:val="subscript"/>
        </w:rPr>
        <w:t>m,t</w:t>
      </w:r>
      <w:proofErr w:type="spellEnd"/>
      <w:r>
        <w:t>(</w:t>
      </w:r>
      <w:r>
        <w:rPr>
          <w:i/>
        </w:rPr>
        <w:t>µ</w:t>
      </w:r>
      <w:r>
        <w:t>˜)</w:t>
      </w:r>
      <w:r>
        <w:rPr>
          <w:i/>
        </w:rPr>
        <w:t>,</w:t>
      </w:r>
      <w:proofErr w:type="spellStart"/>
      <w:r>
        <w:rPr>
          <w:i/>
        </w:rPr>
        <w:t>c</w:t>
      </w:r>
      <w:r>
        <w:t>˜</w:t>
      </w:r>
      <w:r>
        <w:rPr>
          <w:i/>
          <w:vertAlign w:val="subscript"/>
        </w:rPr>
        <w:t>t</w:t>
      </w:r>
      <w:proofErr w:type="spellEnd"/>
      <w:r>
        <w:t>(</w:t>
      </w:r>
      <w:r>
        <w:rPr>
          <w:i/>
        </w:rPr>
        <w:t>µ</w:t>
      </w:r>
      <w:r>
        <w:t>˜)</w:t>
      </w:r>
      <w:r>
        <w:rPr>
          <w:i/>
        </w:rPr>
        <w:t>,</w:t>
      </w:r>
      <w:proofErr w:type="spellStart"/>
      <w:r>
        <w:rPr>
          <w:i/>
        </w:rPr>
        <w:t>h</w:t>
      </w:r>
      <w:r>
        <w:rPr>
          <w:sz w:val="37"/>
          <w:vertAlign w:val="superscript"/>
        </w:rPr>
        <w:t>˜</w:t>
      </w:r>
      <w:r>
        <w:rPr>
          <w:i/>
          <w:vertAlign w:val="subscript"/>
        </w:rPr>
        <w:t>m,t</w:t>
      </w:r>
      <w:proofErr w:type="spellEnd"/>
      <w:r>
        <w:t>(</w:t>
      </w:r>
      <w:r>
        <w:rPr>
          <w:i/>
        </w:rPr>
        <w:t>µ</w:t>
      </w:r>
      <w:r>
        <w:rPr>
          <w:i/>
          <w:vertAlign w:val="subscript"/>
        </w:rPr>
        <w:t>t</w:t>
      </w:r>
      <w:r>
        <w:rPr>
          <w:vertAlign w:val="subscript"/>
        </w:rPr>
        <w:t>−</w:t>
      </w:r>
      <w:r>
        <w:rPr>
          <w:vertAlign w:val="subscript"/>
        </w:rPr>
        <w:t>1</w:t>
      </w:r>
      <w:r>
        <w:t>)</w:t>
      </w:r>
      <w:r>
        <w:rPr>
          <w:i/>
        </w:rPr>
        <w:t>,</w:t>
      </w:r>
      <w:proofErr w:type="spellStart"/>
      <w:r>
        <w:rPr>
          <w:i/>
        </w:rPr>
        <w:t>h</w:t>
      </w:r>
      <w:r>
        <w:rPr>
          <w:sz w:val="37"/>
          <w:vertAlign w:val="superscript"/>
        </w:rPr>
        <w:t>˜</w:t>
      </w:r>
      <w:r>
        <w:rPr>
          <w:i/>
          <w:vertAlign w:val="subscript"/>
        </w:rPr>
        <w:t>w,t</w:t>
      </w:r>
      <w:proofErr w:type="spellEnd"/>
      <w:r>
        <w:t>(</w:t>
      </w:r>
      <w:r>
        <w:rPr>
          <w:i/>
        </w:rPr>
        <w:t>µ</w:t>
      </w:r>
      <w:r>
        <w:rPr>
          <w:i/>
          <w:vertAlign w:val="subscript"/>
        </w:rPr>
        <w:t>t</w:t>
      </w:r>
      <w:r>
        <w:rPr>
          <w:vertAlign w:val="subscript"/>
        </w:rPr>
        <w:t>−</w:t>
      </w:r>
      <w:r>
        <w:rPr>
          <w:vertAlign w:val="subscript"/>
        </w:rPr>
        <w:t>1</w:t>
      </w:r>
      <w:r>
        <w:t xml:space="preserve">)), and </w:t>
      </w:r>
      <w:r>
        <w:rPr>
          <w:i/>
        </w:rPr>
        <w:t>D</w:t>
      </w:r>
      <w:r>
        <w:rPr>
          <w:i/>
          <w:vertAlign w:val="subscript"/>
        </w:rPr>
        <w:t>t</w:t>
      </w:r>
      <w:r>
        <w:rPr>
          <w:i/>
          <w:vertAlign w:val="superscript"/>
        </w:rPr>
        <w:t>⋆</w:t>
      </w:r>
      <w:r>
        <w:rPr>
          <w:i/>
          <w:vertAlign w:val="superscript"/>
        </w:rPr>
        <w:t xml:space="preserve"> </w:t>
      </w:r>
      <w:r>
        <w:t xml:space="preserve">= 0. If, on the other hand, </w:t>
      </w:r>
      <w:proofErr w:type="spellStart"/>
      <w:proofErr w:type="gramStart"/>
      <w:r>
        <w:rPr>
          <w:i/>
        </w:rPr>
        <w:t>S</w:t>
      </w:r>
      <w:r>
        <w:rPr>
          <w:i/>
          <w:vertAlign w:val="subscript"/>
        </w:rPr>
        <w:t>m,t</w:t>
      </w:r>
      <w:proofErr w:type="spellEnd"/>
      <w:proofErr w:type="gramEnd"/>
      <w:r>
        <w:t>(</w:t>
      </w:r>
      <w:r>
        <w:rPr>
          <w:i/>
        </w:rPr>
        <w:t>µ</w:t>
      </w:r>
      <w:r>
        <w:t xml:space="preserve">˜) </w:t>
      </w:r>
      <w:r>
        <w:rPr>
          <w:i/>
        </w:rPr>
        <w:t>&lt;</w:t>
      </w:r>
    </w:p>
    <w:p w14:paraId="08C1FA8B" w14:textId="77777777" w:rsidR="006B4FC6" w:rsidRDefault="0051217D">
      <w:pPr>
        <w:spacing w:line="259" w:lineRule="auto"/>
        <w:ind w:left="-5" w:right="1516"/>
      </w:pPr>
      <w:r>
        <w:t xml:space="preserve">0, there is no value of </w:t>
      </w:r>
      <w:r>
        <w:rPr>
          <w:i/>
        </w:rPr>
        <w:t xml:space="preserve">µ </w:t>
      </w:r>
      <w:r>
        <w:t>that can sustain the marriage, and the couple divorces, setting</w:t>
      </w:r>
    </w:p>
    <w:p w14:paraId="14B55F4B" w14:textId="77777777" w:rsidR="006B4FC6" w:rsidRDefault="0051217D">
      <w:pPr>
        <w:spacing w:after="577" w:line="259" w:lineRule="auto"/>
        <w:ind w:left="-51" w:firstLine="0"/>
        <w:jc w:val="left"/>
      </w:pPr>
      <w:r>
        <w:rPr>
          <w:noProof/>
        </w:rPr>
        <w:drawing>
          <wp:inline distT="0" distB="0" distL="0" distR="0" wp14:anchorId="6C12A5DF" wp14:editId="22724EA7">
            <wp:extent cx="490728" cy="146304"/>
            <wp:effectExtent l="0" t="0" r="0" b="0"/>
            <wp:docPr id="30311" name="Picture 30311"/>
            <wp:cNvGraphicFramePr/>
            <a:graphic xmlns:a="http://schemas.openxmlformats.org/drawingml/2006/main">
              <a:graphicData uri="http://schemas.openxmlformats.org/drawingml/2006/picture">
                <pic:pic xmlns:pic="http://schemas.openxmlformats.org/drawingml/2006/picture">
                  <pic:nvPicPr>
                    <pic:cNvPr id="30311" name="Picture 30311"/>
                    <pic:cNvPicPr/>
                  </pic:nvPicPr>
                  <pic:blipFill>
                    <a:blip r:embed="rId21"/>
                    <a:stretch>
                      <a:fillRect/>
                    </a:stretch>
                  </pic:blipFill>
                  <pic:spPr>
                    <a:xfrm>
                      <a:off x="0" y="0"/>
                      <a:ext cx="490728" cy="146304"/>
                    </a:xfrm>
                    <a:prstGeom prst="rect">
                      <a:avLst/>
                    </a:prstGeom>
                  </pic:spPr>
                </pic:pic>
              </a:graphicData>
            </a:graphic>
          </wp:inline>
        </w:drawing>
      </w:r>
    </w:p>
    <w:p w14:paraId="0D158DF3" w14:textId="77777777" w:rsidR="006B4FC6" w:rsidRDefault="0051217D">
      <w:pPr>
        <w:pStyle w:val="Heading1"/>
        <w:spacing w:after="365"/>
        <w:ind w:left="469" w:hanging="484"/>
      </w:pPr>
      <w:bookmarkStart w:id="11" w:name="_Toc30872"/>
      <w:r>
        <w:t>Results</w:t>
      </w:r>
      <w:bookmarkEnd w:id="11"/>
    </w:p>
    <w:p w14:paraId="0EF3649E" w14:textId="77777777" w:rsidR="006B4FC6" w:rsidRDefault="0051217D">
      <w:pPr>
        <w:pStyle w:val="Heading2"/>
        <w:ind w:left="598" w:hanging="613"/>
      </w:pPr>
      <w:bookmarkStart w:id="12" w:name="_Toc30873"/>
      <w:r>
        <w:t>Solution method</w:t>
      </w:r>
      <w:bookmarkEnd w:id="12"/>
    </w:p>
    <w:p w14:paraId="2A67C3DD" w14:textId="77777777" w:rsidR="006B4FC6" w:rsidRDefault="0051217D">
      <w:pPr>
        <w:spacing w:after="350"/>
        <w:ind w:left="-5" w:right="1516"/>
      </w:pPr>
      <w:r>
        <w:t>The above model sets out a dynamic programming problem, which is solved numerically using backward induction. This involves fixing grids for state variables and applying value-function iteration (VFI), using three-dimensional linear interpolation. Since th</w:t>
      </w:r>
      <w:r>
        <w:t xml:space="preserve">ere are five state variables, and four continuous choice variables, computational speed is a considerable constraint when using VFI. For example, solving the </w:t>
      </w:r>
      <w:r>
        <w:rPr>
          <w:i/>
        </w:rPr>
        <w:t xml:space="preserve">unitary model </w:t>
      </w:r>
      <w:r>
        <w:t xml:space="preserve">took approximately 43 minutes to run. Handling the love shocks in the </w:t>
      </w:r>
      <w:r>
        <w:rPr>
          <w:i/>
        </w:rPr>
        <w:t>extended model</w:t>
      </w:r>
      <w:r>
        <w:t>, as well as the additional discrete choice to divorce, could not be achieved for this paper.</w:t>
      </w:r>
    </w:p>
    <w:p w14:paraId="69D1AD2E" w14:textId="77777777" w:rsidR="006B4FC6" w:rsidRDefault="0051217D">
      <w:pPr>
        <w:pStyle w:val="Heading2"/>
        <w:ind w:left="598" w:hanging="613"/>
      </w:pPr>
      <w:bookmarkStart w:id="13" w:name="_Toc30874"/>
      <w:r>
        <w:t>Calibration</w:t>
      </w:r>
      <w:bookmarkEnd w:id="13"/>
    </w:p>
    <w:p w14:paraId="2BEDAAE2" w14:textId="77777777" w:rsidR="006B4FC6" w:rsidRDefault="0051217D">
      <w:pPr>
        <w:spacing w:after="357"/>
        <w:ind w:left="-5" w:right="1516"/>
      </w:pPr>
      <w:r>
        <w:t>Important consideration was made to set the dis-utility of working while children are present to be higher for woman than for men (</w:t>
      </w:r>
      <w:r>
        <w:rPr>
          <w:i/>
        </w:rPr>
        <w:t>θ</w:t>
      </w:r>
      <w:proofErr w:type="gramStart"/>
      <w:r>
        <w:rPr>
          <w:vertAlign w:val="subscript"/>
        </w:rPr>
        <w:t>1</w:t>
      </w:r>
      <w:r>
        <w:rPr>
          <w:i/>
          <w:vertAlign w:val="subscript"/>
        </w:rPr>
        <w:t>,w</w:t>
      </w:r>
      <w:proofErr w:type="gramEnd"/>
      <w:r>
        <w:rPr>
          <w:i/>
          <w:vertAlign w:val="subscript"/>
        </w:rPr>
        <w:t xml:space="preserve"> </w:t>
      </w:r>
      <w:r>
        <w:rPr>
          <w:i/>
        </w:rPr>
        <w:t>&gt; θ</w:t>
      </w:r>
      <w:r>
        <w:rPr>
          <w:vertAlign w:val="subscript"/>
        </w:rPr>
        <w:t>1</w:t>
      </w:r>
      <w:r>
        <w:rPr>
          <w:i/>
          <w:vertAlign w:val="subscript"/>
        </w:rPr>
        <w:t>,m</w:t>
      </w:r>
      <w:r>
        <w:t xml:space="preserve">). This </w:t>
      </w:r>
      <w:r>
        <w:t xml:space="preserve">is the main driver of asymmetric labour supply behaviour over time in this model, which is motivated from the findings of Adda, </w:t>
      </w:r>
      <w:proofErr w:type="spellStart"/>
      <w:r>
        <w:t>Dustmann</w:t>
      </w:r>
      <w:proofErr w:type="spellEnd"/>
      <w:r>
        <w:t xml:space="preserve">, and Stevens (2017), </w:t>
      </w:r>
      <w:proofErr w:type="spellStart"/>
      <w:r>
        <w:t>Kleven</w:t>
      </w:r>
      <w:proofErr w:type="spellEnd"/>
      <w:r>
        <w:t xml:space="preserve">, </w:t>
      </w:r>
      <w:proofErr w:type="spellStart"/>
      <w:r>
        <w:t>Landais</w:t>
      </w:r>
      <w:proofErr w:type="spellEnd"/>
      <w:r>
        <w:t xml:space="preserve">, and </w:t>
      </w:r>
      <w:proofErr w:type="spellStart"/>
      <w:r>
        <w:t>Egholt</w:t>
      </w:r>
      <w:proofErr w:type="spellEnd"/>
      <w:r>
        <w:t xml:space="preserve"> </w:t>
      </w:r>
      <w:proofErr w:type="spellStart"/>
      <w:r>
        <w:t>Søgaard</w:t>
      </w:r>
      <w:proofErr w:type="spellEnd"/>
      <w:r>
        <w:t xml:space="preserve"> (2018), and </w:t>
      </w:r>
      <w:proofErr w:type="spellStart"/>
      <w:r>
        <w:t>Voena</w:t>
      </w:r>
      <w:proofErr w:type="spellEnd"/>
      <w:r>
        <w:t xml:space="preserve"> (2015). The values of other parameters in th</w:t>
      </w:r>
      <w:r>
        <w:t xml:space="preserve">is model are set somewhat arbitrarily. Values of calibrated parameters can be found in the appendix, </w:t>
      </w:r>
      <w:r>
        <w:lastRenderedPageBreak/>
        <w:t>and a discussion of the potential of using this model for structural estimation is provided in the discussion section.</w:t>
      </w:r>
    </w:p>
    <w:p w14:paraId="57C16C87" w14:textId="77777777" w:rsidR="006B4FC6" w:rsidRDefault="0051217D">
      <w:pPr>
        <w:pStyle w:val="Heading2"/>
        <w:spacing w:after="292"/>
        <w:ind w:left="598" w:hanging="613"/>
      </w:pPr>
      <w:bookmarkStart w:id="14" w:name="_Toc30875"/>
      <w:r>
        <w:t>Simulated labour supply</w:t>
      </w:r>
      <w:bookmarkEnd w:id="14"/>
    </w:p>
    <w:p w14:paraId="326D5B60" w14:textId="77777777" w:rsidR="006B4FC6" w:rsidRDefault="0051217D">
      <w:pPr>
        <w:ind w:left="-5" w:right="1516"/>
      </w:pPr>
      <w:r>
        <w:t>After solvin</w:t>
      </w:r>
      <w:r>
        <w:t xml:space="preserve">g the </w:t>
      </w:r>
      <w:r>
        <w:rPr>
          <w:i/>
        </w:rPr>
        <w:t>unitary model</w:t>
      </w:r>
      <w:r>
        <w:t xml:space="preserve">, it is simulated for 1,000 households over 10 periods. A time period in this setup is a year, and the model can therefore relate to couples who face fertility over a </w:t>
      </w:r>
      <w:proofErr w:type="gramStart"/>
      <w:r>
        <w:t>10 year</w:t>
      </w:r>
      <w:proofErr w:type="gramEnd"/>
      <w:r>
        <w:t xml:space="preserve"> period starting from age 25. Figure 3 presents results for sim</w:t>
      </w:r>
      <w:r>
        <w:t xml:space="preserve">ulated labour supply for households under both child-related transfer regimes. In this simulation, one type of child-related transfer regime is implemented at a time, while the other is set to zero. For example, for the simulation titled ’Unconditional on </w:t>
      </w:r>
      <w:r>
        <w:t xml:space="preserve">market work’, </w:t>
      </w:r>
      <w:r>
        <w:rPr>
          <w:i/>
        </w:rPr>
        <w:t>ϕ</w:t>
      </w:r>
      <w:r>
        <w:rPr>
          <w:vertAlign w:val="subscript"/>
        </w:rPr>
        <w:t xml:space="preserve">1 </w:t>
      </w:r>
      <w:r>
        <w:t xml:space="preserve">is set equal to zero, to isolate the effect of </w:t>
      </w:r>
      <w:r>
        <w:rPr>
          <w:i/>
        </w:rPr>
        <w:t>ϕ</w:t>
      </w:r>
      <w:r>
        <w:rPr>
          <w:vertAlign w:val="subscript"/>
        </w:rPr>
        <w:t xml:space="preserve">0 </w:t>
      </w:r>
      <w:r>
        <w:t>(the unconditional transfer).</w:t>
      </w:r>
    </w:p>
    <w:p w14:paraId="28572DAB" w14:textId="77777777" w:rsidR="006B4FC6" w:rsidRDefault="0051217D">
      <w:pPr>
        <w:spacing w:after="193" w:line="259" w:lineRule="auto"/>
        <w:ind w:left="0" w:firstLine="0"/>
        <w:jc w:val="left"/>
      </w:pPr>
      <w:r>
        <w:rPr>
          <w:rFonts w:ascii="Calibri" w:eastAsia="Calibri" w:hAnsi="Calibri" w:cs="Calibri"/>
          <w:noProof/>
          <w:sz w:val="22"/>
        </w:rPr>
        <mc:AlternateContent>
          <mc:Choice Requires="wpg">
            <w:drawing>
              <wp:inline distT="0" distB="0" distL="0" distR="0" wp14:anchorId="16403337" wp14:editId="37F97097">
                <wp:extent cx="5615927" cy="1895332"/>
                <wp:effectExtent l="0" t="0" r="0" b="0"/>
                <wp:docPr id="30351" name="Group 30351"/>
                <wp:cNvGraphicFramePr/>
                <a:graphic xmlns:a="http://schemas.openxmlformats.org/drawingml/2006/main">
                  <a:graphicData uri="http://schemas.microsoft.com/office/word/2010/wordprocessingGroup">
                    <wpg:wgp>
                      <wpg:cNvGrpSpPr/>
                      <wpg:grpSpPr>
                        <a:xfrm>
                          <a:off x="0" y="0"/>
                          <a:ext cx="5615927" cy="1895332"/>
                          <a:chOff x="0" y="0"/>
                          <a:chExt cx="5615927" cy="1895332"/>
                        </a:xfrm>
                      </wpg:grpSpPr>
                      <pic:pic xmlns:pic="http://schemas.openxmlformats.org/drawingml/2006/picture">
                        <pic:nvPicPr>
                          <pic:cNvPr id="2165" name="Picture 2165"/>
                          <pic:cNvPicPr/>
                        </pic:nvPicPr>
                        <pic:blipFill>
                          <a:blip r:embed="rId22"/>
                          <a:stretch>
                            <a:fillRect/>
                          </a:stretch>
                        </pic:blipFill>
                        <pic:spPr>
                          <a:xfrm>
                            <a:off x="0" y="0"/>
                            <a:ext cx="2527109" cy="1895332"/>
                          </a:xfrm>
                          <a:prstGeom prst="rect">
                            <a:avLst/>
                          </a:prstGeom>
                        </pic:spPr>
                      </pic:pic>
                      <pic:pic xmlns:pic="http://schemas.openxmlformats.org/drawingml/2006/picture">
                        <pic:nvPicPr>
                          <pic:cNvPr id="2168" name="Picture 2168"/>
                          <pic:cNvPicPr/>
                        </pic:nvPicPr>
                        <pic:blipFill>
                          <a:blip r:embed="rId23"/>
                          <a:stretch>
                            <a:fillRect/>
                          </a:stretch>
                        </pic:blipFill>
                        <pic:spPr>
                          <a:xfrm>
                            <a:off x="3088818" y="0"/>
                            <a:ext cx="2527109" cy="1895332"/>
                          </a:xfrm>
                          <a:prstGeom prst="rect">
                            <a:avLst/>
                          </a:prstGeom>
                        </pic:spPr>
                      </pic:pic>
                    </wpg:wgp>
                  </a:graphicData>
                </a:graphic>
              </wp:inline>
            </w:drawing>
          </mc:Choice>
          <mc:Fallback xmlns:a="http://schemas.openxmlformats.org/drawingml/2006/main">
            <w:pict>
              <v:group id="Group 30351" style="width:442.199pt;height:149.239pt;mso-position-horizontal-relative:char;mso-position-vertical-relative:line" coordsize="56159,18953">
                <v:shape id="Picture 2165" style="position:absolute;width:25271;height:18953;left:0;top:0;" filled="f">
                  <v:imagedata r:id="rId24"/>
                </v:shape>
                <v:shape id="Picture 2168" style="position:absolute;width:25271;height:18953;left:30888;top:0;" filled="f">
                  <v:imagedata r:id="rId25"/>
                </v:shape>
              </v:group>
            </w:pict>
          </mc:Fallback>
        </mc:AlternateContent>
      </w:r>
    </w:p>
    <w:p w14:paraId="337FD103" w14:textId="77777777" w:rsidR="006B4FC6" w:rsidRDefault="0051217D">
      <w:pPr>
        <w:tabs>
          <w:tab w:val="center" w:pos="1990"/>
          <w:tab w:val="center" w:pos="6854"/>
        </w:tabs>
        <w:spacing w:after="287" w:line="302" w:lineRule="auto"/>
        <w:ind w:left="0" w:firstLine="0"/>
        <w:jc w:val="left"/>
      </w:pPr>
      <w:r>
        <w:rPr>
          <w:rFonts w:ascii="Calibri" w:eastAsia="Calibri" w:hAnsi="Calibri" w:cs="Calibri"/>
          <w:sz w:val="22"/>
        </w:rPr>
        <w:tab/>
      </w:r>
      <w:r>
        <w:rPr>
          <w:sz w:val="16"/>
        </w:rPr>
        <w:t>(a) Female labour supply</w:t>
      </w:r>
      <w:r>
        <w:rPr>
          <w:sz w:val="16"/>
        </w:rPr>
        <w:tab/>
        <w:t>(b) Male labour supply</w:t>
      </w:r>
    </w:p>
    <w:p w14:paraId="49823C67" w14:textId="77777777" w:rsidR="006B4FC6" w:rsidRDefault="0051217D">
      <w:pPr>
        <w:spacing w:after="460" w:line="339" w:lineRule="auto"/>
        <w:ind w:right="1531"/>
        <w:jc w:val="center"/>
      </w:pPr>
      <w:r>
        <w:rPr>
          <w:sz w:val="20"/>
        </w:rPr>
        <w:t>Figure 3: Simulated labour supply by gender, and type of child-related transfer implemented.</w:t>
      </w:r>
    </w:p>
    <w:p w14:paraId="24540CDE" w14:textId="77777777" w:rsidR="006B4FC6" w:rsidRDefault="0051217D">
      <w:pPr>
        <w:spacing w:after="41"/>
        <w:ind w:left="-15" w:right="1516" w:firstLine="351"/>
      </w:pPr>
      <w:r>
        <w:t>As seen in Figu</w:t>
      </w:r>
      <w:r>
        <w:t xml:space="preserve">re 3, simulated average labour supply follows a downward time trend for both males and females. This is </w:t>
      </w:r>
      <w:proofErr w:type="gramStart"/>
      <w:r>
        <w:t>due to the effect</w:t>
      </w:r>
      <w:proofErr w:type="gramEnd"/>
      <w:r>
        <w:t xml:space="preserve"> of the random arrival of children on the dis-utility of work. As parents receive a dis-utility of working that is dependent on the pre</w:t>
      </w:r>
      <w:r>
        <w:t>sence of a child, parents anticipate the future arrival of a child and tend to have greater labour supply before the child arrives than afterwards. This effect is greater for women than men in the calibration of this model, because women face a</w:t>
      </w:r>
    </w:p>
    <w:p w14:paraId="477E6522" w14:textId="77777777" w:rsidR="006B4FC6" w:rsidRDefault="0051217D">
      <w:pPr>
        <w:spacing w:after="106" w:line="259" w:lineRule="auto"/>
        <w:ind w:left="-5" w:right="1516"/>
      </w:pPr>
      <w:r>
        <w:t>higher dis-</w:t>
      </w:r>
      <w:r>
        <w:t>utility of work associated with children than men do (</w:t>
      </w:r>
      <w:r>
        <w:rPr>
          <w:i/>
        </w:rPr>
        <w:t>θ</w:t>
      </w:r>
      <w:proofErr w:type="gramStart"/>
      <w:r>
        <w:rPr>
          <w:vertAlign w:val="subscript"/>
        </w:rPr>
        <w:t>1</w:t>
      </w:r>
      <w:r>
        <w:rPr>
          <w:i/>
          <w:vertAlign w:val="subscript"/>
        </w:rPr>
        <w:t>,w</w:t>
      </w:r>
      <w:proofErr w:type="gramEnd"/>
      <w:r>
        <w:rPr>
          <w:i/>
          <w:vertAlign w:val="subscript"/>
        </w:rPr>
        <w:t xml:space="preserve"> </w:t>
      </w:r>
      <w:r>
        <w:rPr>
          <w:i/>
        </w:rPr>
        <w:t>&gt; θ</w:t>
      </w:r>
      <w:r>
        <w:rPr>
          <w:vertAlign w:val="subscript"/>
        </w:rPr>
        <w:t>1</w:t>
      </w:r>
      <w:r>
        <w:rPr>
          <w:i/>
          <w:vertAlign w:val="subscript"/>
        </w:rPr>
        <w:t xml:space="preserve">,m </w:t>
      </w:r>
      <w:r>
        <w:rPr>
          <w:i/>
        </w:rPr>
        <w:t xml:space="preserve">&gt; </w:t>
      </w:r>
      <w:r>
        <w:t>0).</w:t>
      </w:r>
    </w:p>
    <w:p w14:paraId="56FAA3F0" w14:textId="77777777" w:rsidR="006B4FC6" w:rsidRDefault="0051217D">
      <w:pPr>
        <w:ind w:left="-15" w:right="1516" w:firstLine="351"/>
      </w:pPr>
      <w:r>
        <w:t xml:space="preserve">The other noticeable pattern is the relative tapering-off of the gradient in average female labour supply from period 5, for the simulated model with transfers that are conditional on </w:t>
      </w:r>
      <w:r>
        <w:t>market work. This may be explained by the setting of a minimum level of market work hours to qualify for transfers (</w:t>
      </w:r>
      <w:r>
        <w:rPr>
          <w:i/>
        </w:rPr>
        <w:t xml:space="preserve">χ </w:t>
      </w:r>
      <w:r>
        <w:t>= 0</w:t>
      </w:r>
      <w:r>
        <w:rPr>
          <w:i/>
        </w:rPr>
        <w:t>.</w:t>
      </w:r>
      <w:r>
        <w:t xml:space="preserve">5, in this calibration). The transfer </w:t>
      </w:r>
      <w:r>
        <w:lastRenderedPageBreak/>
        <w:t xml:space="preserve">distorts female labour supply in the </w:t>
      </w:r>
      <w:proofErr w:type="gramStart"/>
      <w:r>
        <w:t>model, and</w:t>
      </w:r>
      <w:proofErr w:type="gramEnd"/>
      <w:r>
        <w:t xml:space="preserve"> leads to females working more to be eligible for</w:t>
      </w:r>
      <w:r>
        <w:t xml:space="preserve"> the transfer in some periods than they otherwise would. This finding may be </w:t>
      </w:r>
      <w:proofErr w:type="gramStart"/>
      <w:r>
        <w:t>policy-relevant</w:t>
      </w:r>
      <w:proofErr w:type="gramEnd"/>
      <w:r>
        <w:t xml:space="preserve"> as it highlights that female labour supply may be somewhat responsive to the level of </w:t>
      </w:r>
      <w:r>
        <w:rPr>
          <w:i/>
        </w:rPr>
        <w:t>χ</w:t>
      </w:r>
      <w:r>
        <w:t>.</w:t>
      </w:r>
    </w:p>
    <w:p w14:paraId="68701F2D" w14:textId="77777777" w:rsidR="006B4FC6" w:rsidRDefault="0051217D">
      <w:pPr>
        <w:ind w:left="-15" w:right="1516" w:firstLine="351"/>
      </w:pPr>
      <w:r>
        <w:t>The response of male labour supply to transfers that are conditional on market work, on the other hand, is highly volatile in the simulation results. The sharp fall in male labour supply in period 6, for example, may be explained by the relative increase i</w:t>
      </w:r>
      <w:r>
        <w:t>n female labour supply in this period, to gain eligibility for the conditional transfer. Men in this model therefore reduce their labour supply to smooth household income. There are also relatively sharp increases in average male labour supply in periods 3</w:t>
      </w:r>
      <w:r>
        <w:t xml:space="preserve"> and 5, which may be due to a motive to accumulate more human capital in anticipation of the </w:t>
      </w:r>
      <w:proofErr w:type="gramStart"/>
      <w:r>
        <w:t>aforementioned fall</w:t>
      </w:r>
      <w:proofErr w:type="gramEnd"/>
      <w:r>
        <w:t xml:space="preserve"> in labour supply in period 6. However, the mechanism driving this volatility is relatively unclear, and warrants further investigation.</w:t>
      </w:r>
    </w:p>
    <w:p w14:paraId="3068FE41" w14:textId="77777777" w:rsidR="006B4FC6" w:rsidRDefault="0051217D">
      <w:pPr>
        <w:spacing w:after="396"/>
        <w:ind w:left="-15" w:right="1516" w:firstLine="351"/>
      </w:pPr>
      <w:r>
        <w:t>It is w</w:t>
      </w:r>
      <w:r>
        <w:t>orth noting that the simulation results for labour supply presented in figure 3 are not informative about the relative effect sizes of the different child-related transfer regimes on labour supply. This is because the two different transfer regimes are not</w:t>
      </w:r>
      <w:r>
        <w:t xml:space="preserve"> set to be budget-neutral from the perspective of the government (so that the total expenditure on each of the programs are the same). Implementing this requires first defining a level of total government spending on the transfers, then searching over diff</w:t>
      </w:r>
      <w:r>
        <w:t xml:space="preserve">erent parameter values of </w:t>
      </w:r>
      <w:r>
        <w:rPr>
          <w:i/>
        </w:rPr>
        <w:t>ϕ</w:t>
      </w:r>
      <w:r>
        <w:rPr>
          <w:vertAlign w:val="subscript"/>
        </w:rPr>
        <w:t xml:space="preserve">0 </w:t>
      </w:r>
      <w:r>
        <w:t xml:space="preserve">and </w:t>
      </w:r>
      <w:r>
        <w:rPr>
          <w:i/>
        </w:rPr>
        <w:t>ϕ</w:t>
      </w:r>
      <w:r>
        <w:rPr>
          <w:vertAlign w:val="subscript"/>
        </w:rPr>
        <w:t>1</w:t>
      </w:r>
      <w:r>
        <w:t xml:space="preserve">. This was attempted using a numerical </w:t>
      </w:r>
      <w:proofErr w:type="gramStart"/>
      <w:r>
        <w:t>optimiser,</w:t>
      </w:r>
      <w:proofErr w:type="gramEnd"/>
      <w:r>
        <w:t xml:space="preserve"> however, it was not feasible due to speed constraints.</w:t>
      </w:r>
      <w:r>
        <w:rPr>
          <w:vertAlign w:val="superscript"/>
        </w:rPr>
        <w:footnoteReference w:id="3"/>
      </w:r>
    </w:p>
    <w:p w14:paraId="46EED596" w14:textId="77777777" w:rsidR="006B4FC6" w:rsidRDefault="0051217D">
      <w:pPr>
        <w:pStyle w:val="Heading2"/>
        <w:ind w:left="598" w:hanging="613"/>
      </w:pPr>
      <w:bookmarkStart w:id="15" w:name="_Toc30876"/>
      <w:r>
        <w:t>Simulated labour supply elasticities</w:t>
      </w:r>
      <w:bookmarkEnd w:id="15"/>
    </w:p>
    <w:p w14:paraId="5384AA64" w14:textId="77777777" w:rsidR="006B4FC6" w:rsidRDefault="0051217D">
      <w:pPr>
        <w:ind w:left="-5" w:right="1516"/>
      </w:pPr>
      <w:proofErr w:type="gramStart"/>
      <w:r>
        <w:t>In order to</w:t>
      </w:r>
      <w:proofErr w:type="gramEnd"/>
      <w:r>
        <w:t xml:space="preserve"> comment on the relative effect-sizes of the different child-relat</w:t>
      </w:r>
      <w:r>
        <w:t>ed transfer regimes, I simulated the responses to counter-factual increases in each type of transfer on the average labour supply elasticity of men and women in the model. The counterfactuals are defined as an anticipated 10% increase in child-related tran</w:t>
      </w:r>
      <w:r>
        <w:t>sfers announced before the first period begins, which is implemented for both types of child-related transfers. The results are presented in Figure 4.</w:t>
      </w:r>
    </w:p>
    <w:p w14:paraId="2389A26F" w14:textId="77777777" w:rsidR="006B4FC6" w:rsidRDefault="0051217D">
      <w:pPr>
        <w:spacing w:after="193" w:line="259" w:lineRule="auto"/>
        <w:ind w:left="0" w:firstLine="0"/>
        <w:jc w:val="left"/>
      </w:pPr>
      <w:r>
        <w:rPr>
          <w:rFonts w:ascii="Calibri" w:eastAsia="Calibri" w:hAnsi="Calibri" w:cs="Calibri"/>
          <w:noProof/>
          <w:sz w:val="22"/>
        </w:rPr>
        <w:lastRenderedPageBreak/>
        <mc:AlternateContent>
          <mc:Choice Requires="wpg">
            <w:drawing>
              <wp:inline distT="0" distB="0" distL="0" distR="0" wp14:anchorId="77611FC0" wp14:editId="640C1337">
                <wp:extent cx="5615980" cy="2160906"/>
                <wp:effectExtent l="0" t="0" r="0" b="0"/>
                <wp:docPr id="30354" name="Group 30354"/>
                <wp:cNvGraphicFramePr/>
                <a:graphic xmlns:a="http://schemas.openxmlformats.org/drawingml/2006/main">
                  <a:graphicData uri="http://schemas.microsoft.com/office/word/2010/wordprocessingGroup">
                    <wpg:wgp>
                      <wpg:cNvGrpSpPr/>
                      <wpg:grpSpPr>
                        <a:xfrm>
                          <a:off x="0" y="0"/>
                          <a:ext cx="5615980" cy="2160906"/>
                          <a:chOff x="0" y="0"/>
                          <a:chExt cx="5615980" cy="2160906"/>
                        </a:xfrm>
                      </wpg:grpSpPr>
                      <pic:pic xmlns:pic="http://schemas.openxmlformats.org/drawingml/2006/picture">
                        <pic:nvPicPr>
                          <pic:cNvPr id="2261" name="Picture 2261"/>
                          <pic:cNvPicPr/>
                        </pic:nvPicPr>
                        <pic:blipFill>
                          <a:blip r:embed="rId26"/>
                          <a:stretch>
                            <a:fillRect/>
                          </a:stretch>
                        </pic:blipFill>
                        <pic:spPr>
                          <a:xfrm>
                            <a:off x="0" y="0"/>
                            <a:ext cx="2527162" cy="2160906"/>
                          </a:xfrm>
                          <a:prstGeom prst="rect">
                            <a:avLst/>
                          </a:prstGeom>
                        </pic:spPr>
                      </pic:pic>
                      <pic:pic xmlns:pic="http://schemas.openxmlformats.org/drawingml/2006/picture">
                        <pic:nvPicPr>
                          <pic:cNvPr id="2264" name="Picture 2264"/>
                          <pic:cNvPicPr/>
                        </pic:nvPicPr>
                        <pic:blipFill>
                          <a:blip r:embed="rId27"/>
                          <a:stretch>
                            <a:fillRect/>
                          </a:stretch>
                        </pic:blipFill>
                        <pic:spPr>
                          <a:xfrm>
                            <a:off x="3088818" y="0"/>
                            <a:ext cx="2527162" cy="2160906"/>
                          </a:xfrm>
                          <a:prstGeom prst="rect">
                            <a:avLst/>
                          </a:prstGeom>
                        </pic:spPr>
                      </pic:pic>
                    </wpg:wgp>
                  </a:graphicData>
                </a:graphic>
              </wp:inline>
            </w:drawing>
          </mc:Choice>
          <mc:Fallback xmlns:a="http://schemas.openxmlformats.org/drawingml/2006/main">
            <w:pict>
              <v:group id="Group 30354" style="width:442.203pt;height:170.15pt;mso-position-horizontal-relative:char;mso-position-vertical-relative:line" coordsize="56159,21609">
                <v:shape id="Picture 2261" style="position:absolute;width:25271;height:21609;left:0;top:0;" filled="f">
                  <v:imagedata r:id="rId28"/>
                </v:shape>
                <v:shape id="Picture 2264" style="position:absolute;width:25271;height:21609;left:30888;top:0;" filled="f">
                  <v:imagedata r:id="rId29"/>
                </v:shape>
              </v:group>
            </w:pict>
          </mc:Fallback>
        </mc:AlternateContent>
      </w:r>
    </w:p>
    <w:p w14:paraId="72294993" w14:textId="77777777" w:rsidR="006B4FC6" w:rsidRDefault="0051217D">
      <w:pPr>
        <w:tabs>
          <w:tab w:val="center" w:pos="1990"/>
          <w:tab w:val="center" w:pos="6854"/>
        </w:tabs>
        <w:spacing w:after="287" w:line="302" w:lineRule="auto"/>
        <w:ind w:left="0" w:firstLine="0"/>
        <w:jc w:val="left"/>
      </w:pPr>
      <w:r>
        <w:rPr>
          <w:rFonts w:ascii="Calibri" w:eastAsia="Calibri" w:hAnsi="Calibri" w:cs="Calibri"/>
          <w:sz w:val="22"/>
        </w:rPr>
        <w:tab/>
      </w:r>
      <w:r>
        <w:rPr>
          <w:sz w:val="16"/>
        </w:rPr>
        <w:t xml:space="preserve">(a) </w:t>
      </w:r>
      <w:proofErr w:type="spellStart"/>
      <w:r>
        <w:rPr>
          <w:sz w:val="16"/>
        </w:rPr>
        <w:t>Uncondtional</w:t>
      </w:r>
      <w:proofErr w:type="spellEnd"/>
      <w:r>
        <w:rPr>
          <w:sz w:val="16"/>
        </w:rPr>
        <w:t xml:space="preserve"> on market work</w:t>
      </w:r>
      <w:r>
        <w:rPr>
          <w:sz w:val="16"/>
        </w:rPr>
        <w:tab/>
        <w:t>(b) Conditional on market work</w:t>
      </w:r>
    </w:p>
    <w:p w14:paraId="34F870A8" w14:textId="77777777" w:rsidR="006B4FC6" w:rsidRDefault="0051217D">
      <w:pPr>
        <w:spacing w:after="78" w:line="259" w:lineRule="auto"/>
        <w:ind w:left="-5" w:right="999"/>
        <w:jc w:val="left"/>
      </w:pPr>
      <w:r>
        <w:rPr>
          <w:sz w:val="20"/>
        </w:rPr>
        <w:t>Figure 4: Simulated average Marshall la</w:t>
      </w:r>
      <w:r>
        <w:rPr>
          <w:sz w:val="20"/>
        </w:rPr>
        <w:t>bour supply elasticities to a counter-factual 10% increase in</w:t>
      </w:r>
    </w:p>
    <w:p w14:paraId="3A06B85F" w14:textId="77777777" w:rsidR="006B4FC6" w:rsidRDefault="0051217D">
      <w:pPr>
        <w:spacing w:after="460" w:line="339" w:lineRule="auto"/>
        <w:ind w:right="1531"/>
        <w:jc w:val="center"/>
      </w:pPr>
      <w:r>
        <w:rPr>
          <w:sz w:val="20"/>
        </w:rPr>
        <w:t>child-related transfers, by type of child-related transfer.</w:t>
      </w:r>
    </w:p>
    <w:p w14:paraId="2EDBD819" w14:textId="77777777" w:rsidR="006B4FC6" w:rsidRDefault="0051217D">
      <w:pPr>
        <w:ind w:left="-15" w:right="1516" w:firstLine="351"/>
      </w:pPr>
      <w:r>
        <w:t>The Marshall elasticities shown in Figure 4 illustrate the labour supply responses resulting from the counterfactual policy experiment</w:t>
      </w:r>
      <w:r>
        <w:t>s, reflecting the combined influences of the income and substitution effect. It is worth noting that these Marshall elasticities associated with both types of child-related transfers are not constant over time. This is a characteristic of using a life-cycl</w:t>
      </w:r>
      <w:r>
        <w:t xml:space="preserve">e dynamic labour supply model rather than a static one (Keane and </w:t>
      </w:r>
      <w:proofErr w:type="spellStart"/>
      <w:r>
        <w:t>Wasi</w:t>
      </w:r>
      <w:proofErr w:type="spellEnd"/>
      <w:r>
        <w:t xml:space="preserve"> 2016).</w:t>
      </w:r>
    </w:p>
    <w:p w14:paraId="42FE0AC7" w14:textId="77777777" w:rsidR="006B4FC6" w:rsidRDefault="0051217D">
      <w:pPr>
        <w:ind w:left="-15" w:right="1516" w:firstLine="351"/>
      </w:pPr>
      <w:r>
        <w:t xml:space="preserve">The scale of the Marshall elasticities under both child-related transfer regimes are not </w:t>
      </w:r>
      <w:proofErr w:type="gramStart"/>
      <w:r>
        <w:t>informative, since</w:t>
      </w:r>
      <w:proofErr w:type="gramEnd"/>
      <w:r>
        <w:t xml:space="preserve"> model parameters are not fitted to actual data. What is informative, h</w:t>
      </w:r>
      <w:r>
        <w:t>owever, are the sign and relative difference in the child-related transfers for men and women in the model. For transfers that are unconditional on market work, average labour supply elasticities are negative and increasing (in absolute value) over time. T</w:t>
      </w:r>
      <w:r>
        <w:t>his supports the theoretical prediction that increasing child-related transfers means that households now need to work less to receive the same disposable income (the income effect). Moreover, the elasticity of labour supply with respect to the policy is h</w:t>
      </w:r>
      <w:r>
        <w:t xml:space="preserve">igher (in absolute value terms) for women than for men in all periods. The policy implication suggests that increasing transfers that are unconditional on market work lead both men and women to reduce their labour supply in all periods, and this effect is </w:t>
      </w:r>
      <w:r>
        <w:t>stronger for women than for men.</w:t>
      </w:r>
    </w:p>
    <w:p w14:paraId="26F04A03" w14:textId="77777777" w:rsidR="006B4FC6" w:rsidRDefault="0051217D">
      <w:pPr>
        <w:ind w:left="-15" w:right="1516" w:firstLine="351"/>
      </w:pPr>
      <w:r>
        <w:t xml:space="preserve">For child-related transfers that are conditional on market work, the story is more complicated. The substitution effect is likely more relevant here, as the transfer requires </w:t>
      </w:r>
      <w:r>
        <w:lastRenderedPageBreak/>
        <w:t xml:space="preserve">women to work over a certain threshold of hours </w:t>
      </w:r>
      <w:r>
        <w:t>(</w:t>
      </w:r>
      <w:r>
        <w:rPr>
          <w:i/>
        </w:rPr>
        <w:t>χ</w:t>
      </w:r>
      <w:r>
        <w:t>). Theory may predict that this creates an incentive for women to increase their labour supply to qualify for the transfer, then reduce labour supply more drastically once they fall below the threshold (</w:t>
      </w:r>
      <w:r>
        <w:rPr>
          <w:i/>
        </w:rPr>
        <w:t>χ</w:t>
      </w:r>
      <w:r>
        <w:t>). This effect is somewhat evident in period 7, wh</w:t>
      </w:r>
      <w:r>
        <w:t>ich is the point where female labour supply, on average, falls below the threshold, as seen in Figure 3(a). However, this effect does not persist past period 7 (as theory may suggest), but instead increases to a positive level and with a small negative gra</w:t>
      </w:r>
      <w:r>
        <w:t xml:space="preserve">dient. This latter result is </w:t>
      </w:r>
      <w:proofErr w:type="gramStart"/>
      <w:r>
        <w:t>unexpected</w:t>
      </w:r>
      <w:proofErr w:type="gramEnd"/>
      <w:r>
        <w:t xml:space="preserve"> and it is unclear how it can be explained in terms of the income and substitution effects. Moreover, the Marshall elasticity of male labour supply is highly volatile and seems to act as a counterbalance to the </w:t>
      </w:r>
      <w:proofErr w:type="spellStart"/>
      <w:r>
        <w:t>the</w:t>
      </w:r>
      <w:proofErr w:type="spellEnd"/>
      <w:r>
        <w:t xml:space="preserve"> ch</w:t>
      </w:r>
      <w:r>
        <w:t>anges of female labour supply around the threshold level</w:t>
      </w:r>
    </w:p>
    <w:p w14:paraId="6B542722" w14:textId="77777777" w:rsidR="006B4FC6" w:rsidRDefault="0051217D">
      <w:pPr>
        <w:spacing w:after="495"/>
        <w:ind w:left="-5" w:right="1516"/>
      </w:pPr>
      <w:r>
        <w:t>(</w:t>
      </w:r>
      <w:r>
        <w:rPr>
          <w:i/>
        </w:rPr>
        <w:t>χ</w:t>
      </w:r>
      <w:r>
        <w:t>).</w:t>
      </w:r>
    </w:p>
    <w:p w14:paraId="166E3F96" w14:textId="77777777" w:rsidR="006B4FC6" w:rsidRDefault="0051217D">
      <w:pPr>
        <w:pStyle w:val="Heading1"/>
        <w:spacing w:after="365"/>
        <w:ind w:left="469" w:hanging="484"/>
      </w:pPr>
      <w:bookmarkStart w:id="16" w:name="_Toc30877"/>
      <w:r>
        <w:t>Discussion</w:t>
      </w:r>
      <w:bookmarkEnd w:id="16"/>
    </w:p>
    <w:p w14:paraId="1E8A1744" w14:textId="77777777" w:rsidR="006B4FC6" w:rsidRDefault="0051217D">
      <w:pPr>
        <w:pStyle w:val="Heading2"/>
        <w:ind w:left="598" w:hanging="613"/>
      </w:pPr>
      <w:bookmarkStart w:id="17" w:name="_Toc30878"/>
      <w:r>
        <w:t xml:space="preserve">Insights from the </w:t>
      </w:r>
      <w:r>
        <w:rPr>
          <w:rFonts w:ascii="Calibri" w:eastAsia="Calibri" w:hAnsi="Calibri" w:cs="Calibri"/>
          <w:b w:val="0"/>
          <w:i/>
        </w:rPr>
        <w:t>unitary model</w:t>
      </w:r>
      <w:bookmarkEnd w:id="17"/>
    </w:p>
    <w:p w14:paraId="32AB40E7" w14:textId="77777777" w:rsidR="006B4FC6" w:rsidRDefault="0051217D">
      <w:pPr>
        <w:ind w:left="-5" w:right="1516"/>
      </w:pPr>
      <w:r>
        <w:t xml:space="preserve">Simulation results from the unitary model provide several insights into household labour supply responses to child-related transfers. For transfers that are unconditional on market work, the model suggests that the labour supply elasticity is time-varying </w:t>
      </w:r>
      <w:r>
        <w:t>and generally negative, and of greater magnitude for women than men. This suggests that policies aimed at increasing female labour force participation by providing households with child-related transfers that are independent of market work may be ineffecti</w:t>
      </w:r>
      <w:r>
        <w:t>ve.</w:t>
      </w:r>
    </w:p>
    <w:p w14:paraId="6EE5B668" w14:textId="77777777" w:rsidR="006B4FC6" w:rsidRDefault="0051217D">
      <w:pPr>
        <w:ind w:left="-15" w:right="1516" w:firstLine="351"/>
      </w:pPr>
      <w:r>
        <w:t xml:space="preserve">The negative labour supply elasticity finding with respect to unconditional transfers is contrary to the findings of all the empirical studies mentioned to motivate this paper </w:t>
      </w:r>
      <w:proofErr w:type="spellStart"/>
      <w:r>
        <w:t>Guner</w:t>
      </w:r>
      <w:proofErr w:type="spellEnd"/>
      <w:r>
        <w:t xml:space="preserve">, </w:t>
      </w:r>
      <w:proofErr w:type="spellStart"/>
      <w:r>
        <w:t>Kaygusuz</w:t>
      </w:r>
      <w:proofErr w:type="spellEnd"/>
      <w:r>
        <w:t>, and Ventura (2020) and Rogerson (2007). One potential expla</w:t>
      </w:r>
      <w:r>
        <w:t>nation is that the gender-specific dis-utility of working that depends on the presence of children (</w:t>
      </w:r>
      <w:r>
        <w:rPr>
          <w:i/>
        </w:rPr>
        <w:t>θ</w:t>
      </w:r>
      <w:proofErr w:type="gramStart"/>
      <w:r>
        <w:rPr>
          <w:vertAlign w:val="subscript"/>
        </w:rPr>
        <w:t>1</w:t>
      </w:r>
      <w:r>
        <w:rPr>
          <w:i/>
          <w:vertAlign w:val="subscript"/>
        </w:rPr>
        <w:t>,m</w:t>
      </w:r>
      <w:proofErr w:type="gramEnd"/>
      <w:r>
        <w:rPr>
          <w:i/>
          <w:vertAlign w:val="subscript"/>
        </w:rPr>
        <w:t xml:space="preserve"> </w:t>
      </w:r>
      <w:r>
        <w:t xml:space="preserve">and </w:t>
      </w:r>
      <w:r>
        <w:rPr>
          <w:i/>
        </w:rPr>
        <w:t>θ</w:t>
      </w:r>
      <w:r>
        <w:rPr>
          <w:vertAlign w:val="subscript"/>
        </w:rPr>
        <w:t>1</w:t>
      </w:r>
      <w:r>
        <w:rPr>
          <w:i/>
          <w:vertAlign w:val="subscript"/>
        </w:rPr>
        <w:t>,w</w:t>
      </w:r>
      <w:r>
        <w:t>), is calibrated too low. This may result in the substitution effect being overpowered by the income effect. A future study may investigate thi</w:t>
      </w:r>
      <w:r>
        <w:t>s by calculating the Frisch elasticity of labour supply with respect to an unanticipated, transitory increase in unconditional child-related transfers (Keane 2016). Doing so would isolate the substitution effect quantitatively, which was not possible using</w:t>
      </w:r>
      <w:r>
        <w:t xml:space="preserve"> the Marshallian elasticity framework in this paper. Another possible driver of the </w:t>
      </w:r>
      <w:r>
        <w:lastRenderedPageBreak/>
        <w:t>unexpected results is the effect of human capital accumulation on wage trajectories (</w:t>
      </w:r>
      <w:r>
        <w:rPr>
          <w:i/>
        </w:rPr>
        <w:t>α</w:t>
      </w:r>
      <w:proofErr w:type="gramStart"/>
      <w:r>
        <w:rPr>
          <w:vertAlign w:val="subscript"/>
        </w:rPr>
        <w:t>1</w:t>
      </w:r>
      <w:r>
        <w:rPr>
          <w:i/>
          <w:vertAlign w:val="subscript"/>
        </w:rPr>
        <w:t>,j</w:t>
      </w:r>
      <w:proofErr w:type="gramEnd"/>
      <w:r>
        <w:t xml:space="preserve">). Perhaps, the benefit of working to increase future wages is set too low for the substitution effect to play a significant role. Calibrating </w:t>
      </w:r>
      <w:proofErr w:type="gramStart"/>
      <w:r>
        <w:t>both of these</w:t>
      </w:r>
      <w:proofErr w:type="gramEnd"/>
      <w:r>
        <w:t xml:space="preserve"> parameters empirically, or estimating them within the model, may be avenue for future research to c</w:t>
      </w:r>
      <w:r>
        <w:t>larify these questions.</w:t>
      </w:r>
    </w:p>
    <w:p w14:paraId="7D93A179" w14:textId="77777777" w:rsidR="006B4FC6" w:rsidRDefault="0051217D">
      <w:pPr>
        <w:spacing w:after="361" w:line="344" w:lineRule="auto"/>
        <w:ind w:right="1516"/>
        <w:jc w:val="right"/>
      </w:pPr>
      <w:r>
        <w:t>For transfers that are conditional on market work, the results are varied.</w:t>
      </w:r>
      <w:r>
        <w:tab/>
        <w:t>The results suggest that for women whose labour supply choice is close to the threshold that qualifies them for the conditional transfer (</w:t>
      </w:r>
      <w:r>
        <w:rPr>
          <w:i/>
        </w:rPr>
        <w:t>χ</w:t>
      </w:r>
      <w:r>
        <w:t>), they tend to re</w:t>
      </w:r>
      <w:r>
        <w:t xml:space="preserve">main working just enough to receive the transfer. This finding may be relevant to a </w:t>
      </w:r>
      <w:proofErr w:type="gramStart"/>
      <w:r>
        <w:t>policy-maker</w:t>
      </w:r>
      <w:proofErr w:type="gramEnd"/>
      <w:r>
        <w:t xml:space="preserve"> with an objective to encourage a certain level of labour supply (for part-time work, for example), or a policy-maker may wish to avoid this issue by including </w:t>
      </w:r>
      <w:r>
        <w:t xml:space="preserve">a progressive system of child-related transfers that are conditional on work. Male labour supply under conditional transfers is found to highly volatile, and in some periods counteracts the movement in female labour supply to smooth household income. This </w:t>
      </w:r>
      <w:r>
        <w:t xml:space="preserve">result is also </w:t>
      </w:r>
      <w:proofErr w:type="gramStart"/>
      <w:r>
        <w:t>unexpected, and</w:t>
      </w:r>
      <w:proofErr w:type="gramEnd"/>
      <w:r>
        <w:t xml:space="preserve"> is contrary to other empirical studies which find male labour supply to be relatively unresponsive to changes in government transfers (Adda, </w:t>
      </w:r>
      <w:proofErr w:type="spellStart"/>
      <w:r>
        <w:t>Dustmann</w:t>
      </w:r>
      <w:proofErr w:type="spellEnd"/>
      <w:r>
        <w:t xml:space="preserve">, and Stevens 2017; Jakobsen, </w:t>
      </w:r>
      <w:proofErr w:type="spellStart"/>
      <w:r>
        <w:t>Jørgensen</w:t>
      </w:r>
      <w:proofErr w:type="spellEnd"/>
      <w:r>
        <w:t xml:space="preserve">, and Low 2022; Keane and </w:t>
      </w:r>
      <w:proofErr w:type="spellStart"/>
      <w:r>
        <w:t>Wasi</w:t>
      </w:r>
      <w:proofErr w:type="spellEnd"/>
      <w:r>
        <w:t xml:space="preserve"> 2016).</w:t>
      </w:r>
      <w:r>
        <w:t xml:space="preserve"> This result may be further investigated by estimating model parameters empirically. Since male labour supply in this model seems to be far more volatile than what is seen empirically, it may be appropriate to introduce labour market search-and-match frict</w:t>
      </w:r>
      <w:r>
        <w:t>ions or impose discrete choices for labour supply (making them decide between part-time or full-time, for example).</w:t>
      </w:r>
    </w:p>
    <w:p w14:paraId="23A69C2A" w14:textId="77777777" w:rsidR="006B4FC6" w:rsidRDefault="0051217D">
      <w:pPr>
        <w:pStyle w:val="Heading2"/>
        <w:ind w:left="598" w:hanging="613"/>
      </w:pPr>
      <w:bookmarkStart w:id="18" w:name="_Toc30879"/>
      <w:r>
        <w:t>Limitations</w:t>
      </w:r>
      <w:bookmarkEnd w:id="18"/>
    </w:p>
    <w:p w14:paraId="49C1BED0" w14:textId="77777777" w:rsidR="006B4FC6" w:rsidRDefault="0051217D">
      <w:pPr>
        <w:ind w:left="-5" w:right="1516"/>
      </w:pPr>
      <w:r>
        <w:t>As already alluded to, insights from this model are limited in three important respects, (1) the model is likely too simple to c</w:t>
      </w:r>
      <w:r>
        <w:t xml:space="preserve">apture many important dynamics affecting household labour supply decisions, (2) it is not calibrated to any empirical moments, nor does it produce parameter estimates, and (3) the </w:t>
      </w:r>
      <w:r>
        <w:rPr>
          <w:i/>
        </w:rPr>
        <w:t>extended model</w:t>
      </w:r>
      <w:r>
        <w:t xml:space="preserve">, which includes household bargaining and limited commitment, </w:t>
      </w:r>
      <w:r>
        <w:t xml:space="preserve">is not solved. </w:t>
      </w:r>
      <w:proofErr w:type="gramStart"/>
      <w:r>
        <w:t>All of</w:t>
      </w:r>
      <w:proofErr w:type="gramEnd"/>
      <w:r>
        <w:t xml:space="preserve"> these limitations are related to the problem of computational speed that arises when solving the model numerically.</w:t>
      </w:r>
    </w:p>
    <w:p w14:paraId="28C21D50" w14:textId="77777777" w:rsidR="006B4FC6" w:rsidRDefault="0051217D">
      <w:pPr>
        <w:ind w:left="-15" w:right="1516" w:firstLine="351"/>
      </w:pPr>
      <w:r>
        <w:t xml:space="preserve">One possible way to overcome the challenge of computational speed is to solve the </w:t>
      </w:r>
      <w:r>
        <w:rPr>
          <w:i/>
        </w:rPr>
        <w:t xml:space="preserve">extended model </w:t>
      </w:r>
      <w:r>
        <w:t xml:space="preserve">using the endogenous </w:t>
      </w:r>
      <w:r>
        <w:t xml:space="preserve">grid-point method (EGM), as originally proposed </w:t>
      </w:r>
      <w:r>
        <w:lastRenderedPageBreak/>
        <w:t>by Carroll (2006). This is known to provide impressive speed gains compared to standard VFI (</w:t>
      </w:r>
      <w:proofErr w:type="spellStart"/>
      <w:r>
        <w:t>Druedahl</w:t>
      </w:r>
      <w:proofErr w:type="spellEnd"/>
      <w:r>
        <w:t xml:space="preserve"> and </w:t>
      </w:r>
      <w:proofErr w:type="spellStart"/>
      <w:r>
        <w:t>Jørgensen</w:t>
      </w:r>
      <w:proofErr w:type="spellEnd"/>
      <w:r>
        <w:t xml:space="preserve"> 2017). However, using EGM is not straight-forward because it requires an analytical expressi</w:t>
      </w:r>
      <w:r>
        <w:t xml:space="preserve">on for the inverse marginal utility function, which is not known in this case. </w:t>
      </w:r>
      <w:proofErr w:type="spellStart"/>
      <w:r>
        <w:t>Hallengreen</w:t>
      </w:r>
      <w:proofErr w:type="spellEnd"/>
      <w:r>
        <w:t xml:space="preserve">, </w:t>
      </w:r>
      <w:proofErr w:type="spellStart"/>
      <w:r>
        <w:t>Jørgensen</w:t>
      </w:r>
      <w:proofErr w:type="spellEnd"/>
      <w:r>
        <w:t>, and Olesen (2024) propose a way to do this by finding the numerical derivative of the inverse utility function (</w:t>
      </w:r>
      <w:proofErr w:type="spellStart"/>
      <w:r>
        <w:t>iEGM</w:t>
      </w:r>
      <w:proofErr w:type="spellEnd"/>
      <w:r>
        <w:t>), which may be an avenue to solve th</w:t>
      </w:r>
      <w:r>
        <w:t>is model in a future project.</w:t>
      </w:r>
    </w:p>
    <w:p w14:paraId="39EB412E" w14:textId="77777777" w:rsidR="006B4FC6" w:rsidRDefault="0051217D">
      <w:pPr>
        <w:ind w:left="-15" w:right="1516" w:firstLine="351"/>
      </w:pPr>
      <w:r>
        <w:t xml:space="preserve">The model developed in this paper is intended to be the </w:t>
      </w:r>
      <w:proofErr w:type="gramStart"/>
      <w:r>
        <w:t>most simple</w:t>
      </w:r>
      <w:proofErr w:type="gramEnd"/>
      <w:r>
        <w:t xml:space="preserve"> way to capture dynamic labour supply choices with human capital formation, including household bargaining with limited commitment, and the arrival of children</w:t>
      </w:r>
      <w:r>
        <w:t xml:space="preserve">. There are many potential extensions of this model to make it more realistic in a particular institutional context. For example, it may be interesting to treat fertility as an endogenous choice and allow for the arrival of more than one child, as is done </w:t>
      </w:r>
      <w:r>
        <w:t xml:space="preserve">in a similar context in the study of Jakobsen, </w:t>
      </w:r>
      <w:proofErr w:type="spellStart"/>
      <w:r>
        <w:t>Jørgensen</w:t>
      </w:r>
      <w:proofErr w:type="spellEnd"/>
      <w:r>
        <w:t>, and Low (2022). Moreover, other important choices that accompany labour supply and fertility, such as marriage and education choices, may also be made endogenous.</w:t>
      </w:r>
    </w:p>
    <w:p w14:paraId="1130679E" w14:textId="77777777" w:rsidR="006B4FC6" w:rsidRDefault="0051217D">
      <w:pPr>
        <w:ind w:left="-15" w:right="1516" w:firstLine="351"/>
      </w:pPr>
      <w:r>
        <w:t xml:space="preserve">Another possible extension of this </w:t>
      </w:r>
      <w:r>
        <w:t xml:space="preserve">paper is to calibrate it to empirical moments. Key variables from household-level data that could be used include consumption profiles, </w:t>
      </w:r>
      <w:proofErr w:type="gramStart"/>
      <w:r>
        <w:t>child-births</w:t>
      </w:r>
      <w:proofErr w:type="gramEnd"/>
      <w:r>
        <w:t>, marriage and divorce transitions, wages and time-use data. The method of simulated distance (MSD) could th</w:t>
      </w:r>
      <w:r>
        <w:t xml:space="preserve">en be employed to estimate unobserved parameters. Of particular interest, for example, are the components in the dis-utility of work functions for both genders (the contents of </w:t>
      </w:r>
      <w:r>
        <w:rPr>
          <w:i/>
        </w:rPr>
        <w:t>θ</w:t>
      </w:r>
      <w:r>
        <w:t>(</w:t>
      </w:r>
      <w:proofErr w:type="spellStart"/>
      <w:r>
        <w:rPr>
          <w:i/>
        </w:rPr>
        <w:t>n</w:t>
      </w:r>
      <w:r>
        <w:rPr>
          <w:i/>
          <w:vertAlign w:val="subscript"/>
        </w:rPr>
        <w:t>t</w:t>
      </w:r>
      <w:proofErr w:type="spellEnd"/>
      <w:r>
        <w:t>)), and the role of human capital accumulation in the wage process (</w:t>
      </w:r>
      <w:r>
        <w:rPr>
          <w:i/>
        </w:rPr>
        <w:t>α</w:t>
      </w:r>
      <w:proofErr w:type="gramStart"/>
      <w:r>
        <w:rPr>
          <w:vertAlign w:val="subscript"/>
        </w:rPr>
        <w:t>1</w:t>
      </w:r>
      <w:r>
        <w:rPr>
          <w:i/>
          <w:vertAlign w:val="subscript"/>
        </w:rPr>
        <w:t>,j</w:t>
      </w:r>
      <w:proofErr w:type="gramEnd"/>
      <w:r>
        <w:t xml:space="preserve">). </w:t>
      </w:r>
      <w:r>
        <w:t>Calibrating this model empirically would be especially important given the confounding policy implications the model provides regarding child-related transfers.</w:t>
      </w:r>
      <w:r>
        <w:br w:type="page"/>
      </w:r>
    </w:p>
    <w:p w14:paraId="0903CD14" w14:textId="77777777" w:rsidR="006B4FC6" w:rsidRDefault="0051217D">
      <w:pPr>
        <w:spacing w:after="286" w:line="259" w:lineRule="auto"/>
        <w:ind w:left="-5"/>
        <w:jc w:val="left"/>
      </w:pPr>
      <w:r>
        <w:rPr>
          <w:b/>
          <w:sz w:val="29"/>
        </w:rPr>
        <w:lastRenderedPageBreak/>
        <w:t>References</w:t>
      </w:r>
    </w:p>
    <w:p w14:paraId="71DF1FFA" w14:textId="77777777" w:rsidR="006B4FC6" w:rsidRDefault="0051217D">
      <w:pPr>
        <w:spacing w:after="128"/>
        <w:ind w:left="453" w:right="1516" w:hanging="468"/>
      </w:pPr>
      <w:r>
        <w:t xml:space="preserve">Adda, </w:t>
      </w:r>
      <w:proofErr w:type="spellStart"/>
      <w:r>
        <w:t>J´eroˆme</w:t>
      </w:r>
      <w:proofErr w:type="spellEnd"/>
      <w:r>
        <w:t xml:space="preserve">, Christian </w:t>
      </w:r>
      <w:proofErr w:type="spellStart"/>
      <w:r>
        <w:t>Dustmann</w:t>
      </w:r>
      <w:proofErr w:type="spellEnd"/>
      <w:r>
        <w:t xml:space="preserve">, and </w:t>
      </w:r>
      <w:proofErr w:type="spellStart"/>
      <w:r>
        <w:t>Katrien</w:t>
      </w:r>
      <w:proofErr w:type="spellEnd"/>
      <w:r>
        <w:t xml:space="preserve"> Stevens. 2017. “The Career Costs of</w:t>
      </w:r>
      <w:r>
        <w:t xml:space="preserve"> Children.” Publisher: The University of Chicago Press, </w:t>
      </w:r>
      <w:r>
        <w:rPr>
          <w:i/>
        </w:rPr>
        <w:t xml:space="preserve">Journal of Political Economy </w:t>
      </w:r>
      <w:r>
        <w:t xml:space="preserve">125, no. 2 (April): 293–337. </w:t>
      </w:r>
      <w:proofErr w:type="spellStart"/>
      <w:r>
        <w:rPr>
          <w:rFonts w:ascii="Calibri" w:eastAsia="Calibri" w:hAnsi="Calibri" w:cs="Calibri"/>
        </w:rPr>
        <w:t>issn</w:t>
      </w:r>
      <w:proofErr w:type="spellEnd"/>
      <w:r>
        <w:t xml:space="preserve">: 0022-3808, accessed May 23, 2024. </w:t>
      </w:r>
      <w:hyperlink r:id="rId30">
        <w:r>
          <w:t xml:space="preserve">https: </w:t>
        </w:r>
      </w:hyperlink>
      <w:hyperlink r:id="rId31">
        <w:r>
          <w:t>//doi.org/10.1086/690952.</w:t>
        </w:r>
      </w:hyperlink>
      <w:r>
        <w:t xml:space="preserve"> </w:t>
      </w:r>
      <w:hyperlink r:id="rId32">
        <w:r>
          <w:t xml:space="preserve">https://www.journals.uchicago.edu/doi/abs/10.1086/ </w:t>
        </w:r>
      </w:hyperlink>
      <w:hyperlink r:id="rId33">
        <w:r>
          <w:t>690952.</w:t>
        </w:r>
      </w:hyperlink>
    </w:p>
    <w:p w14:paraId="17DA9E01" w14:textId="77777777" w:rsidR="006B4FC6" w:rsidRDefault="0051217D">
      <w:pPr>
        <w:spacing w:after="130"/>
        <w:ind w:left="453" w:right="1516" w:hanging="468"/>
      </w:pPr>
      <w:r>
        <w:t>Baker, Michael</w:t>
      </w:r>
      <w:r>
        <w:t xml:space="preserve">, Jonathan Gruber, and Kevin Milligan. 2008. “Universal Child Care, Maternal </w:t>
      </w:r>
      <w:proofErr w:type="spellStart"/>
      <w:r>
        <w:t>Labor</w:t>
      </w:r>
      <w:proofErr w:type="spellEnd"/>
      <w:r>
        <w:t xml:space="preserve"> Supply, and Family Well-Being.” Publisher: The University of Chicago Press, </w:t>
      </w:r>
      <w:r>
        <w:rPr>
          <w:i/>
        </w:rPr>
        <w:t xml:space="preserve">Journal of Political Economy </w:t>
      </w:r>
      <w:r>
        <w:t xml:space="preserve">116 (4): 709–745. </w:t>
      </w:r>
      <w:proofErr w:type="spellStart"/>
      <w:r>
        <w:rPr>
          <w:rFonts w:ascii="Calibri" w:eastAsia="Calibri" w:hAnsi="Calibri" w:cs="Calibri"/>
        </w:rPr>
        <w:t>issn</w:t>
      </w:r>
      <w:proofErr w:type="spellEnd"/>
      <w:r>
        <w:t xml:space="preserve">: 0022-3808, accessed May 31, 2024. </w:t>
      </w:r>
      <w:hyperlink r:id="rId34">
        <w:r>
          <w:t>https://doi.org/10.1086/591908.</w:t>
        </w:r>
      </w:hyperlink>
      <w:r>
        <w:t xml:space="preserve"> </w:t>
      </w:r>
      <w:hyperlink r:id="rId35">
        <w:r>
          <w:t xml:space="preserve">https://www.jstor.org/ </w:t>
        </w:r>
      </w:hyperlink>
      <w:hyperlink r:id="rId36">
        <w:r>
          <w:t>stable/10.1086/591908.</w:t>
        </w:r>
      </w:hyperlink>
    </w:p>
    <w:p w14:paraId="38EC3A4C" w14:textId="77777777" w:rsidR="006B4FC6" w:rsidRDefault="0051217D">
      <w:pPr>
        <w:ind w:left="453" w:right="1516" w:hanging="468"/>
      </w:pPr>
      <w:proofErr w:type="spellStart"/>
      <w:r>
        <w:t>Blau</w:t>
      </w:r>
      <w:proofErr w:type="spellEnd"/>
      <w:r>
        <w:t xml:space="preserve">, David </w:t>
      </w:r>
      <w:r>
        <w:t xml:space="preserve">M., and Alison P. </w:t>
      </w:r>
      <w:proofErr w:type="spellStart"/>
      <w:r>
        <w:t>Hagy</w:t>
      </w:r>
      <w:proofErr w:type="spellEnd"/>
      <w:r>
        <w:t xml:space="preserve">. 1998. “The Demand for Quality in Child Care.” Publisher: The University of Chicago Press, </w:t>
      </w:r>
      <w:r>
        <w:rPr>
          <w:i/>
        </w:rPr>
        <w:t xml:space="preserve">Journal of Political Economy </w:t>
      </w:r>
      <w:r>
        <w:t>106, no.</w:t>
      </w:r>
    </w:p>
    <w:p w14:paraId="59853659" w14:textId="77777777" w:rsidR="006B4FC6" w:rsidRDefault="0051217D">
      <w:pPr>
        <w:spacing w:after="138"/>
        <w:ind w:left="478" w:right="1516"/>
      </w:pPr>
      <w:r>
        <w:t xml:space="preserve">1 (February): 104–146. </w:t>
      </w:r>
      <w:proofErr w:type="spellStart"/>
      <w:r>
        <w:rPr>
          <w:rFonts w:ascii="Calibri" w:eastAsia="Calibri" w:hAnsi="Calibri" w:cs="Calibri"/>
        </w:rPr>
        <w:t>issn</w:t>
      </w:r>
      <w:proofErr w:type="spellEnd"/>
      <w:r>
        <w:t xml:space="preserve">: 0022-3808, accessed May 31, 2024. </w:t>
      </w:r>
      <w:hyperlink r:id="rId37">
        <w:r>
          <w:t xml:space="preserve">https://doi.org/ </w:t>
        </w:r>
      </w:hyperlink>
      <w:hyperlink r:id="rId38">
        <w:r>
          <w:t>10.1086/250004.</w:t>
        </w:r>
      </w:hyperlink>
      <w:r>
        <w:t xml:space="preserve"> </w:t>
      </w:r>
      <w:hyperlink r:id="rId39">
        <w:r>
          <w:t>https://www.journals.uchicago.edu/doi/abs/10.1086</w:t>
        </w:r>
        <w:r>
          <w:t>/250004.</w:t>
        </w:r>
      </w:hyperlink>
    </w:p>
    <w:p w14:paraId="6682CBC5" w14:textId="77777777" w:rsidR="006B4FC6" w:rsidRDefault="0051217D">
      <w:pPr>
        <w:spacing w:after="97" w:line="259" w:lineRule="auto"/>
        <w:ind w:left="-5" w:right="1516"/>
      </w:pPr>
      <w:r>
        <w:t xml:space="preserve">Bronson, Mary Ann, and Maurizio </w:t>
      </w:r>
      <w:proofErr w:type="spellStart"/>
      <w:r>
        <w:t>Mazzocco</w:t>
      </w:r>
      <w:proofErr w:type="spellEnd"/>
      <w:r>
        <w:t>. 2023. “Cohort Size and the Marriage</w:t>
      </w:r>
    </w:p>
    <w:p w14:paraId="42D043CB" w14:textId="77777777" w:rsidR="006B4FC6" w:rsidRDefault="0051217D">
      <w:pPr>
        <w:spacing w:after="129"/>
        <w:ind w:left="478" w:right="1516"/>
      </w:pPr>
      <w:r>
        <w:t xml:space="preserve">Market: Explaining Nearly a Century of Changes in US Marriage Rates.” Publisher: The University of Chicago Press, </w:t>
      </w:r>
      <w:r>
        <w:rPr>
          <w:i/>
        </w:rPr>
        <w:t xml:space="preserve">Journal of </w:t>
      </w:r>
      <w:proofErr w:type="spellStart"/>
      <w:r>
        <w:rPr>
          <w:i/>
        </w:rPr>
        <w:t>Labor</w:t>
      </w:r>
      <w:proofErr w:type="spellEnd"/>
      <w:r>
        <w:rPr>
          <w:i/>
        </w:rPr>
        <w:t xml:space="preserve"> Economics </w:t>
      </w:r>
      <w:r>
        <w:t xml:space="preserve">(January): 000–000. </w:t>
      </w:r>
      <w:proofErr w:type="spellStart"/>
      <w:r>
        <w:rPr>
          <w:rFonts w:ascii="Calibri" w:eastAsia="Calibri" w:hAnsi="Calibri" w:cs="Calibri"/>
        </w:rPr>
        <w:t>issn</w:t>
      </w:r>
      <w:proofErr w:type="spellEnd"/>
      <w:r>
        <w:t>: 07</w:t>
      </w:r>
      <w:r>
        <w:t xml:space="preserve">34-306X, accessed May 31, 2024. </w:t>
      </w:r>
      <w:hyperlink r:id="rId40">
        <w:r>
          <w:t>https://doi.org/10.1086/724047.</w:t>
        </w:r>
      </w:hyperlink>
      <w:r>
        <w:t xml:space="preserve"> </w:t>
      </w:r>
      <w:hyperlink r:id="rId41">
        <w:r>
          <w:t xml:space="preserve">https: </w:t>
        </w:r>
      </w:hyperlink>
      <w:hyperlink r:id="rId42">
        <w:r>
          <w:t>//www.journals.uchicago.edu/doi/10.1086/724047.</w:t>
        </w:r>
      </w:hyperlink>
    </w:p>
    <w:p w14:paraId="4AC5ACEB" w14:textId="77777777" w:rsidR="006B4FC6" w:rsidRDefault="0051217D">
      <w:pPr>
        <w:spacing w:after="128"/>
        <w:ind w:left="453" w:right="1516" w:hanging="468"/>
      </w:pPr>
      <w:r>
        <w:t xml:space="preserve">Carroll, Christopher D. 2006. “The method of endogenous </w:t>
      </w:r>
      <w:proofErr w:type="spellStart"/>
      <w:r>
        <w:t>gridpoints</w:t>
      </w:r>
      <w:proofErr w:type="spellEnd"/>
      <w:r>
        <w:t xml:space="preserve"> for solving dynamic stochastic optimization problems.” </w:t>
      </w:r>
      <w:r>
        <w:rPr>
          <w:i/>
        </w:rPr>
        <w:t xml:space="preserve">Economics Letters </w:t>
      </w:r>
      <w:r>
        <w:t xml:space="preserve">91, no. 3 (June): 312–320. </w:t>
      </w:r>
      <w:proofErr w:type="spellStart"/>
      <w:r>
        <w:rPr>
          <w:rFonts w:ascii="Calibri" w:eastAsia="Calibri" w:hAnsi="Calibri" w:cs="Calibri"/>
        </w:rPr>
        <w:t>issn</w:t>
      </w:r>
      <w:proofErr w:type="spellEnd"/>
      <w:r>
        <w:t>: 0165-1765, accessed May 30</w:t>
      </w:r>
      <w:r>
        <w:t xml:space="preserve">, 2024. </w:t>
      </w:r>
      <w:hyperlink r:id="rId43">
        <w:r>
          <w:t xml:space="preserve">https://doi.org/10.1016/ </w:t>
        </w:r>
      </w:hyperlink>
      <w:hyperlink r:id="rId44">
        <w:r>
          <w:t>j.econlet.2005.09.013.</w:t>
        </w:r>
      </w:hyperlink>
      <w:r>
        <w:t xml:space="preserve"> </w:t>
      </w:r>
      <w:hyperlink r:id="rId45">
        <w:r>
          <w:t xml:space="preserve">https://www.sciencedirect.com/science/article/pii/ </w:t>
        </w:r>
      </w:hyperlink>
      <w:hyperlink r:id="rId46">
        <w:r>
          <w:t>S0165176505003368.</w:t>
        </w:r>
      </w:hyperlink>
    </w:p>
    <w:p w14:paraId="1C879BF9" w14:textId="77777777" w:rsidR="006B4FC6" w:rsidRDefault="0051217D">
      <w:pPr>
        <w:ind w:left="453" w:right="1516" w:hanging="468"/>
      </w:pPr>
      <w:proofErr w:type="spellStart"/>
      <w:r>
        <w:t>Chiappori</w:t>
      </w:r>
      <w:proofErr w:type="spellEnd"/>
      <w:r>
        <w:t xml:space="preserve">, Pierre-Andre, and Maurizio </w:t>
      </w:r>
      <w:proofErr w:type="spellStart"/>
      <w:r>
        <w:t>Mazzocco</w:t>
      </w:r>
      <w:proofErr w:type="spellEnd"/>
      <w:r>
        <w:t>. 2017. “Static and Intertemporal Ho</w:t>
      </w:r>
      <w:r>
        <w:t xml:space="preserve">usehold Decisions” [in </w:t>
      </w:r>
      <w:proofErr w:type="spellStart"/>
      <w:r>
        <w:t>en</w:t>
      </w:r>
      <w:proofErr w:type="spellEnd"/>
      <w:r>
        <w:t xml:space="preserve">]. </w:t>
      </w:r>
      <w:r>
        <w:rPr>
          <w:i/>
        </w:rPr>
        <w:t xml:space="preserve">Journal of Economic Literature </w:t>
      </w:r>
      <w:r>
        <w:t xml:space="preserve">55, no. 3 (September): 985–1045. </w:t>
      </w:r>
      <w:proofErr w:type="spellStart"/>
      <w:r>
        <w:rPr>
          <w:rFonts w:ascii="Calibri" w:eastAsia="Calibri" w:hAnsi="Calibri" w:cs="Calibri"/>
        </w:rPr>
        <w:t>issn</w:t>
      </w:r>
      <w:proofErr w:type="spellEnd"/>
      <w:r>
        <w:t xml:space="preserve">: 0022-0515, accessed May 31, 2024. </w:t>
      </w:r>
      <w:hyperlink r:id="rId47">
        <w:r>
          <w:t xml:space="preserve">https://doi.org/10.1257/ </w:t>
        </w:r>
      </w:hyperlink>
      <w:hyperlink r:id="rId48">
        <w:r>
          <w:t>jel.20150715.</w:t>
        </w:r>
      </w:hyperlink>
      <w:r>
        <w:t xml:space="preserve"> </w:t>
      </w:r>
      <w:hyperlink r:id="rId49">
        <w:r>
          <w:t>https://www.aeaweb.org/articles?id=10.1257/jel.20150715.</w:t>
        </w:r>
      </w:hyperlink>
    </w:p>
    <w:p w14:paraId="197768D1" w14:textId="77777777" w:rsidR="006B4FC6" w:rsidRDefault="0051217D">
      <w:pPr>
        <w:spacing w:after="158"/>
        <w:ind w:left="453" w:right="1516" w:hanging="468"/>
      </w:pPr>
      <w:proofErr w:type="spellStart"/>
      <w:r>
        <w:t>Druedahl</w:t>
      </w:r>
      <w:proofErr w:type="spellEnd"/>
      <w:r>
        <w:t xml:space="preserve">, Jeppe, and Thomas </w:t>
      </w:r>
      <w:proofErr w:type="spellStart"/>
      <w:r>
        <w:t>Høgholm</w:t>
      </w:r>
      <w:proofErr w:type="spellEnd"/>
      <w:r>
        <w:t xml:space="preserve"> </w:t>
      </w:r>
      <w:proofErr w:type="spellStart"/>
      <w:r>
        <w:t>Jørgensen</w:t>
      </w:r>
      <w:proofErr w:type="spellEnd"/>
      <w:r>
        <w:t>. 2017. “A general endogenous grid method for multi-</w:t>
      </w:r>
      <w:r>
        <w:t xml:space="preserve">dimensional models with non-convexities and constraints.” </w:t>
      </w:r>
      <w:r>
        <w:rPr>
          <w:i/>
        </w:rPr>
        <w:lastRenderedPageBreak/>
        <w:t xml:space="preserve">Journal of Economic Dynamics and Control </w:t>
      </w:r>
      <w:r>
        <w:t xml:space="preserve">74 (January): 87–107. </w:t>
      </w:r>
      <w:proofErr w:type="spellStart"/>
      <w:r>
        <w:rPr>
          <w:rFonts w:ascii="Calibri" w:eastAsia="Calibri" w:hAnsi="Calibri" w:cs="Calibri"/>
        </w:rPr>
        <w:t>issn</w:t>
      </w:r>
      <w:proofErr w:type="spellEnd"/>
      <w:r>
        <w:t xml:space="preserve">: 0165-1889, accessed May 30, 2024. </w:t>
      </w:r>
      <w:hyperlink r:id="rId50">
        <w:r>
          <w:t>https://doi.org/10.1016/j.jedc.20</w:t>
        </w:r>
        <w:r>
          <w:t>16.11.005.</w:t>
        </w:r>
      </w:hyperlink>
      <w:r>
        <w:t xml:space="preserve"> </w:t>
      </w:r>
      <w:hyperlink r:id="rId51">
        <w:r>
          <w:t xml:space="preserve">https: </w:t>
        </w:r>
      </w:hyperlink>
      <w:hyperlink r:id="rId52">
        <w:r>
          <w:t>//www.sciencedirect.com/science/article/pii/S0165188916301920.</w:t>
        </w:r>
      </w:hyperlink>
    </w:p>
    <w:p w14:paraId="14FCC6BC" w14:textId="77777777" w:rsidR="006B4FC6" w:rsidRDefault="0051217D">
      <w:pPr>
        <w:spacing w:after="130"/>
        <w:ind w:left="453" w:right="1516" w:hanging="468"/>
      </w:pPr>
      <w:r>
        <w:t xml:space="preserve">Foerster, Hanno. 2023. </w:t>
      </w:r>
      <w:r>
        <w:rPr>
          <w:i/>
        </w:rPr>
        <w:t>Untying the Knot: How Child Support and Alimony Affect Couples’ Decisions and Welfare</w:t>
      </w:r>
      <w:r>
        <w:rPr>
          <w:i/>
        </w:rPr>
        <w:t xml:space="preserve">. </w:t>
      </w:r>
      <w:r>
        <w:t xml:space="preserve">Boston College Working Papers in Economics 1043. Boston College Department of Economics, December. Accessed April 29, 2024. </w:t>
      </w:r>
      <w:hyperlink r:id="rId53">
        <w:r>
          <w:t>https://econpapers.repec.org/paper/bocbocoec/1043.htm.</w:t>
        </w:r>
      </w:hyperlink>
    </w:p>
    <w:p w14:paraId="4060E59A" w14:textId="77777777" w:rsidR="006B4FC6" w:rsidRDefault="0051217D">
      <w:pPr>
        <w:spacing w:after="124" w:line="369" w:lineRule="auto"/>
        <w:ind w:left="468" w:right="1414" w:hanging="468"/>
        <w:jc w:val="left"/>
      </w:pPr>
      <w:proofErr w:type="spellStart"/>
      <w:r>
        <w:t>Gu</w:t>
      </w:r>
      <w:r>
        <w:t>ner</w:t>
      </w:r>
      <w:proofErr w:type="spellEnd"/>
      <w:r>
        <w:t xml:space="preserve">, </w:t>
      </w:r>
      <w:proofErr w:type="spellStart"/>
      <w:r>
        <w:t>Nezih</w:t>
      </w:r>
      <w:proofErr w:type="spellEnd"/>
      <w:r>
        <w:t xml:space="preserve">, </w:t>
      </w:r>
      <w:proofErr w:type="spellStart"/>
      <w:r>
        <w:t>Remzi</w:t>
      </w:r>
      <w:proofErr w:type="spellEnd"/>
      <w:r>
        <w:t xml:space="preserve"> </w:t>
      </w:r>
      <w:proofErr w:type="spellStart"/>
      <w:r>
        <w:t>Kaygusuz</w:t>
      </w:r>
      <w:proofErr w:type="spellEnd"/>
      <w:r>
        <w:t xml:space="preserve">, and Gustavo Ventura. 2020. “Child-Related Transfers, Household Labour Supply, and Welfare.” </w:t>
      </w:r>
      <w:r>
        <w:rPr>
          <w:i/>
        </w:rPr>
        <w:t xml:space="preserve">The Review of Economic Studies </w:t>
      </w:r>
      <w:r>
        <w:t xml:space="preserve">87, no. 5 (October): 2290–2321. </w:t>
      </w:r>
      <w:proofErr w:type="spellStart"/>
      <w:r>
        <w:rPr>
          <w:rFonts w:ascii="Calibri" w:eastAsia="Calibri" w:hAnsi="Calibri" w:cs="Calibri"/>
        </w:rPr>
        <w:t>issn</w:t>
      </w:r>
      <w:proofErr w:type="spellEnd"/>
      <w:r>
        <w:t xml:space="preserve">: 0034-6527, accessed April 23, 2024. </w:t>
      </w:r>
      <w:hyperlink r:id="rId54">
        <w:r>
          <w:t xml:space="preserve">https://doi.org/ </w:t>
        </w:r>
      </w:hyperlink>
      <w:hyperlink r:id="rId55">
        <w:r>
          <w:t>10.1093/restud/rdaa011.</w:t>
        </w:r>
      </w:hyperlink>
      <w:r>
        <w:t xml:space="preserve"> </w:t>
      </w:r>
      <w:hyperlink r:id="rId56">
        <w:r>
          <w:t>https://doi.org/10.1093/restud/rdaa011.</w:t>
        </w:r>
      </w:hyperlink>
    </w:p>
    <w:p w14:paraId="60550D79" w14:textId="77777777" w:rsidR="006B4FC6" w:rsidRDefault="0051217D">
      <w:pPr>
        <w:spacing w:after="141"/>
        <w:ind w:left="453" w:right="1516" w:hanging="468"/>
      </w:pPr>
      <w:proofErr w:type="spellStart"/>
      <w:r>
        <w:t>Hallengreen</w:t>
      </w:r>
      <w:proofErr w:type="spellEnd"/>
      <w:r>
        <w:t xml:space="preserve">, Adam, Thomas </w:t>
      </w:r>
      <w:proofErr w:type="spellStart"/>
      <w:r>
        <w:t>Høghol</w:t>
      </w:r>
      <w:r>
        <w:t>m</w:t>
      </w:r>
      <w:proofErr w:type="spellEnd"/>
      <w:r>
        <w:t xml:space="preserve"> </w:t>
      </w:r>
      <w:proofErr w:type="spellStart"/>
      <w:r>
        <w:t>Jørgensen</w:t>
      </w:r>
      <w:proofErr w:type="spellEnd"/>
      <w:r>
        <w:t xml:space="preserve">, and </w:t>
      </w:r>
      <w:proofErr w:type="spellStart"/>
      <w:r>
        <w:t>Annasofie</w:t>
      </w:r>
      <w:proofErr w:type="spellEnd"/>
      <w:r>
        <w:t xml:space="preserve"> M. Olesen. 2024. “The Endogenous Grid Method without Analytical Inverse Marginal Utility” [in </w:t>
      </w:r>
      <w:proofErr w:type="spellStart"/>
      <w:r>
        <w:t>en</w:t>
      </w:r>
      <w:proofErr w:type="spellEnd"/>
      <w:r>
        <w:t xml:space="preserve">]. </w:t>
      </w:r>
      <w:r>
        <w:rPr>
          <w:i/>
        </w:rPr>
        <w:t xml:space="preserve">SSRN Electronic Journal, </w:t>
      </w:r>
      <w:proofErr w:type="spellStart"/>
      <w:r>
        <w:rPr>
          <w:rFonts w:ascii="Calibri" w:eastAsia="Calibri" w:hAnsi="Calibri" w:cs="Calibri"/>
        </w:rPr>
        <w:t>issn</w:t>
      </w:r>
      <w:proofErr w:type="spellEnd"/>
      <w:r>
        <w:t xml:space="preserve">: 1556-5068, accessed May 30, 2024. </w:t>
      </w:r>
      <w:hyperlink r:id="rId57">
        <w:r>
          <w:t>https://d</w:t>
        </w:r>
        <w:r>
          <w:t xml:space="preserve">oi. </w:t>
        </w:r>
      </w:hyperlink>
      <w:hyperlink r:id="rId58">
        <w:r>
          <w:t>org/10.2139/ssrn.4830404.</w:t>
        </w:r>
      </w:hyperlink>
      <w:r>
        <w:t xml:space="preserve"> </w:t>
      </w:r>
      <w:hyperlink r:id="rId59">
        <w:r>
          <w:t>https://www.ssrn.com/abstract=4830404.</w:t>
        </w:r>
      </w:hyperlink>
    </w:p>
    <w:p w14:paraId="39F2D491" w14:textId="77777777" w:rsidR="006B4FC6" w:rsidRDefault="0051217D">
      <w:pPr>
        <w:spacing w:after="128"/>
        <w:ind w:left="453" w:right="1516" w:hanging="468"/>
      </w:pPr>
      <w:r>
        <w:t>Heckman, James J. 1974. “Effects of Child-Care Programs on Women’s Work Ef</w:t>
      </w:r>
      <w:r>
        <w:t xml:space="preserve">fort.” Publisher: The University of Chicago Press, </w:t>
      </w:r>
      <w:r>
        <w:rPr>
          <w:i/>
        </w:rPr>
        <w:t xml:space="preserve">Journal of Political Economy </w:t>
      </w:r>
      <w:r>
        <w:t xml:space="preserve">82, no. 2, Part 2 (March): S136–S163. </w:t>
      </w:r>
      <w:proofErr w:type="spellStart"/>
      <w:r>
        <w:rPr>
          <w:rFonts w:ascii="Calibri" w:eastAsia="Calibri" w:hAnsi="Calibri" w:cs="Calibri"/>
        </w:rPr>
        <w:t>issn</w:t>
      </w:r>
      <w:proofErr w:type="spellEnd"/>
      <w:r>
        <w:t xml:space="preserve">: 0022-3808, accessed May 31, 2024. </w:t>
      </w:r>
      <w:hyperlink r:id="rId60">
        <w:r>
          <w:t xml:space="preserve">https: </w:t>
        </w:r>
      </w:hyperlink>
      <w:hyperlink r:id="rId61">
        <w:r>
          <w:t>//doi.org/10.1086/260297.</w:t>
        </w:r>
      </w:hyperlink>
      <w:r>
        <w:t xml:space="preserve"> </w:t>
      </w:r>
      <w:hyperlink r:id="rId62">
        <w:r>
          <w:t xml:space="preserve">https://www.journals.uchicago.edu/doi/abs/10.1086/ </w:t>
        </w:r>
      </w:hyperlink>
      <w:hyperlink r:id="rId63">
        <w:r>
          <w:t>260297.</w:t>
        </w:r>
      </w:hyperlink>
    </w:p>
    <w:p w14:paraId="33D190F3" w14:textId="77777777" w:rsidR="006B4FC6" w:rsidRDefault="0051217D">
      <w:pPr>
        <w:spacing w:after="139"/>
        <w:ind w:left="453" w:right="1516" w:hanging="468"/>
      </w:pPr>
      <w:proofErr w:type="spellStart"/>
      <w:r>
        <w:t>Hotz</w:t>
      </w:r>
      <w:proofErr w:type="spellEnd"/>
      <w:r>
        <w:t>, V. J</w:t>
      </w:r>
      <w:r>
        <w:t xml:space="preserve">oseph, and Robert A. Miller. 1988. “An Empirical Analysis of Life Cycle Fertility and Female </w:t>
      </w:r>
      <w:proofErr w:type="spellStart"/>
      <w:r>
        <w:t>Labor</w:t>
      </w:r>
      <w:proofErr w:type="spellEnd"/>
      <w:r>
        <w:t xml:space="preserve"> Supply.” Publisher: [Wiley, Econometric Society], </w:t>
      </w:r>
      <w:proofErr w:type="spellStart"/>
      <w:r>
        <w:rPr>
          <w:i/>
        </w:rPr>
        <w:t>Econometrica</w:t>
      </w:r>
      <w:proofErr w:type="spellEnd"/>
      <w:r>
        <w:rPr>
          <w:i/>
        </w:rPr>
        <w:t xml:space="preserve"> </w:t>
      </w:r>
      <w:r>
        <w:t xml:space="preserve">56 (1): 91–118. </w:t>
      </w:r>
      <w:proofErr w:type="spellStart"/>
      <w:r>
        <w:rPr>
          <w:rFonts w:ascii="Calibri" w:eastAsia="Calibri" w:hAnsi="Calibri" w:cs="Calibri"/>
        </w:rPr>
        <w:t>issn</w:t>
      </w:r>
      <w:proofErr w:type="spellEnd"/>
      <w:r>
        <w:t xml:space="preserve">: 0012-9682, accessed May 31, 2024. </w:t>
      </w:r>
      <w:hyperlink r:id="rId64">
        <w:r>
          <w:t xml:space="preserve">https://doi.org/ </w:t>
        </w:r>
      </w:hyperlink>
      <w:hyperlink r:id="rId65">
        <w:r>
          <w:t>10.2307/1911843.</w:t>
        </w:r>
      </w:hyperlink>
      <w:r>
        <w:t xml:space="preserve"> </w:t>
      </w:r>
      <w:hyperlink r:id="rId66">
        <w:r>
          <w:t>https://www.jstor.org/stable/1911843.</w:t>
        </w:r>
      </w:hyperlink>
    </w:p>
    <w:p w14:paraId="09B27EB1" w14:textId="77777777" w:rsidR="006B4FC6" w:rsidRDefault="0051217D">
      <w:pPr>
        <w:spacing w:after="126" w:line="259" w:lineRule="auto"/>
        <w:ind w:left="-5" w:right="1516"/>
      </w:pPr>
      <w:r>
        <w:t xml:space="preserve">Imai, Susumu, and Michael P. Keane. 2004. “Intertemporal </w:t>
      </w:r>
      <w:proofErr w:type="spellStart"/>
      <w:r>
        <w:t>Labor</w:t>
      </w:r>
      <w:proofErr w:type="spellEnd"/>
      <w:r>
        <w:t xml:space="preserve"> Supply and Human</w:t>
      </w:r>
    </w:p>
    <w:p w14:paraId="1FB2F98F" w14:textId="77777777" w:rsidR="006B4FC6" w:rsidRDefault="0051217D">
      <w:pPr>
        <w:spacing w:after="131" w:line="265" w:lineRule="auto"/>
        <w:ind w:right="82"/>
        <w:jc w:val="right"/>
      </w:pPr>
      <w:r>
        <w:t xml:space="preserve">Capital Accumulation*” [in </w:t>
      </w:r>
      <w:proofErr w:type="spellStart"/>
      <w:r>
        <w:t>en</w:t>
      </w:r>
      <w:proofErr w:type="spellEnd"/>
      <w:r>
        <w:t xml:space="preserve">]. </w:t>
      </w:r>
      <w:proofErr w:type="spellStart"/>
      <w:r>
        <w:t>Eprint</w:t>
      </w:r>
      <w:proofErr w:type="spellEnd"/>
      <w:r>
        <w:t>: https://onlinelibrary.wiley.com/doi/pdf/10.1111/j.1468-</w:t>
      </w:r>
    </w:p>
    <w:p w14:paraId="301CB1B3" w14:textId="77777777" w:rsidR="006B4FC6" w:rsidRDefault="0051217D">
      <w:pPr>
        <w:ind w:left="478" w:right="1516"/>
      </w:pPr>
      <w:r>
        <w:t xml:space="preserve">2354.2004.00138.x, </w:t>
      </w:r>
      <w:r>
        <w:rPr>
          <w:i/>
        </w:rPr>
        <w:t xml:space="preserve">International Economic Review </w:t>
      </w:r>
      <w:r>
        <w:t xml:space="preserve">45 (2): 601–641. </w:t>
      </w:r>
      <w:proofErr w:type="spellStart"/>
      <w:r>
        <w:rPr>
          <w:rFonts w:ascii="Calibri" w:eastAsia="Calibri" w:hAnsi="Calibri" w:cs="Calibri"/>
        </w:rPr>
        <w:t>issn</w:t>
      </w:r>
      <w:proofErr w:type="spellEnd"/>
      <w:r>
        <w:t xml:space="preserve">: 14682354, accessed May 24, 2024. </w:t>
      </w:r>
      <w:hyperlink r:id="rId67">
        <w:r>
          <w:t xml:space="preserve">https://doi.org/10.1111/j.1468-2354.2004.00138.x. </w:t>
        </w:r>
      </w:hyperlink>
      <w:hyperlink r:id="rId68">
        <w:r>
          <w:t>https://onlinelibrary.wiley.com/doi/abs/10.1111/j.1468-2354.2004.00138.x.</w:t>
        </w:r>
      </w:hyperlink>
    </w:p>
    <w:p w14:paraId="57D9F632" w14:textId="77777777" w:rsidR="006B4FC6" w:rsidRDefault="0051217D">
      <w:pPr>
        <w:spacing w:after="128"/>
        <w:ind w:left="453" w:right="1516" w:hanging="468"/>
      </w:pPr>
      <w:r>
        <w:lastRenderedPageBreak/>
        <w:t xml:space="preserve">Jakobsen, Katrine Marie, Thomas </w:t>
      </w:r>
      <w:proofErr w:type="spellStart"/>
      <w:r>
        <w:t>Jørgensen</w:t>
      </w:r>
      <w:proofErr w:type="spellEnd"/>
      <w:r>
        <w:t xml:space="preserve">, and Hamish Low. 2022. </w:t>
      </w:r>
      <w:r>
        <w:rPr>
          <w:i/>
        </w:rPr>
        <w:t xml:space="preserve">Fertility and Family </w:t>
      </w:r>
      <w:proofErr w:type="spellStart"/>
      <w:r>
        <w:rPr>
          <w:i/>
        </w:rPr>
        <w:t>Labor</w:t>
      </w:r>
      <w:proofErr w:type="spellEnd"/>
      <w:r>
        <w:rPr>
          <w:i/>
        </w:rPr>
        <w:t xml:space="preserve"> Supply </w:t>
      </w:r>
      <w:r>
        <w:t xml:space="preserve">[in </w:t>
      </w:r>
      <w:proofErr w:type="spellStart"/>
      <w:r>
        <w:t>en</w:t>
      </w:r>
      <w:proofErr w:type="spellEnd"/>
      <w:r>
        <w:t xml:space="preserve">]. SSRN Scholarly Paper. Rochester, NY. Accessed May 25, 2024. </w:t>
      </w:r>
      <w:hyperlink r:id="rId69">
        <w:r>
          <w:t>https://doi.org/10.2139/ssrn.4118084.</w:t>
        </w:r>
      </w:hyperlink>
      <w:r>
        <w:t xml:space="preserve"> </w:t>
      </w:r>
      <w:hyperlink r:id="rId70">
        <w:r>
          <w:t xml:space="preserve">https://papers.ssrn.com/abstract= </w:t>
        </w:r>
      </w:hyperlink>
      <w:hyperlink r:id="rId71">
        <w:r>
          <w:t>4118084.</w:t>
        </w:r>
      </w:hyperlink>
    </w:p>
    <w:p w14:paraId="5FC6B1A8" w14:textId="77777777" w:rsidR="006B4FC6" w:rsidRDefault="0051217D">
      <w:pPr>
        <w:spacing w:after="128"/>
        <w:ind w:left="453" w:right="-59" w:hanging="468"/>
      </w:pPr>
      <w:r>
        <w:t>Kea</w:t>
      </w:r>
      <w:r>
        <w:t xml:space="preserve">ne, Michael P. 2016. “Life-cycle Labour Supply with Human Capital: Econometric and Behavioural Implications” [in </w:t>
      </w:r>
      <w:proofErr w:type="spellStart"/>
      <w:r>
        <w:t>en</w:t>
      </w:r>
      <w:proofErr w:type="spellEnd"/>
      <w:r>
        <w:t xml:space="preserve">]. </w:t>
      </w:r>
      <w:proofErr w:type="spellStart"/>
      <w:r>
        <w:t>Eprint</w:t>
      </w:r>
      <w:proofErr w:type="spellEnd"/>
      <w:r>
        <w:t xml:space="preserve">: https://onlinelibrary.wiley.com/doi/pdf/10.1111/ec </w:t>
      </w:r>
      <w:r>
        <w:rPr>
          <w:i/>
        </w:rPr>
        <w:t xml:space="preserve">The Economic Journal </w:t>
      </w:r>
      <w:r>
        <w:t xml:space="preserve">126 (592): 546–577. </w:t>
      </w:r>
      <w:proofErr w:type="spellStart"/>
      <w:r>
        <w:rPr>
          <w:rFonts w:ascii="Calibri" w:eastAsia="Calibri" w:hAnsi="Calibri" w:cs="Calibri"/>
        </w:rPr>
        <w:t>issn</w:t>
      </w:r>
      <w:proofErr w:type="spellEnd"/>
      <w:r>
        <w:t>: 1468-0297, accessed May 24, 2024</w:t>
      </w:r>
      <w:r>
        <w:t xml:space="preserve">. </w:t>
      </w:r>
      <w:hyperlink r:id="rId72">
        <w:r>
          <w:t>https://doi.org/10.1111/ecoj.12363.</w:t>
        </w:r>
      </w:hyperlink>
      <w:r>
        <w:t xml:space="preserve"> </w:t>
      </w:r>
      <w:hyperlink r:id="rId73">
        <w:r>
          <w:t xml:space="preserve">https://onlinelibrary.wiley.com/doi/abs/10. </w:t>
        </w:r>
      </w:hyperlink>
      <w:hyperlink r:id="rId74">
        <w:r>
          <w:t>1111/ecoj.12363.</w:t>
        </w:r>
      </w:hyperlink>
    </w:p>
    <w:p w14:paraId="649A5D89" w14:textId="77777777" w:rsidR="006B4FC6" w:rsidRDefault="0051217D">
      <w:pPr>
        <w:ind w:left="453" w:right="-26" w:hanging="468"/>
      </w:pPr>
      <w:r>
        <w:t xml:space="preserve">Keane, Michael P., and Nada </w:t>
      </w:r>
      <w:proofErr w:type="spellStart"/>
      <w:r>
        <w:t>Wasi</w:t>
      </w:r>
      <w:proofErr w:type="spellEnd"/>
      <w:r>
        <w:t xml:space="preserve">. 2016. “Labour Supply: The Roles of Human Capital and The Extensive Margin” [in </w:t>
      </w:r>
      <w:proofErr w:type="spellStart"/>
      <w:r>
        <w:t>en</w:t>
      </w:r>
      <w:proofErr w:type="spellEnd"/>
      <w:r>
        <w:t xml:space="preserve">]. </w:t>
      </w:r>
      <w:proofErr w:type="spellStart"/>
      <w:r>
        <w:t>Eprint</w:t>
      </w:r>
      <w:proofErr w:type="spellEnd"/>
      <w:r>
        <w:t>: https://onlinelibrary.wiley.com/doi/pdf/10.1111/ecoj.</w:t>
      </w:r>
    </w:p>
    <w:p w14:paraId="11033301" w14:textId="77777777" w:rsidR="006B4FC6" w:rsidRDefault="0051217D">
      <w:pPr>
        <w:spacing w:after="158"/>
        <w:ind w:left="478" w:right="1516"/>
      </w:pPr>
      <w:r>
        <w:rPr>
          <w:i/>
        </w:rPr>
        <w:t xml:space="preserve">The Economic Journal </w:t>
      </w:r>
      <w:r>
        <w:t>12</w:t>
      </w:r>
      <w:r>
        <w:t xml:space="preserve">6 (592): 578–617. </w:t>
      </w:r>
      <w:proofErr w:type="spellStart"/>
      <w:r>
        <w:rPr>
          <w:rFonts w:ascii="Calibri" w:eastAsia="Calibri" w:hAnsi="Calibri" w:cs="Calibri"/>
        </w:rPr>
        <w:t>issn</w:t>
      </w:r>
      <w:proofErr w:type="spellEnd"/>
      <w:r>
        <w:t xml:space="preserve">: 1468-0297, accessed May 24, 2024. </w:t>
      </w:r>
      <w:hyperlink r:id="rId75">
        <w:r>
          <w:t>https://doi.org/10.1111/ecoj.12362.</w:t>
        </w:r>
      </w:hyperlink>
      <w:r>
        <w:t xml:space="preserve"> </w:t>
      </w:r>
      <w:hyperlink r:id="rId76">
        <w:r>
          <w:t>https://onlinelibrary.wiley.co</w:t>
        </w:r>
        <w:r>
          <w:t xml:space="preserve">m/doi/abs/10. </w:t>
        </w:r>
      </w:hyperlink>
      <w:hyperlink r:id="rId77">
        <w:r>
          <w:t>1111/ecoj.12362.</w:t>
        </w:r>
      </w:hyperlink>
    </w:p>
    <w:p w14:paraId="42C865DC" w14:textId="77777777" w:rsidR="006B4FC6" w:rsidRDefault="0051217D">
      <w:pPr>
        <w:spacing w:after="138"/>
        <w:ind w:left="453" w:right="1516" w:hanging="468"/>
      </w:pPr>
      <w:proofErr w:type="spellStart"/>
      <w:r>
        <w:t>Kleven</w:t>
      </w:r>
      <w:proofErr w:type="spellEnd"/>
      <w:r>
        <w:t xml:space="preserve">, Henrik, Camille </w:t>
      </w:r>
      <w:proofErr w:type="spellStart"/>
      <w:r>
        <w:t>Landais</w:t>
      </w:r>
      <w:proofErr w:type="spellEnd"/>
      <w:r>
        <w:t xml:space="preserve">, and Jakob </w:t>
      </w:r>
      <w:proofErr w:type="spellStart"/>
      <w:r>
        <w:t>Egholt</w:t>
      </w:r>
      <w:proofErr w:type="spellEnd"/>
      <w:r>
        <w:t xml:space="preserve"> </w:t>
      </w:r>
      <w:proofErr w:type="spellStart"/>
      <w:r>
        <w:t>Søgaard</w:t>
      </w:r>
      <w:proofErr w:type="spellEnd"/>
      <w:r>
        <w:t xml:space="preserve">. 2018. </w:t>
      </w:r>
      <w:r>
        <w:rPr>
          <w:i/>
        </w:rPr>
        <w:t xml:space="preserve">Children and Gender Inequality: Evidence from Denmark. </w:t>
      </w:r>
      <w:r>
        <w:t>Working Paper, January. Acc</w:t>
      </w:r>
      <w:r>
        <w:t xml:space="preserve">essed March 1, 2024. </w:t>
      </w:r>
      <w:hyperlink r:id="rId78">
        <w:r>
          <w:t>https://doi.org/10.3386/w24219.</w:t>
        </w:r>
      </w:hyperlink>
      <w:r>
        <w:t xml:space="preserve"> </w:t>
      </w:r>
      <w:hyperlink r:id="rId79">
        <w:r>
          <w:t>https://www.nber.org/papers/w24219.</w:t>
        </w:r>
      </w:hyperlink>
    </w:p>
    <w:p w14:paraId="1CF8811D" w14:textId="77777777" w:rsidR="006B4FC6" w:rsidRDefault="0051217D">
      <w:pPr>
        <w:ind w:left="453" w:right="1516" w:hanging="468"/>
      </w:pPr>
      <w:proofErr w:type="spellStart"/>
      <w:r>
        <w:t>Mazzocco</w:t>
      </w:r>
      <w:proofErr w:type="spellEnd"/>
      <w:r>
        <w:t>, Maurizio. 2007. “Household Intertemporal Behaviour: A</w:t>
      </w:r>
      <w:r>
        <w:t xml:space="preserve"> Collective Characterization and a Test of Commitment.” </w:t>
      </w:r>
      <w:r>
        <w:rPr>
          <w:i/>
        </w:rPr>
        <w:t xml:space="preserve">The Review of Economic Studies </w:t>
      </w:r>
      <w:r>
        <w:t xml:space="preserve">74, no. 3 (July): 857–895. </w:t>
      </w:r>
      <w:proofErr w:type="spellStart"/>
      <w:r>
        <w:rPr>
          <w:rFonts w:ascii="Calibri" w:eastAsia="Calibri" w:hAnsi="Calibri" w:cs="Calibri"/>
        </w:rPr>
        <w:t>issn</w:t>
      </w:r>
      <w:proofErr w:type="spellEnd"/>
      <w:r>
        <w:t xml:space="preserve">: 0034-6527, accessed May 31, 2024. </w:t>
      </w:r>
      <w:hyperlink r:id="rId80">
        <w:r>
          <w:t>https://doi.org/10.1111/</w:t>
        </w:r>
      </w:hyperlink>
    </w:p>
    <w:p w14:paraId="047E075C" w14:textId="77777777" w:rsidR="006B4FC6" w:rsidRDefault="0051217D">
      <w:pPr>
        <w:spacing w:after="282" w:line="259" w:lineRule="auto"/>
        <w:ind w:left="478" w:right="1516"/>
      </w:pPr>
      <w:hyperlink r:id="rId81">
        <w:r>
          <w:t>j.1467-937X.2007.00447.x.</w:t>
        </w:r>
      </w:hyperlink>
      <w:r>
        <w:t xml:space="preserve"> </w:t>
      </w:r>
      <w:hyperlink r:id="rId82">
        <w:r>
          <w:t>https://doi.org/10.1111/j.1467-937X.2007.00447.x.</w:t>
        </w:r>
      </w:hyperlink>
    </w:p>
    <w:p w14:paraId="71ED1562" w14:textId="77777777" w:rsidR="006B4FC6" w:rsidRDefault="0051217D">
      <w:pPr>
        <w:spacing w:after="138"/>
        <w:ind w:left="453" w:right="1516" w:hanging="468"/>
      </w:pPr>
      <w:r>
        <w:t xml:space="preserve">OECD. 2019. </w:t>
      </w:r>
      <w:r>
        <w:rPr>
          <w:i/>
        </w:rPr>
        <w:t xml:space="preserve">OECD Reviews of Labour Market and </w:t>
      </w:r>
      <w:r>
        <w:rPr>
          <w:i/>
        </w:rPr>
        <w:t xml:space="preserve">Social Policies </w:t>
      </w:r>
      <w:r>
        <w:t xml:space="preserve">[in </w:t>
      </w:r>
      <w:proofErr w:type="spellStart"/>
      <w:r>
        <w:t>en</w:t>
      </w:r>
      <w:proofErr w:type="spellEnd"/>
      <w:r>
        <w:t xml:space="preserve">]. Text. Accessed May 23, 2024. </w:t>
      </w:r>
      <w:hyperlink r:id="rId83">
        <w:r>
          <w:t>https://www.oecd-ilibrary.org/employment/oecd-reviews</w:t>
        </w:r>
      </w:hyperlink>
      <w:hyperlink r:id="rId84">
        <w:r>
          <w:t>of-labour-market-and-social-policies</w:t>
        </w:r>
      </w:hyperlink>
      <w:r>
        <w:t xml:space="preserve"> </w:t>
      </w:r>
      <w:hyperlink r:id="rId85">
        <w:r>
          <w:t>20743408.</w:t>
        </w:r>
      </w:hyperlink>
    </w:p>
    <w:p w14:paraId="2F5A3CF3" w14:textId="77777777" w:rsidR="006B4FC6" w:rsidRDefault="0051217D">
      <w:pPr>
        <w:spacing w:after="140"/>
        <w:ind w:left="453" w:right="1516" w:hanging="468"/>
      </w:pPr>
      <w:r>
        <w:t xml:space="preserve">Rogerson, Richard. 2007. “Taxation and market work: is Scandinavia an outlier?” Publisher: Springer, </w:t>
      </w:r>
      <w:r>
        <w:rPr>
          <w:i/>
        </w:rPr>
        <w:t xml:space="preserve">Economic Theory </w:t>
      </w:r>
      <w:r>
        <w:t xml:space="preserve">32 (1): 59–85. </w:t>
      </w:r>
      <w:proofErr w:type="spellStart"/>
      <w:r>
        <w:rPr>
          <w:rFonts w:ascii="Calibri" w:eastAsia="Calibri" w:hAnsi="Calibri" w:cs="Calibri"/>
        </w:rPr>
        <w:t>issn</w:t>
      </w:r>
      <w:proofErr w:type="spellEnd"/>
      <w:r>
        <w:t xml:space="preserve">: 0938-2259, accessed April 29, 2024. </w:t>
      </w:r>
      <w:hyperlink r:id="rId86">
        <w:r>
          <w:t>https://www.jstor.org/sta</w:t>
        </w:r>
        <w:r>
          <w:t>ble/27822546.</w:t>
        </w:r>
      </w:hyperlink>
    </w:p>
    <w:p w14:paraId="33E102EE" w14:textId="77777777" w:rsidR="006B4FC6" w:rsidRDefault="0051217D">
      <w:pPr>
        <w:ind w:left="453" w:right="1516" w:hanging="468"/>
      </w:pPr>
      <w:proofErr w:type="spellStart"/>
      <w:r>
        <w:t>Tekin</w:t>
      </w:r>
      <w:proofErr w:type="spellEnd"/>
      <w:r>
        <w:t xml:space="preserve">, </w:t>
      </w:r>
      <w:proofErr w:type="spellStart"/>
      <w:r>
        <w:t>Erdal</w:t>
      </w:r>
      <w:proofErr w:type="spellEnd"/>
      <w:r>
        <w:t xml:space="preserve">. 2007. “Childcare Subsidies, Wages, and Employment of Single Mothers” [in </w:t>
      </w:r>
      <w:proofErr w:type="spellStart"/>
      <w:r>
        <w:t>en</w:t>
      </w:r>
      <w:proofErr w:type="spellEnd"/>
      <w:r>
        <w:t xml:space="preserve">]. Publisher: University of Wisconsin Press Section: Articles, </w:t>
      </w:r>
      <w:r>
        <w:rPr>
          <w:i/>
        </w:rPr>
        <w:t xml:space="preserve">Journal of Human Resources </w:t>
      </w:r>
      <w:r>
        <w:t xml:space="preserve">XLII, no. 2 (March): 453–487. </w:t>
      </w:r>
      <w:proofErr w:type="spellStart"/>
      <w:r>
        <w:rPr>
          <w:rFonts w:ascii="Calibri" w:eastAsia="Calibri" w:hAnsi="Calibri" w:cs="Calibri"/>
        </w:rPr>
        <w:t>issn</w:t>
      </w:r>
      <w:proofErr w:type="spellEnd"/>
      <w:r>
        <w:t>: 0022-166X, 1548-8004, acces</w:t>
      </w:r>
      <w:r>
        <w:t xml:space="preserve">sed May </w:t>
      </w:r>
      <w:r>
        <w:lastRenderedPageBreak/>
        <w:t xml:space="preserve">31, 2024. </w:t>
      </w:r>
      <w:hyperlink r:id="rId87">
        <w:r>
          <w:t>https://doi.org/10.3368/jhr.XLII.2.453.</w:t>
        </w:r>
      </w:hyperlink>
      <w:r>
        <w:t xml:space="preserve"> </w:t>
      </w:r>
      <w:hyperlink r:id="rId88">
        <w:r>
          <w:t xml:space="preserve">https://jhr.uwpress.org/ </w:t>
        </w:r>
      </w:hyperlink>
      <w:hyperlink r:id="rId89">
        <w:r>
          <w:t>content/XLII/2/453.</w:t>
        </w:r>
      </w:hyperlink>
    </w:p>
    <w:p w14:paraId="5A3A3755" w14:textId="77777777" w:rsidR="006B4FC6" w:rsidRDefault="0051217D">
      <w:pPr>
        <w:ind w:left="453" w:right="1516" w:hanging="468"/>
      </w:pPr>
      <w:proofErr w:type="spellStart"/>
      <w:r>
        <w:t>Voena</w:t>
      </w:r>
      <w:proofErr w:type="spellEnd"/>
      <w:r>
        <w:t xml:space="preserve">, Alessandra. 2015. “Yours, Mine, and Ours: Do Divorce Laws Affect the Intertemporal </w:t>
      </w:r>
      <w:proofErr w:type="spellStart"/>
      <w:r>
        <w:t>Behavior</w:t>
      </w:r>
      <w:proofErr w:type="spellEnd"/>
      <w:r>
        <w:t xml:space="preserve"> of Married Couples?” [In </w:t>
      </w:r>
      <w:proofErr w:type="spellStart"/>
      <w:r>
        <w:t>en</w:t>
      </w:r>
      <w:proofErr w:type="spellEnd"/>
      <w:r>
        <w:t xml:space="preserve">]. </w:t>
      </w:r>
      <w:r>
        <w:rPr>
          <w:i/>
        </w:rPr>
        <w:t xml:space="preserve">American Economic Review </w:t>
      </w:r>
      <w:r>
        <w:t xml:space="preserve">105, no. 8 (August): 2295–2332. </w:t>
      </w:r>
      <w:proofErr w:type="spellStart"/>
      <w:r>
        <w:rPr>
          <w:rFonts w:ascii="Calibri" w:eastAsia="Calibri" w:hAnsi="Calibri" w:cs="Calibri"/>
        </w:rPr>
        <w:t>issn</w:t>
      </w:r>
      <w:proofErr w:type="spellEnd"/>
      <w:r>
        <w:t xml:space="preserve">: 0002-8282, accessed May 30, 2024. </w:t>
      </w:r>
      <w:hyperlink r:id="rId90">
        <w:r>
          <w:t>https://doi.org/10.</w:t>
        </w:r>
      </w:hyperlink>
    </w:p>
    <w:p w14:paraId="06698DAD" w14:textId="77777777" w:rsidR="006B4FC6" w:rsidRDefault="0051217D">
      <w:pPr>
        <w:spacing w:line="259" w:lineRule="auto"/>
        <w:ind w:left="478" w:right="1516"/>
      </w:pPr>
      <w:hyperlink r:id="rId91">
        <w:r>
          <w:t>1257/aer.20120234.</w:t>
        </w:r>
      </w:hyperlink>
      <w:r>
        <w:t xml:space="preserve"> </w:t>
      </w:r>
      <w:hyperlink r:id="rId92">
        <w:r>
          <w:t>https://www.aeaweb.org/articles</w:t>
        </w:r>
        <w:r>
          <w:t>?id=10.1257/aer.20120234.</w:t>
        </w:r>
      </w:hyperlink>
      <w:r>
        <w:br w:type="page"/>
      </w:r>
    </w:p>
    <w:p w14:paraId="1A6CD880" w14:textId="77777777" w:rsidR="006B4FC6" w:rsidRDefault="0051217D">
      <w:pPr>
        <w:spacing w:after="0" w:line="259" w:lineRule="auto"/>
        <w:ind w:left="-5"/>
        <w:jc w:val="left"/>
      </w:pPr>
      <w:r>
        <w:rPr>
          <w:b/>
          <w:sz w:val="29"/>
        </w:rPr>
        <w:lastRenderedPageBreak/>
        <w:t>Appendix</w:t>
      </w:r>
    </w:p>
    <w:sectPr w:rsidR="006B4FC6">
      <w:footerReference w:type="even" r:id="rId93"/>
      <w:footerReference w:type="default" r:id="rId94"/>
      <w:footerReference w:type="first" r:id="rId95"/>
      <w:pgSz w:w="11906" w:h="16838"/>
      <w:pgMar w:top="1531" w:right="0" w:bottom="1492" w:left="1531" w:header="720" w:footer="88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3EB79D" w14:textId="77777777" w:rsidR="0051217D" w:rsidRDefault="0051217D">
      <w:pPr>
        <w:spacing w:after="0" w:line="240" w:lineRule="auto"/>
      </w:pPr>
      <w:r>
        <w:separator/>
      </w:r>
    </w:p>
  </w:endnote>
  <w:endnote w:type="continuationSeparator" w:id="0">
    <w:p w14:paraId="399A049D" w14:textId="77777777" w:rsidR="0051217D" w:rsidRDefault="005121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C00F3" w14:textId="77777777" w:rsidR="006B4FC6" w:rsidRDefault="006B4FC6">
    <w:pPr>
      <w:spacing w:after="160" w:line="259" w:lineRule="auto"/>
      <w:ind w:lef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DBF15" w14:textId="77777777" w:rsidR="006B4FC6" w:rsidRDefault="0051217D">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24C69E" w14:textId="77777777" w:rsidR="006B4FC6" w:rsidRDefault="006B4FC6">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0A8FF6" w14:textId="77777777" w:rsidR="006B4FC6" w:rsidRDefault="0051217D">
    <w:pPr>
      <w:spacing w:after="0" w:line="259" w:lineRule="auto"/>
      <w:ind w:left="0" w:right="1531" w:firstLine="0"/>
      <w:jc w:val="center"/>
    </w:pPr>
    <w:r>
      <w:fldChar w:fldCharType="begin"/>
    </w:r>
    <w:r>
      <w:instrText xml:space="preserve"> PAGE   \* MERGEFORMAT </w:instrText>
    </w:r>
    <w:r>
      <w:fldChar w:fldCharType="separate"/>
    </w:r>
    <w:r>
      <w:t>1</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CF8910" w14:textId="77777777" w:rsidR="006B4FC6" w:rsidRDefault="0051217D">
    <w:pPr>
      <w:spacing w:after="0" w:line="259" w:lineRule="auto"/>
      <w:ind w:left="0" w:right="1531" w:firstLine="0"/>
      <w:jc w:val="center"/>
    </w:pPr>
    <w:r>
      <w:fldChar w:fldCharType="begin"/>
    </w:r>
    <w:r>
      <w:instrText xml:space="preserve"> PAGE   \* MERGEFORMAT </w:instrText>
    </w:r>
    <w:r>
      <w:fldChar w:fldCharType="separate"/>
    </w:r>
    <w:r>
      <w:t>1</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3F026" w14:textId="77777777" w:rsidR="006B4FC6" w:rsidRDefault="0051217D">
    <w:pPr>
      <w:spacing w:after="0" w:line="259" w:lineRule="auto"/>
      <w:ind w:left="0" w:right="1531"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3BD82F" w14:textId="77777777" w:rsidR="0051217D" w:rsidRDefault="0051217D">
      <w:pPr>
        <w:spacing w:after="0" w:line="351" w:lineRule="auto"/>
        <w:ind w:left="0" w:right="1531" w:firstLine="237"/>
      </w:pPr>
      <w:r>
        <w:separator/>
      </w:r>
    </w:p>
  </w:footnote>
  <w:footnote w:type="continuationSeparator" w:id="0">
    <w:p w14:paraId="3B000655" w14:textId="77777777" w:rsidR="0051217D" w:rsidRDefault="0051217D">
      <w:pPr>
        <w:spacing w:after="0" w:line="351" w:lineRule="auto"/>
        <w:ind w:left="0" w:right="1531" w:firstLine="237"/>
      </w:pPr>
      <w:r>
        <w:continuationSeparator/>
      </w:r>
    </w:p>
  </w:footnote>
  <w:footnote w:id="1">
    <w:p w14:paraId="4178B27B" w14:textId="77777777" w:rsidR="006B4FC6" w:rsidRDefault="0051217D">
      <w:pPr>
        <w:pStyle w:val="footnotedescription"/>
      </w:pPr>
      <w:r>
        <w:rPr>
          <w:rStyle w:val="footnotemark"/>
        </w:rPr>
        <w:footnoteRef/>
      </w:r>
      <w:r>
        <w:t xml:space="preserve"> </w:t>
      </w:r>
      <w:r>
        <w:t>. In the couple’s problem, transfers that are conditional on working target female labour supply, because I found this was the only way to generate an interesting behavioural response using the model. If, instead, conditional transfers depend on both partn</w:t>
      </w:r>
      <w:r>
        <w:t xml:space="preserve">ers working above some amount, </w:t>
      </w:r>
      <w:r>
        <w:rPr>
          <w:i/>
        </w:rPr>
        <w:t>χ</w:t>
      </w:r>
      <w:r>
        <w:t>, then the labour supply response is identical to the case with unconditional transfers.</w:t>
      </w:r>
    </w:p>
  </w:footnote>
  <w:footnote w:id="2">
    <w:p w14:paraId="4E63E137" w14:textId="77777777" w:rsidR="006B4FC6" w:rsidRDefault="0051217D">
      <w:pPr>
        <w:pStyle w:val="footnotedescription"/>
        <w:spacing w:line="339" w:lineRule="auto"/>
      </w:pPr>
      <w:r>
        <w:rPr>
          <w:rStyle w:val="footnotemark"/>
        </w:rPr>
        <w:footnoteRef/>
      </w:r>
      <w:r>
        <w:t xml:space="preserve"> . Treating single-hood as an absorbing state drastically simplifies the problem, but is relatively unrealistic (due to the possibilit</w:t>
      </w:r>
      <w:r>
        <w:t>y of re-partnering). This requirement may hopefully be relaxed in future iterations of the model.</w:t>
      </w:r>
    </w:p>
  </w:footnote>
  <w:footnote w:id="3">
    <w:p w14:paraId="68C3CE39" w14:textId="77777777" w:rsidR="006B4FC6" w:rsidRDefault="0051217D">
      <w:pPr>
        <w:pStyle w:val="footnotedescription"/>
        <w:spacing w:line="377" w:lineRule="auto"/>
        <w:ind w:right="1065"/>
        <w:jc w:val="left"/>
      </w:pPr>
      <w:r>
        <w:rPr>
          <w:rStyle w:val="footnotemark"/>
        </w:rPr>
        <w:footnoteRef/>
      </w:r>
      <w:r>
        <w:t xml:space="preserve"> </w:t>
      </w:r>
      <w:r>
        <w:t xml:space="preserve">. Since solving each version of the model takes approximately 43 minutes, searching over different levels of </w:t>
      </w:r>
      <w:r>
        <w:rPr>
          <w:i/>
        </w:rPr>
        <w:t>ϕ</w:t>
      </w:r>
      <w:r>
        <w:rPr>
          <w:vertAlign w:val="subscript"/>
        </w:rPr>
        <w:t xml:space="preserve">0 </w:t>
      </w:r>
      <w:r>
        <w:t xml:space="preserve">and </w:t>
      </w:r>
      <w:r>
        <w:rPr>
          <w:i/>
        </w:rPr>
        <w:t>ϕ</w:t>
      </w:r>
      <w:r>
        <w:rPr>
          <w:vertAlign w:val="subscript"/>
        </w:rPr>
        <w:t xml:space="preserve">1 </w:t>
      </w:r>
      <w:r>
        <w:t>and re-solving the model is very computationally expensive.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0474AC"/>
    <w:multiLevelType w:val="multilevel"/>
    <w:tmpl w:val="7B701AD6"/>
    <w:lvl w:ilvl="0">
      <w:start w:val="1"/>
      <w:numFmt w:val="decimal"/>
      <w:pStyle w:val="Heading1"/>
      <w:lvlText w:val="%1"/>
      <w:lvlJc w:val="left"/>
      <w:pPr>
        <w:ind w:left="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1">
      <w:start w:val="1"/>
      <w:numFmt w:val="decimal"/>
      <w:pStyle w:val="Heading2"/>
      <w:lvlText w:val="%1.%2"/>
      <w:lvlJc w:val="left"/>
      <w:pPr>
        <w:ind w:left="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7FCF7BEE"/>
    <w:multiLevelType w:val="hybridMultilevel"/>
    <w:tmpl w:val="5E02F890"/>
    <w:lvl w:ilvl="0" w:tplc="56AEC004">
      <w:start w:val="1"/>
      <w:numFmt w:val="decimal"/>
      <w:lvlText w:val="%1."/>
      <w:lvlJc w:val="left"/>
      <w:pPr>
        <w:ind w:left="29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D86C5FB8">
      <w:start w:val="1"/>
      <w:numFmt w:val="lowerLetter"/>
      <w:lvlText w:val="%2"/>
      <w:lvlJc w:val="left"/>
      <w:pPr>
        <w:ind w:left="13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948E6F40">
      <w:start w:val="1"/>
      <w:numFmt w:val="lowerRoman"/>
      <w:lvlText w:val="%3"/>
      <w:lvlJc w:val="left"/>
      <w:pPr>
        <w:ind w:left="20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41E8CF40">
      <w:start w:val="1"/>
      <w:numFmt w:val="decimal"/>
      <w:lvlText w:val="%4"/>
      <w:lvlJc w:val="left"/>
      <w:pPr>
        <w:ind w:left="28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5CE2AB74">
      <w:start w:val="1"/>
      <w:numFmt w:val="lowerLetter"/>
      <w:lvlText w:val="%5"/>
      <w:lvlJc w:val="left"/>
      <w:pPr>
        <w:ind w:left="352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ED0A4EA8">
      <w:start w:val="1"/>
      <w:numFmt w:val="lowerRoman"/>
      <w:lvlText w:val="%6"/>
      <w:lvlJc w:val="left"/>
      <w:pPr>
        <w:ind w:left="42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0842294A">
      <w:start w:val="1"/>
      <w:numFmt w:val="decimal"/>
      <w:lvlText w:val="%7"/>
      <w:lvlJc w:val="left"/>
      <w:pPr>
        <w:ind w:left="49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733414B8">
      <w:start w:val="1"/>
      <w:numFmt w:val="lowerLetter"/>
      <w:lvlText w:val="%8"/>
      <w:lvlJc w:val="left"/>
      <w:pPr>
        <w:ind w:left="56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5BCC3458">
      <w:start w:val="1"/>
      <w:numFmt w:val="lowerRoman"/>
      <w:lvlText w:val="%9"/>
      <w:lvlJc w:val="left"/>
      <w:pPr>
        <w:ind w:left="64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4FC6"/>
    <w:rsid w:val="0051217D"/>
    <w:rsid w:val="006B4FC6"/>
    <w:rsid w:val="00C8562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7F1EE1DB"/>
  <w15:docId w15:val="{5D4E0B15-820E-6B43-80EC-C7B4F9DE3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353" w:lineRule="auto"/>
      <w:ind w:left="10" w:hanging="10"/>
      <w:jc w:val="both"/>
    </w:pPr>
    <w:rPr>
      <w:rFonts w:ascii="Cambria" w:eastAsia="Cambria" w:hAnsi="Cambria" w:cs="Cambria"/>
      <w:color w:val="000000"/>
    </w:rPr>
  </w:style>
  <w:style w:type="paragraph" w:styleId="Heading1">
    <w:name w:val="heading 1"/>
    <w:next w:val="Normal"/>
    <w:link w:val="Heading1Char"/>
    <w:uiPriority w:val="9"/>
    <w:qFormat/>
    <w:pPr>
      <w:keepNext/>
      <w:keepLines/>
      <w:numPr>
        <w:numId w:val="2"/>
      </w:numPr>
      <w:spacing w:after="286" w:line="259" w:lineRule="auto"/>
      <w:ind w:left="10" w:hanging="10"/>
      <w:outlineLvl w:val="0"/>
    </w:pPr>
    <w:rPr>
      <w:rFonts w:ascii="Cambria" w:eastAsia="Cambria" w:hAnsi="Cambria" w:cs="Cambria"/>
      <w:b/>
      <w:color w:val="000000"/>
      <w:sz w:val="29"/>
    </w:rPr>
  </w:style>
  <w:style w:type="paragraph" w:styleId="Heading2">
    <w:name w:val="heading 2"/>
    <w:next w:val="Normal"/>
    <w:link w:val="Heading2Char"/>
    <w:uiPriority w:val="9"/>
    <w:unhideWhenUsed/>
    <w:qFormat/>
    <w:pPr>
      <w:keepNext/>
      <w:keepLines/>
      <w:numPr>
        <w:ilvl w:val="1"/>
        <w:numId w:val="2"/>
      </w:numPr>
      <w:spacing w:after="263" w:line="259" w:lineRule="auto"/>
      <w:ind w:left="10" w:hanging="10"/>
      <w:outlineLvl w:val="1"/>
    </w:pPr>
    <w:rPr>
      <w:rFonts w:ascii="Cambria" w:eastAsia="Cambria" w:hAnsi="Cambria" w:cs="Cambria"/>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000000"/>
      <w:sz w:val="24"/>
    </w:rPr>
  </w:style>
  <w:style w:type="paragraph" w:customStyle="1" w:styleId="footnotedescription">
    <w:name w:val="footnote description"/>
    <w:next w:val="Normal"/>
    <w:link w:val="footnotedescriptionChar"/>
    <w:hidden/>
    <w:pPr>
      <w:spacing w:line="351" w:lineRule="auto"/>
      <w:ind w:right="1531" w:firstLine="237"/>
      <w:jc w:val="both"/>
    </w:pPr>
    <w:rPr>
      <w:rFonts w:ascii="Cambria" w:eastAsia="Cambria" w:hAnsi="Cambria" w:cs="Cambria"/>
      <w:color w:val="000000"/>
      <w:sz w:val="20"/>
    </w:rPr>
  </w:style>
  <w:style w:type="character" w:customStyle="1" w:styleId="footnotedescriptionChar">
    <w:name w:val="footnote description Char"/>
    <w:link w:val="footnotedescription"/>
    <w:rPr>
      <w:rFonts w:ascii="Cambria" w:eastAsia="Cambria" w:hAnsi="Cambria" w:cs="Cambria"/>
      <w:color w:val="000000"/>
      <w:sz w:val="20"/>
    </w:rPr>
  </w:style>
  <w:style w:type="character" w:customStyle="1" w:styleId="Heading1Char">
    <w:name w:val="Heading 1 Char"/>
    <w:link w:val="Heading1"/>
    <w:rPr>
      <w:rFonts w:ascii="Cambria" w:eastAsia="Cambria" w:hAnsi="Cambria" w:cs="Cambria"/>
      <w:b/>
      <w:color w:val="000000"/>
      <w:sz w:val="29"/>
    </w:rPr>
  </w:style>
  <w:style w:type="paragraph" w:styleId="TOC1">
    <w:name w:val="toc 1"/>
    <w:hidden/>
    <w:pPr>
      <w:spacing w:after="160" w:line="259" w:lineRule="auto"/>
      <w:ind w:left="15" w:right="15"/>
    </w:pPr>
    <w:rPr>
      <w:rFonts w:ascii="Calibri" w:eastAsia="Calibri" w:hAnsi="Calibri" w:cs="Calibri"/>
      <w:color w:val="000000"/>
      <w:sz w:val="22"/>
    </w:rPr>
  </w:style>
  <w:style w:type="paragraph" w:styleId="TOC2">
    <w:name w:val="toc 2"/>
    <w:hidden/>
    <w:pPr>
      <w:spacing w:after="160" w:line="259" w:lineRule="auto"/>
      <w:ind w:left="15" w:right="15"/>
    </w:pPr>
    <w:rPr>
      <w:rFonts w:ascii="Calibri" w:eastAsia="Calibri" w:hAnsi="Calibri" w:cs="Calibri"/>
      <w:color w:val="000000"/>
      <w:sz w:val="22"/>
    </w:rPr>
  </w:style>
  <w:style w:type="character" w:customStyle="1" w:styleId="footnotemark">
    <w:name w:val="footnote mark"/>
    <w:hidden/>
    <w:rPr>
      <w:rFonts w:ascii="Cambria" w:eastAsia="Cambria" w:hAnsi="Cambria" w:cs="Cambria"/>
      <w:color w:val="000000"/>
      <w:sz w:val="20"/>
      <w:vertAlign w:val="superscript"/>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image" Target="media/image15.jpg"/><Relationship Id="rId21" Type="http://schemas.openxmlformats.org/officeDocument/2006/relationships/image" Target="media/image12.png"/><Relationship Id="rId42" Type="http://schemas.openxmlformats.org/officeDocument/2006/relationships/hyperlink" Target="https://www.journals.uchicago.edu/doi/10.1086/724047" TargetMode="External"/><Relationship Id="rId47" Type="http://schemas.openxmlformats.org/officeDocument/2006/relationships/hyperlink" Target="https://doi.org/10.1257/jel.20150715" TargetMode="External"/><Relationship Id="rId63" Type="http://schemas.openxmlformats.org/officeDocument/2006/relationships/hyperlink" Target="https://www.journals.uchicago.edu/doi/abs/10.1086/260297" TargetMode="External"/><Relationship Id="rId68" Type="http://schemas.openxmlformats.org/officeDocument/2006/relationships/hyperlink" Target="https://onlinelibrary.wiley.com/doi/abs/10.1111/j.1468-2354.2004.00138.x" TargetMode="External"/><Relationship Id="rId84" Type="http://schemas.openxmlformats.org/officeDocument/2006/relationships/hyperlink" Target="https://www.oecd-ilibrary.org/employment/oecd-reviews-of-labour-market-and-social-policies_20743408" TargetMode="External"/><Relationship Id="rId89" Type="http://schemas.openxmlformats.org/officeDocument/2006/relationships/hyperlink" Target="https://jhr.uwpress.org/content/XLII/2/453" TargetMode="External"/><Relationship Id="rId16" Type="http://schemas.openxmlformats.org/officeDocument/2006/relationships/image" Target="media/image7.png"/><Relationship Id="rId11" Type="http://schemas.openxmlformats.org/officeDocument/2006/relationships/image" Target="media/image2.jpg"/><Relationship Id="rId32" Type="http://schemas.openxmlformats.org/officeDocument/2006/relationships/hyperlink" Target="https://www.journals.uchicago.edu/doi/abs/10.1086/690952" TargetMode="External"/><Relationship Id="rId37" Type="http://schemas.openxmlformats.org/officeDocument/2006/relationships/hyperlink" Target="https://doi.org/10.1086/250004" TargetMode="External"/><Relationship Id="rId53" Type="http://schemas.openxmlformats.org/officeDocument/2006/relationships/hyperlink" Target="https://econpapers.repec.org/paper/bocbocoec/1043.htm" TargetMode="External"/><Relationship Id="rId58" Type="http://schemas.openxmlformats.org/officeDocument/2006/relationships/hyperlink" Target="https://doi.org/10.2139/ssrn.4830404" TargetMode="External"/><Relationship Id="rId74" Type="http://schemas.openxmlformats.org/officeDocument/2006/relationships/hyperlink" Target="https://onlinelibrary.wiley.com/doi/abs/10.1111/ecoj.12363" TargetMode="External"/><Relationship Id="rId79" Type="http://schemas.openxmlformats.org/officeDocument/2006/relationships/hyperlink" Target="https://www.nber.org/papers/w24219" TargetMode="External"/><Relationship Id="rId5" Type="http://schemas.openxmlformats.org/officeDocument/2006/relationships/footnotes" Target="footnotes.xml"/><Relationship Id="rId90" Type="http://schemas.openxmlformats.org/officeDocument/2006/relationships/hyperlink" Target="https://doi.org/10.1257/aer.20120234" TargetMode="External"/><Relationship Id="rId95" Type="http://schemas.openxmlformats.org/officeDocument/2006/relationships/footer" Target="footer6.xml"/><Relationship Id="rId22" Type="http://schemas.openxmlformats.org/officeDocument/2006/relationships/image" Target="media/image13.jpg"/><Relationship Id="rId27" Type="http://schemas.openxmlformats.org/officeDocument/2006/relationships/image" Target="media/image16.jpg"/><Relationship Id="rId43" Type="http://schemas.openxmlformats.org/officeDocument/2006/relationships/hyperlink" Target="https://doi.org/10.1016/j.econlet.2005.09.013" TargetMode="External"/><Relationship Id="rId48" Type="http://schemas.openxmlformats.org/officeDocument/2006/relationships/hyperlink" Target="https://doi.org/10.1257/jel.20150715" TargetMode="External"/><Relationship Id="rId64" Type="http://schemas.openxmlformats.org/officeDocument/2006/relationships/hyperlink" Target="https://doi.org/10.2307/1911843" TargetMode="External"/><Relationship Id="rId69" Type="http://schemas.openxmlformats.org/officeDocument/2006/relationships/hyperlink" Target="https://doi.org/10.2139/ssrn.4118084" TargetMode="External"/><Relationship Id="rId80" Type="http://schemas.openxmlformats.org/officeDocument/2006/relationships/hyperlink" Target="https://doi.org/10.1111/j.1467-937X.2007.00447.x" TargetMode="External"/><Relationship Id="rId85" Type="http://schemas.openxmlformats.org/officeDocument/2006/relationships/hyperlink" Target="https://www.oecd-ilibrary.org/employment/oecd-reviews-of-labour-market-and-social-policies_20743408" TargetMode="External"/><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3.jpg"/><Relationship Id="rId33" Type="http://schemas.openxmlformats.org/officeDocument/2006/relationships/hyperlink" Target="https://www.journals.uchicago.edu/doi/abs/10.1086/690952" TargetMode="External"/><Relationship Id="rId38" Type="http://schemas.openxmlformats.org/officeDocument/2006/relationships/hyperlink" Target="https://doi.org/10.1086/250004" TargetMode="External"/><Relationship Id="rId46" Type="http://schemas.openxmlformats.org/officeDocument/2006/relationships/hyperlink" Target="https://www.sciencedirect.com/science/article/pii/S0165176505003368" TargetMode="External"/><Relationship Id="rId59" Type="http://schemas.openxmlformats.org/officeDocument/2006/relationships/hyperlink" Target="https://www.ssrn.com/abstract=4830404" TargetMode="External"/><Relationship Id="rId67" Type="http://schemas.openxmlformats.org/officeDocument/2006/relationships/hyperlink" Target="https://doi.org/10.1111/j.1468-2354.2004.00138.x" TargetMode="External"/><Relationship Id="rId20" Type="http://schemas.openxmlformats.org/officeDocument/2006/relationships/image" Target="media/image11.png"/><Relationship Id="rId41" Type="http://schemas.openxmlformats.org/officeDocument/2006/relationships/hyperlink" Target="https://www.journals.uchicago.edu/doi/10.1086/724047" TargetMode="External"/><Relationship Id="rId54" Type="http://schemas.openxmlformats.org/officeDocument/2006/relationships/hyperlink" Target="https://doi.org/10.1093/restud/rdaa011" TargetMode="External"/><Relationship Id="rId62" Type="http://schemas.openxmlformats.org/officeDocument/2006/relationships/hyperlink" Target="https://www.journals.uchicago.edu/doi/abs/10.1086/260297" TargetMode="External"/><Relationship Id="rId70" Type="http://schemas.openxmlformats.org/officeDocument/2006/relationships/hyperlink" Target="https://papers.ssrn.com/abstract=4118084" TargetMode="External"/><Relationship Id="rId75" Type="http://schemas.openxmlformats.org/officeDocument/2006/relationships/hyperlink" Target="https://doi.org/10.1111/ecoj.12362" TargetMode="External"/><Relationship Id="rId83" Type="http://schemas.openxmlformats.org/officeDocument/2006/relationships/hyperlink" Target="https://www.oecd-ilibrary.org/employment/oecd-reviews-of-labour-market-and-social-policies_20743408" TargetMode="External"/><Relationship Id="rId88" Type="http://schemas.openxmlformats.org/officeDocument/2006/relationships/hyperlink" Target="https://jhr.uwpress.org/content/XLII/2/453" TargetMode="External"/><Relationship Id="rId91" Type="http://schemas.openxmlformats.org/officeDocument/2006/relationships/hyperlink" Target="https://doi.org/10.1257/aer.20120234" TargetMode="External"/><Relationship Id="rId9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6.png"/><Relationship Id="rId23" Type="http://schemas.openxmlformats.org/officeDocument/2006/relationships/image" Target="media/image14.jpg"/><Relationship Id="rId28" Type="http://schemas.openxmlformats.org/officeDocument/2006/relationships/image" Target="media/image4.jpg"/><Relationship Id="rId36" Type="http://schemas.openxmlformats.org/officeDocument/2006/relationships/hyperlink" Target="https://www.jstor.org/stable/10.1086/591908" TargetMode="External"/><Relationship Id="rId49" Type="http://schemas.openxmlformats.org/officeDocument/2006/relationships/hyperlink" Target="https://www.aeaweb.org/articles?id=10.1257/jel.20150715" TargetMode="External"/><Relationship Id="rId57" Type="http://schemas.openxmlformats.org/officeDocument/2006/relationships/hyperlink" Target="https://doi.org/10.2139/ssrn.4830404" TargetMode="External"/><Relationship Id="rId10" Type="http://schemas.openxmlformats.org/officeDocument/2006/relationships/image" Target="media/image1.png"/><Relationship Id="rId31" Type="http://schemas.openxmlformats.org/officeDocument/2006/relationships/hyperlink" Target="https://doi.org/10.1086/690952" TargetMode="External"/><Relationship Id="rId44" Type="http://schemas.openxmlformats.org/officeDocument/2006/relationships/hyperlink" Target="https://doi.org/10.1016/j.econlet.2005.09.013" TargetMode="External"/><Relationship Id="rId52" Type="http://schemas.openxmlformats.org/officeDocument/2006/relationships/hyperlink" Target="https://www.sciencedirect.com/science/article/pii/S0165188916301920" TargetMode="External"/><Relationship Id="rId60" Type="http://schemas.openxmlformats.org/officeDocument/2006/relationships/hyperlink" Target="https://doi.org/10.1086/260297" TargetMode="External"/><Relationship Id="rId65" Type="http://schemas.openxmlformats.org/officeDocument/2006/relationships/hyperlink" Target="https://doi.org/10.2307/1911843" TargetMode="External"/><Relationship Id="rId73" Type="http://schemas.openxmlformats.org/officeDocument/2006/relationships/hyperlink" Target="https://onlinelibrary.wiley.com/doi/abs/10.1111/ecoj.12363" TargetMode="External"/><Relationship Id="rId78" Type="http://schemas.openxmlformats.org/officeDocument/2006/relationships/hyperlink" Target="https://doi.org/10.3386/w24219" TargetMode="External"/><Relationship Id="rId81" Type="http://schemas.openxmlformats.org/officeDocument/2006/relationships/hyperlink" Target="https://doi.org/10.1111/j.1467-937X.2007.00447.x" TargetMode="External"/><Relationship Id="rId86" Type="http://schemas.openxmlformats.org/officeDocument/2006/relationships/hyperlink" Target="https://www.jstor.org/stable/27822546" TargetMode="External"/><Relationship Id="rId94" Type="http://schemas.openxmlformats.org/officeDocument/2006/relationships/footer" Target="footer5.xml"/><Relationship Id="rId4" Type="http://schemas.openxmlformats.org/officeDocument/2006/relationships/webSettings" Target="webSettings.xml"/><Relationship Id="rId9" Type="http://schemas.openxmlformats.org/officeDocument/2006/relationships/footer" Target="footer3.xml"/><Relationship Id="rId13" Type="http://schemas.openxmlformats.org/officeDocument/2006/relationships/image" Target="media/image4.png"/><Relationship Id="rId18" Type="http://schemas.openxmlformats.org/officeDocument/2006/relationships/image" Target="media/image9.png"/><Relationship Id="rId39" Type="http://schemas.openxmlformats.org/officeDocument/2006/relationships/hyperlink" Target="https://www.journals.uchicago.edu/doi/abs/10.1086/250004" TargetMode="External"/><Relationship Id="rId34" Type="http://schemas.openxmlformats.org/officeDocument/2006/relationships/hyperlink" Target="https://doi.org/10.1086/591908" TargetMode="External"/><Relationship Id="rId50" Type="http://schemas.openxmlformats.org/officeDocument/2006/relationships/hyperlink" Target="https://doi.org/10.1016/j.jedc.2016.11.005" TargetMode="External"/><Relationship Id="rId55" Type="http://schemas.openxmlformats.org/officeDocument/2006/relationships/hyperlink" Target="https://doi.org/10.1093/restud/rdaa011" TargetMode="External"/><Relationship Id="rId76" Type="http://schemas.openxmlformats.org/officeDocument/2006/relationships/hyperlink" Target="https://onlinelibrary.wiley.com/doi/abs/10.1111/ecoj.12362" TargetMode="External"/><Relationship Id="rId97" Type="http://schemas.openxmlformats.org/officeDocument/2006/relationships/theme" Target="theme/theme1.xml"/><Relationship Id="rId7" Type="http://schemas.openxmlformats.org/officeDocument/2006/relationships/footer" Target="footer1.xml"/><Relationship Id="rId71" Type="http://schemas.openxmlformats.org/officeDocument/2006/relationships/hyperlink" Target="https://papers.ssrn.com/abstract=4118084" TargetMode="External"/><Relationship Id="rId92" Type="http://schemas.openxmlformats.org/officeDocument/2006/relationships/hyperlink" Target="https://www.aeaweb.org/articles?id=10.1257/aer.20120234" TargetMode="External"/><Relationship Id="rId2" Type="http://schemas.openxmlformats.org/officeDocument/2006/relationships/styles" Target="styles.xml"/><Relationship Id="rId29" Type="http://schemas.openxmlformats.org/officeDocument/2006/relationships/image" Target="media/image5.jpg"/><Relationship Id="rId24" Type="http://schemas.openxmlformats.org/officeDocument/2006/relationships/image" Target="media/image20.jpg"/><Relationship Id="rId40" Type="http://schemas.openxmlformats.org/officeDocument/2006/relationships/hyperlink" Target="https://doi.org/10.1086/724047" TargetMode="External"/><Relationship Id="rId45" Type="http://schemas.openxmlformats.org/officeDocument/2006/relationships/hyperlink" Target="https://www.sciencedirect.com/science/article/pii/S0165176505003368" TargetMode="External"/><Relationship Id="rId66" Type="http://schemas.openxmlformats.org/officeDocument/2006/relationships/hyperlink" Target="https://www.jstor.org/stable/1911843" TargetMode="External"/><Relationship Id="rId87" Type="http://schemas.openxmlformats.org/officeDocument/2006/relationships/hyperlink" Target="https://doi.org/10.3368/jhr.XLII.2.453" TargetMode="External"/><Relationship Id="rId61" Type="http://schemas.openxmlformats.org/officeDocument/2006/relationships/hyperlink" Target="https://doi.org/10.1086/260297" TargetMode="External"/><Relationship Id="rId82" Type="http://schemas.openxmlformats.org/officeDocument/2006/relationships/hyperlink" Target="https://doi.org/10.1111/j.1467-937X.2007.00447.x" TargetMode="External"/><Relationship Id="rId19" Type="http://schemas.openxmlformats.org/officeDocument/2006/relationships/image" Target="media/image10.png"/><Relationship Id="rId14" Type="http://schemas.openxmlformats.org/officeDocument/2006/relationships/image" Target="media/image5.png"/><Relationship Id="rId30" Type="http://schemas.openxmlformats.org/officeDocument/2006/relationships/hyperlink" Target="https://doi.org/10.1086/690952" TargetMode="External"/><Relationship Id="rId35" Type="http://schemas.openxmlformats.org/officeDocument/2006/relationships/hyperlink" Target="https://www.jstor.org/stable/10.1086/591908" TargetMode="External"/><Relationship Id="rId56" Type="http://schemas.openxmlformats.org/officeDocument/2006/relationships/hyperlink" Target="https://doi.org/10.1093/restud/rdaa011" TargetMode="External"/><Relationship Id="rId77" Type="http://schemas.openxmlformats.org/officeDocument/2006/relationships/hyperlink" Target="https://onlinelibrary.wiley.com/doi/abs/10.1111/ecoj.12362" TargetMode="External"/><Relationship Id="rId8" Type="http://schemas.openxmlformats.org/officeDocument/2006/relationships/footer" Target="footer2.xml"/><Relationship Id="rId51" Type="http://schemas.openxmlformats.org/officeDocument/2006/relationships/hyperlink" Target="https://www.sciencedirect.com/science/article/pii/S0165188916301920" TargetMode="External"/><Relationship Id="rId72" Type="http://schemas.openxmlformats.org/officeDocument/2006/relationships/hyperlink" Target="https://doi.org/10.1111/ecoj.12363" TargetMode="External"/><Relationship Id="rId93"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26</Pages>
  <Words>6241</Words>
  <Characters>40755</Characters>
  <Application>Microsoft Office Word</Application>
  <DocSecurity>0</DocSecurity>
  <Lines>815</Lines>
  <Paragraphs>319</Paragraphs>
  <ScaleCrop>false</ScaleCrop>
  <Company/>
  <LinksUpToDate>false</LinksUpToDate>
  <CharactersWithSpaces>46677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James Clyne</dc:creator>
  <cp:keywords/>
  <cp:lastModifiedBy>Joshua James Clyne</cp:lastModifiedBy>
  <cp:revision>2</cp:revision>
  <dcterms:created xsi:type="dcterms:W3CDTF">2024-05-31T22:23:00Z</dcterms:created>
  <dcterms:modified xsi:type="dcterms:W3CDTF">2024-05-31T22:23:00Z</dcterms:modified>
</cp:coreProperties>
</file>