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C3EE7C0" w14:textId="77777777" w:rsidR="00B0507B" w:rsidRPr="00FC6724" w:rsidRDefault="00A821BA" w:rsidP="00012977">
      <w:pPr>
        <w:widowControl w:val="0"/>
        <w:spacing w:after="0" w:line="240" w:lineRule="auto"/>
        <w:jc w:val="left"/>
        <w:rPr>
          <w:rFonts w:asciiTheme="minorHAnsi" w:hAnsiTheme="minorHAnsi"/>
          <w:sz w:val="44"/>
          <w:szCs w:val="44"/>
        </w:rPr>
      </w:pPr>
      <w:r w:rsidRPr="00FC6724">
        <w:rPr>
          <w:rFonts w:asciiTheme="minorHAnsi" w:eastAsia="Calibri" w:hAnsiTheme="minorHAnsi" w:cs="Calibri"/>
          <w:b/>
          <w:color w:val="820024"/>
          <w:sz w:val="44"/>
          <w:szCs w:val="44"/>
        </w:rPr>
        <w:t>The Effects of FMLA Eligibility and Awareness on Family Leave-Taking</w:t>
      </w:r>
    </w:p>
    <w:p w14:paraId="344D7C47" w14:textId="7DF761E7" w:rsidR="00B0507B" w:rsidRPr="00FC6724" w:rsidRDefault="00A821BA">
      <w:pPr>
        <w:widowControl w:val="0"/>
        <w:spacing w:after="0" w:line="240" w:lineRule="auto"/>
        <w:rPr>
          <w:rFonts w:ascii="Calibri Light" w:hAnsi="Calibri Light"/>
          <w:sz w:val="36"/>
          <w:szCs w:val="36"/>
        </w:rPr>
      </w:pPr>
      <w:r w:rsidRPr="00FC6724">
        <w:rPr>
          <w:rFonts w:ascii="Calibri Light" w:eastAsia="Calibri" w:hAnsi="Calibri Light" w:cs="Calibri"/>
          <w:color w:val="820024"/>
          <w:sz w:val="36"/>
          <w:szCs w:val="36"/>
        </w:rPr>
        <w:t>Issue Brief—Worker Leave Analysis and Simulation Series</w:t>
      </w:r>
      <w:r w:rsidR="00155EC3">
        <w:rPr>
          <w:rStyle w:val="FootnoteReference"/>
          <w:rFonts w:ascii="Calibri Light" w:eastAsia="Calibri" w:hAnsi="Calibri Light" w:cs="Calibri"/>
          <w:color w:val="820024"/>
          <w:sz w:val="36"/>
          <w:szCs w:val="36"/>
        </w:rPr>
        <w:footnoteReference w:id="1"/>
      </w:r>
    </w:p>
    <w:p w14:paraId="1BA58D3B" w14:textId="77777777" w:rsidR="00152CC0" w:rsidRPr="00FC6724" w:rsidRDefault="00152CC0" w:rsidP="008722C3">
      <w:pPr>
        <w:pStyle w:val="Body"/>
        <w:widowControl w:val="0"/>
        <w:pBdr>
          <w:bottom w:val="single" w:sz="12" w:space="3" w:color="auto"/>
        </w:pBdr>
        <w:rPr>
          <w:rFonts w:ascii="Calibri Light" w:eastAsiaTheme="minorHAnsi" w:hAnsi="Calibri Light" w:cstheme="minorBidi"/>
          <w:color w:val="820024"/>
          <w:sz w:val="24"/>
          <w:szCs w:val="24"/>
          <w:bdr w:val="none" w:sz="0" w:space="0" w:color="auto"/>
        </w:rPr>
      </w:pPr>
    </w:p>
    <w:p w14:paraId="3927D751" w14:textId="53C8BD8F" w:rsidR="00B0507B" w:rsidRPr="00702D2C" w:rsidRDefault="00D51F0B" w:rsidP="00152CC0">
      <w:pPr>
        <w:widowControl w:val="0"/>
        <w:tabs>
          <w:tab w:val="clear" w:pos="1890"/>
          <w:tab w:val="clear" w:pos="2340"/>
          <w:tab w:val="left" w:pos="9585"/>
        </w:tabs>
        <w:spacing w:after="0" w:line="240" w:lineRule="auto"/>
        <w:jc w:val="right"/>
        <w:rPr>
          <w:rFonts w:ascii="Calibri Light" w:hAnsi="Calibri Light"/>
        </w:rPr>
      </w:pPr>
      <w:r w:rsidRPr="00702D2C">
        <w:rPr>
          <w:rFonts w:ascii="Calibri Light" w:eastAsia="Calibri" w:hAnsi="Calibri Light" w:cs="Calibri"/>
          <w:color w:val="820024"/>
          <w:sz w:val="24"/>
          <w:szCs w:val="24"/>
        </w:rPr>
        <w:t>J</w:t>
      </w:r>
      <w:r w:rsidR="00465152" w:rsidRPr="00702D2C">
        <w:rPr>
          <w:rFonts w:ascii="Calibri Light" w:eastAsia="Calibri" w:hAnsi="Calibri Light" w:cs="Calibri"/>
          <w:color w:val="820024"/>
          <w:sz w:val="24"/>
          <w:szCs w:val="24"/>
        </w:rPr>
        <w:t>a</w:t>
      </w:r>
      <w:r w:rsidR="005F277B" w:rsidRPr="00702D2C">
        <w:rPr>
          <w:rFonts w:ascii="Calibri Light" w:eastAsia="Calibri" w:hAnsi="Calibri Light" w:cs="Calibri"/>
          <w:color w:val="820024"/>
          <w:sz w:val="24"/>
          <w:szCs w:val="24"/>
        </w:rPr>
        <w:t>n</w:t>
      </w:r>
      <w:r w:rsidRPr="00702D2C">
        <w:rPr>
          <w:rFonts w:ascii="Calibri Light" w:eastAsia="Calibri" w:hAnsi="Calibri Light" w:cs="Calibri"/>
          <w:color w:val="820024"/>
          <w:sz w:val="24"/>
          <w:szCs w:val="24"/>
        </w:rPr>
        <w:t xml:space="preserve">uary </w:t>
      </w:r>
      <w:r w:rsidR="00A821BA" w:rsidRPr="00702D2C">
        <w:rPr>
          <w:rFonts w:ascii="Calibri Light" w:eastAsia="Calibri" w:hAnsi="Calibri Light" w:cs="Calibri"/>
          <w:color w:val="820024"/>
          <w:sz w:val="24"/>
          <w:szCs w:val="24"/>
        </w:rPr>
        <w:t>201</w:t>
      </w:r>
      <w:r w:rsidRPr="00702D2C">
        <w:rPr>
          <w:rFonts w:ascii="Calibri Light" w:eastAsia="Calibri" w:hAnsi="Calibri Light" w:cs="Calibri"/>
          <w:color w:val="820024"/>
          <w:sz w:val="24"/>
          <w:szCs w:val="24"/>
        </w:rPr>
        <w:t>7</w:t>
      </w:r>
    </w:p>
    <w:p w14:paraId="487C11D2" w14:textId="4A20C14A" w:rsidR="00B0507B" w:rsidRDefault="004E61C8">
      <w:pPr>
        <w:spacing w:after="0" w:line="276" w:lineRule="auto"/>
        <w:jc w:val="left"/>
      </w:pPr>
      <w:r>
        <w:rPr>
          <w:noProof/>
          <w:lang w:eastAsia="zh-CN"/>
        </w:rPr>
        <mc:AlternateContent>
          <mc:Choice Requires="wps">
            <w:drawing>
              <wp:anchor distT="0" distB="0" distL="114300" distR="114300" simplePos="0" relativeHeight="251658240" behindDoc="1" locked="0" layoutInCell="0" hidden="0" allowOverlap="1" wp14:anchorId="31435F8A" wp14:editId="34035BDB">
                <wp:simplePos x="0" y="0"/>
                <wp:positionH relativeFrom="margin">
                  <wp:posOffset>3724275</wp:posOffset>
                </wp:positionH>
                <wp:positionV relativeFrom="paragraph">
                  <wp:posOffset>43815</wp:posOffset>
                </wp:positionV>
                <wp:extent cx="3108325" cy="2590800"/>
                <wp:effectExtent l="0" t="0" r="0" b="0"/>
                <wp:wrapSquare wrapText="bothSides" distT="0" distB="0" distL="114300" distR="114300"/>
                <wp:docPr id="6" name="Rectangle 6"/>
                <wp:cNvGraphicFramePr/>
                <a:graphic xmlns:a="http://schemas.openxmlformats.org/drawingml/2006/main">
                  <a:graphicData uri="http://schemas.microsoft.com/office/word/2010/wordprocessingShape">
                    <wps:wsp>
                      <wps:cNvSpPr/>
                      <wps:spPr>
                        <a:xfrm>
                          <a:off x="0" y="0"/>
                          <a:ext cx="3108325" cy="2590800"/>
                        </a:xfrm>
                        <a:prstGeom prst="rect">
                          <a:avLst/>
                        </a:prstGeom>
                        <a:solidFill>
                          <a:srgbClr val="820024"/>
                        </a:solidFill>
                        <a:ln>
                          <a:noFill/>
                        </a:ln>
                      </wps:spPr>
                      <wps:txbx>
                        <w:txbxContent>
                          <w:p w14:paraId="5E9C6354" w14:textId="7AC6032A" w:rsidR="00B0507B" w:rsidRDefault="00A821BA" w:rsidP="00FD5DCA">
                            <w:pPr>
                              <w:spacing w:line="240" w:lineRule="auto"/>
                              <w:jc w:val="left"/>
                              <w:textDirection w:val="btLr"/>
                            </w:pPr>
                            <w:r>
                              <w:rPr>
                                <w:rFonts w:ascii="Calibri" w:eastAsia="Calibri" w:hAnsi="Calibri" w:cs="Calibri"/>
                                <w:b/>
                                <w:color w:val="FFFFFF"/>
                                <w:sz w:val="20"/>
                              </w:rPr>
                              <w:t xml:space="preserve">In this Issue Brief, we </w:t>
                            </w:r>
                            <w:r w:rsidR="00DA454B">
                              <w:rPr>
                                <w:rFonts w:ascii="Calibri" w:eastAsia="Calibri" w:hAnsi="Calibri" w:cs="Calibri"/>
                                <w:b/>
                                <w:color w:val="FFFFFF"/>
                                <w:sz w:val="20"/>
                              </w:rPr>
                              <w:t xml:space="preserve">use data from the 2012 DOL Family and Medical Leave Act (FMLA) </w:t>
                            </w:r>
                            <w:r w:rsidR="00240A57">
                              <w:rPr>
                                <w:rFonts w:ascii="Calibri" w:eastAsia="Calibri" w:hAnsi="Calibri" w:cs="Calibri"/>
                                <w:b/>
                                <w:color w:val="FFFFFF"/>
                                <w:sz w:val="20"/>
                              </w:rPr>
                              <w:t xml:space="preserve">Employee </w:t>
                            </w:r>
                            <w:r w:rsidR="00DA454B">
                              <w:rPr>
                                <w:rFonts w:ascii="Calibri" w:eastAsia="Calibri" w:hAnsi="Calibri" w:cs="Calibri"/>
                                <w:b/>
                                <w:color w:val="FFFFFF"/>
                                <w:sz w:val="20"/>
                              </w:rPr>
                              <w:t xml:space="preserve">Survey to </w:t>
                            </w:r>
                            <w:r>
                              <w:rPr>
                                <w:rFonts w:ascii="Calibri" w:eastAsia="Calibri" w:hAnsi="Calibri" w:cs="Calibri"/>
                                <w:b/>
                                <w:color w:val="FFFFFF"/>
                                <w:sz w:val="20"/>
                              </w:rPr>
                              <w:t xml:space="preserve">examine the effects of </w:t>
                            </w:r>
                            <w:r w:rsidR="00DA454B">
                              <w:rPr>
                                <w:rFonts w:ascii="Calibri" w:eastAsia="Calibri" w:hAnsi="Calibri" w:cs="Calibri"/>
                                <w:b/>
                                <w:color w:val="FFFFFF"/>
                                <w:sz w:val="20"/>
                              </w:rPr>
                              <w:t xml:space="preserve">FMLA </w:t>
                            </w:r>
                            <w:r>
                              <w:rPr>
                                <w:rFonts w:ascii="Calibri" w:eastAsia="Calibri" w:hAnsi="Calibri" w:cs="Calibri"/>
                                <w:b/>
                                <w:color w:val="FFFFFF"/>
                                <w:sz w:val="20"/>
                              </w:rPr>
                              <w:t>eligibility and awareness on whether workers utilize leave when faced with significant life events. This brief also examines the sources that typically inform employees about the FMLA and explores differences in FMLA awareness within and across subpopulations of the U.S. workforce.</w:t>
                            </w:r>
                          </w:p>
                          <w:p w14:paraId="45D30D41" w14:textId="7AE31214" w:rsidR="00CE23EC" w:rsidRPr="00645835" w:rsidRDefault="00465152" w:rsidP="00CE23EC">
                            <w:pPr>
                              <w:pStyle w:val="Body"/>
                              <w:widowControl w:val="0"/>
                              <w:rPr>
                                <w:rFonts w:asciiTheme="minorHAnsi" w:hAnsiTheme="minorHAnsi" w:cs="Calibri"/>
                                <w:b/>
                                <w:color w:val="FFFFFF" w:themeColor="background1"/>
                                <w:sz w:val="20"/>
                                <w:szCs w:val="20"/>
                              </w:rPr>
                            </w:pPr>
                            <w:r>
                              <w:rPr>
                                <w:rFonts w:asciiTheme="minorHAnsi" w:hAnsiTheme="minorHAnsi" w:cs="Calibri"/>
                                <w:b/>
                                <w:color w:val="FFFFFF" w:themeColor="background1"/>
                                <w:sz w:val="20"/>
                                <w:szCs w:val="20"/>
                              </w:rPr>
                              <w:t xml:space="preserve">This brief is part of the </w:t>
                            </w:r>
                            <w:r w:rsidR="00D51F0B">
                              <w:rPr>
                                <w:rFonts w:asciiTheme="minorHAnsi" w:hAnsiTheme="minorHAnsi" w:cs="Calibri"/>
                                <w:b/>
                                <w:color w:val="FFFFFF" w:themeColor="background1"/>
                                <w:sz w:val="20"/>
                                <w:szCs w:val="20"/>
                              </w:rPr>
                              <w:t>Worker Leave Analysis an</w:t>
                            </w:r>
                            <w:r w:rsidR="005F277B">
                              <w:rPr>
                                <w:rFonts w:asciiTheme="minorHAnsi" w:hAnsiTheme="minorHAnsi" w:cs="Calibri"/>
                                <w:b/>
                                <w:color w:val="FFFFFF" w:themeColor="background1"/>
                                <w:sz w:val="20"/>
                                <w:szCs w:val="20"/>
                              </w:rPr>
                              <w:t>d Simulation Issue Brief Series and is part of a study funded</w:t>
                            </w:r>
                            <w:r>
                              <w:rPr>
                                <w:rFonts w:asciiTheme="minorHAnsi" w:hAnsiTheme="minorHAnsi" w:cs="Calibri"/>
                                <w:b/>
                                <w:color w:val="FFFFFF" w:themeColor="background1"/>
                                <w:sz w:val="20"/>
                                <w:szCs w:val="20"/>
                              </w:rPr>
                              <w:t xml:space="preserve"> by the Departm</w:t>
                            </w:r>
                            <w:r w:rsidR="005F277B">
                              <w:rPr>
                                <w:rFonts w:asciiTheme="minorHAnsi" w:hAnsiTheme="minorHAnsi" w:cs="Calibri"/>
                                <w:b/>
                                <w:color w:val="FFFFFF" w:themeColor="background1"/>
                                <w:sz w:val="20"/>
                                <w:szCs w:val="20"/>
                              </w:rPr>
                              <w:t>ent</w:t>
                            </w:r>
                            <w:r>
                              <w:rPr>
                                <w:rFonts w:asciiTheme="minorHAnsi" w:hAnsiTheme="minorHAnsi" w:cs="Calibri"/>
                                <w:b/>
                                <w:color w:val="FFFFFF" w:themeColor="background1"/>
                                <w:sz w:val="20"/>
                                <w:szCs w:val="20"/>
                              </w:rPr>
                              <w:t xml:space="preserve"> of Labor</w:t>
                            </w:r>
                            <w:r w:rsidR="005F277B">
                              <w:rPr>
                                <w:rFonts w:asciiTheme="minorHAnsi" w:hAnsiTheme="minorHAnsi" w:cs="Calibri"/>
                                <w:b/>
                                <w:color w:val="FFFFFF" w:themeColor="background1"/>
                                <w:sz w:val="20"/>
                                <w:szCs w:val="20"/>
                              </w:rPr>
                              <w:t>’s</w:t>
                            </w:r>
                            <w:r>
                              <w:rPr>
                                <w:rFonts w:asciiTheme="minorHAnsi" w:hAnsiTheme="minorHAnsi" w:cs="Calibri"/>
                                <w:b/>
                                <w:color w:val="FFFFFF" w:themeColor="background1"/>
                                <w:sz w:val="20"/>
                                <w:szCs w:val="20"/>
                              </w:rPr>
                              <w:t xml:space="preserve"> Chief Evaluation Office. </w:t>
                            </w:r>
                            <w:r w:rsidR="005F277B">
                              <w:rPr>
                                <w:rFonts w:asciiTheme="minorHAnsi" w:hAnsiTheme="minorHAnsi" w:cs="Calibri"/>
                                <w:b/>
                                <w:color w:val="FFFFFF" w:themeColor="background1"/>
                                <w:sz w:val="20"/>
                                <w:szCs w:val="20"/>
                              </w:rPr>
                              <w:t xml:space="preserve"> </w:t>
                            </w:r>
                            <w:r w:rsidR="00CE23EC">
                              <w:rPr>
                                <w:rFonts w:asciiTheme="minorHAnsi" w:hAnsiTheme="minorHAnsi" w:cs="Calibri"/>
                                <w:b/>
                                <w:color w:val="FFFFFF" w:themeColor="background1"/>
                                <w:sz w:val="20"/>
                                <w:szCs w:val="20"/>
                              </w:rPr>
                              <w:t xml:space="preserve">For more findings in the Series, please visit </w:t>
                            </w:r>
                            <w:r w:rsidR="000A1D00" w:rsidRPr="00F63E3D">
                              <w:rPr>
                                <w:rFonts w:asciiTheme="minorHAnsi" w:hAnsiTheme="minorHAnsi"/>
                                <w:b/>
                                <w:color w:val="FFFFFF" w:themeColor="background1"/>
                                <w:sz w:val="20"/>
                                <w:szCs w:val="20"/>
                              </w:rPr>
                              <w:t>https://www.dol.gov/asp/evaluation/WorkerLeaveStudy/</w:t>
                            </w:r>
                          </w:p>
                          <w:p w14:paraId="55851838" w14:textId="77777777" w:rsidR="00B0507B" w:rsidRDefault="00B0507B">
                            <w:pPr>
                              <w:spacing w:after="0" w:line="275" w:lineRule="auto"/>
                              <w:jc w:val="left"/>
                              <w:textDirection w:val="btLr"/>
                            </w:pPr>
                          </w:p>
                          <w:p w14:paraId="6DFF0996" w14:textId="77777777" w:rsidR="00B0507B" w:rsidRDefault="00B0507B">
                            <w:pPr>
                              <w:textDirection w:val="btLr"/>
                            </w:pPr>
                          </w:p>
                        </w:txbxContent>
                      </wps:txbx>
                      <wps:bodyPr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1435F8A" id="Rectangle 6" o:spid="_x0000_s1026" style="position:absolute;margin-left:293.25pt;margin-top:3.45pt;width:244.75pt;height:20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" o:allowincell="f" fillcolor="#820024" stroked="f">
                <v:textbox inset="2.53958mm,1.2694mm,2.53958mm,1.2694mm">
                  <w:txbxContent>
                    <w:p w14:paraId="5E9C6354" w14:textId="7AC6032A" w:rsidR="00B0507B" w:rsidRDefault="00A821BA" w:rsidP="00FD5DCA">
                      <w:pPr>
                        <w:spacing w:line="240" w:lineRule="auto"/>
                        <w:jc w:val="left"/>
                        <w:textDirection w:val="btLr"/>
                      </w:pPr>
                      <w:r>
                        <w:rPr>
                          <w:rFonts w:ascii="Calibri" w:eastAsia="Calibri" w:hAnsi="Calibri" w:cs="Calibri"/>
                          <w:b/>
                          <w:color w:val="FFFFFF"/>
                          <w:sz w:val="20"/>
                        </w:rPr>
                        <w:t xml:space="preserve">In this Issue Brief, we </w:t>
                      </w:r>
                      <w:r w:rsidR="00DA454B">
                        <w:rPr>
                          <w:rFonts w:ascii="Calibri" w:eastAsia="Calibri" w:hAnsi="Calibri" w:cs="Calibri"/>
                          <w:b/>
                          <w:color w:val="FFFFFF"/>
                          <w:sz w:val="20"/>
                        </w:rPr>
                        <w:t xml:space="preserve">use data from the 2012 DOL Family and Medical Leave Act (FMLA) </w:t>
                      </w:r>
                      <w:r w:rsidR="00240A57">
                        <w:rPr>
                          <w:rFonts w:ascii="Calibri" w:eastAsia="Calibri" w:hAnsi="Calibri" w:cs="Calibri"/>
                          <w:b/>
                          <w:color w:val="FFFFFF"/>
                          <w:sz w:val="20"/>
                        </w:rPr>
                        <w:t xml:space="preserve">Employee </w:t>
                      </w:r>
                      <w:r w:rsidR="00DA454B">
                        <w:rPr>
                          <w:rFonts w:ascii="Calibri" w:eastAsia="Calibri" w:hAnsi="Calibri" w:cs="Calibri"/>
                          <w:b/>
                          <w:color w:val="FFFFFF"/>
                          <w:sz w:val="20"/>
                        </w:rPr>
                        <w:t xml:space="preserve">Survey to </w:t>
                      </w:r>
                      <w:r>
                        <w:rPr>
                          <w:rFonts w:ascii="Calibri" w:eastAsia="Calibri" w:hAnsi="Calibri" w:cs="Calibri"/>
                          <w:b/>
                          <w:color w:val="FFFFFF"/>
                          <w:sz w:val="20"/>
                        </w:rPr>
                        <w:t xml:space="preserve">examine the effects of </w:t>
                      </w:r>
                      <w:r w:rsidR="00DA454B">
                        <w:rPr>
                          <w:rFonts w:ascii="Calibri" w:eastAsia="Calibri" w:hAnsi="Calibri" w:cs="Calibri"/>
                          <w:b/>
                          <w:color w:val="FFFFFF"/>
                          <w:sz w:val="20"/>
                        </w:rPr>
                        <w:t xml:space="preserve">FMLA </w:t>
                      </w:r>
                      <w:r>
                        <w:rPr>
                          <w:rFonts w:ascii="Calibri" w:eastAsia="Calibri" w:hAnsi="Calibri" w:cs="Calibri"/>
                          <w:b/>
                          <w:color w:val="FFFFFF"/>
                          <w:sz w:val="20"/>
                        </w:rPr>
                        <w:t>eligibility and awareness on whether workers utilize leave when faced with significant life events. This brief also examines the sources that typically inform employees about the FMLA and explores differences in FMLA awareness within and across subpopulations of the U.S. workforce.</w:t>
                      </w:r>
                    </w:p>
                    <w:p w14:paraId="45D30D41" w14:textId="7AE31214" w:rsidR="00CE23EC" w:rsidRPr="00645835" w:rsidRDefault="00465152" w:rsidP="00CE23EC">
                      <w:pPr>
                        <w:pStyle w:val="Body"/>
                        <w:widowControl w:val="0"/>
                        <w:rPr>
                          <w:rFonts w:asciiTheme="minorHAnsi" w:hAnsiTheme="minorHAnsi" w:cs="Calibri"/>
                          <w:b/>
                          <w:color w:val="FFFFFF" w:themeColor="background1"/>
                          <w:sz w:val="20"/>
                          <w:szCs w:val="20"/>
                        </w:rPr>
                      </w:pPr>
                      <w:r>
                        <w:rPr>
                          <w:rFonts w:asciiTheme="minorHAnsi" w:hAnsiTheme="minorHAnsi" w:cs="Calibri"/>
                          <w:b/>
                          <w:color w:val="FFFFFF" w:themeColor="background1"/>
                          <w:sz w:val="20"/>
                          <w:szCs w:val="20"/>
                        </w:rPr>
                        <w:t xml:space="preserve">This brief is part of the </w:t>
                      </w:r>
                      <w:r w:rsidR="00D51F0B">
                        <w:rPr>
                          <w:rFonts w:asciiTheme="minorHAnsi" w:hAnsiTheme="minorHAnsi" w:cs="Calibri"/>
                          <w:b/>
                          <w:color w:val="FFFFFF" w:themeColor="background1"/>
                          <w:sz w:val="20"/>
                          <w:szCs w:val="20"/>
                        </w:rPr>
                        <w:t>Worker Leave Analysis an</w:t>
                      </w:r>
                      <w:r w:rsidR="005F277B">
                        <w:rPr>
                          <w:rFonts w:asciiTheme="minorHAnsi" w:hAnsiTheme="minorHAnsi" w:cs="Calibri"/>
                          <w:b/>
                          <w:color w:val="FFFFFF" w:themeColor="background1"/>
                          <w:sz w:val="20"/>
                          <w:szCs w:val="20"/>
                        </w:rPr>
                        <w:t>d Simulation Issue Brief Series and is part of a study funded</w:t>
                      </w:r>
                      <w:r>
                        <w:rPr>
                          <w:rFonts w:asciiTheme="minorHAnsi" w:hAnsiTheme="minorHAnsi" w:cs="Calibri"/>
                          <w:b/>
                          <w:color w:val="FFFFFF" w:themeColor="background1"/>
                          <w:sz w:val="20"/>
                          <w:szCs w:val="20"/>
                        </w:rPr>
                        <w:t xml:space="preserve"> by the Departm</w:t>
                      </w:r>
                      <w:r w:rsidR="005F277B">
                        <w:rPr>
                          <w:rFonts w:asciiTheme="minorHAnsi" w:hAnsiTheme="minorHAnsi" w:cs="Calibri"/>
                          <w:b/>
                          <w:color w:val="FFFFFF" w:themeColor="background1"/>
                          <w:sz w:val="20"/>
                          <w:szCs w:val="20"/>
                        </w:rPr>
                        <w:t>ent</w:t>
                      </w:r>
                      <w:r>
                        <w:rPr>
                          <w:rFonts w:asciiTheme="minorHAnsi" w:hAnsiTheme="minorHAnsi" w:cs="Calibri"/>
                          <w:b/>
                          <w:color w:val="FFFFFF" w:themeColor="background1"/>
                          <w:sz w:val="20"/>
                          <w:szCs w:val="20"/>
                        </w:rPr>
                        <w:t xml:space="preserve"> of Labor</w:t>
                      </w:r>
                      <w:r w:rsidR="005F277B">
                        <w:rPr>
                          <w:rFonts w:asciiTheme="minorHAnsi" w:hAnsiTheme="minorHAnsi" w:cs="Calibri"/>
                          <w:b/>
                          <w:color w:val="FFFFFF" w:themeColor="background1"/>
                          <w:sz w:val="20"/>
                          <w:szCs w:val="20"/>
                        </w:rPr>
                        <w:t>’s</w:t>
                      </w:r>
                      <w:r>
                        <w:rPr>
                          <w:rFonts w:asciiTheme="minorHAnsi" w:hAnsiTheme="minorHAnsi" w:cs="Calibri"/>
                          <w:b/>
                          <w:color w:val="FFFFFF" w:themeColor="background1"/>
                          <w:sz w:val="20"/>
                          <w:szCs w:val="20"/>
                        </w:rPr>
                        <w:t xml:space="preserve"> Chief Evaluation Office. </w:t>
                      </w:r>
                      <w:r w:rsidR="005F277B">
                        <w:rPr>
                          <w:rFonts w:asciiTheme="minorHAnsi" w:hAnsiTheme="minorHAnsi" w:cs="Calibri"/>
                          <w:b/>
                          <w:color w:val="FFFFFF" w:themeColor="background1"/>
                          <w:sz w:val="20"/>
                          <w:szCs w:val="20"/>
                        </w:rPr>
                        <w:t xml:space="preserve"> </w:t>
                      </w:r>
                      <w:r w:rsidR="00CE23EC">
                        <w:rPr>
                          <w:rFonts w:asciiTheme="minorHAnsi" w:hAnsiTheme="minorHAnsi" w:cs="Calibri"/>
                          <w:b/>
                          <w:color w:val="FFFFFF" w:themeColor="background1"/>
                          <w:sz w:val="20"/>
                          <w:szCs w:val="20"/>
                        </w:rPr>
                        <w:t xml:space="preserve">For more findings in the Series, please visit </w:t>
                      </w:r>
                      <w:r w:rsidR="000A1D00" w:rsidRPr="00F63E3D">
                        <w:rPr>
                          <w:rFonts w:asciiTheme="minorHAnsi" w:hAnsiTheme="minorHAnsi"/>
                          <w:b/>
                          <w:color w:val="FFFFFF" w:themeColor="background1"/>
                          <w:sz w:val="20"/>
                          <w:szCs w:val="20"/>
                        </w:rPr>
                        <w:t>https://www.dol.gov/asp/evaluation/WorkerLeaveStudy/</w:t>
                      </w:r>
                    </w:p>
                    <w:p w14:paraId="55851838" w14:textId="77777777" w:rsidR="00B0507B" w:rsidRDefault="00B0507B">
                      <w:pPr>
                        <w:spacing w:after="0" w:line="275" w:lineRule="auto"/>
                        <w:jc w:val="left"/>
                        <w:textDirection w:val="btLr"/>
                      </w:pPr>
                    </w:p>
                    <w:p w14:paraId="6DFF0996" w14:textId="77777777" w:rsidR="00B0507B" w:rsidRDefault="00B0507B">
                      <w:pPr>
                        <w:textDirection w:val="btLr"/>
                      </w:pPr>
                    </w:p>
                  </w:txbxContent>
                </v:textbox>
                <w10:wrap type="square" anchorx="margin"/>
              </v:rect>
            </w:pict>
          </mc:Fallback>
        </mc:AlternateContent>
      </w:r>
      <w:r w:rsidR="00A821BA">
        <w:rPr>
          <w:rFonts w:ascii="Times New Roman" w:eastAsia="Times New Roman" w:hAnsi="Times New Roman" w:cs="Times New Roman"/>
          <w:sz w:val="20"/>
          <w:szCs w:val="20"/>
        </w:rPr>
        <w:t>The Family and Medical Leave Act (FMLA) enables employees to take up to 12 weeks of unpaid, job-protected leave. However, while FMLA has increased leave-taking among eligible workers</w:t>
      </w:r>
      <w:r w:rsidR="003C1D0E">
        <w:rPr>
          <w:rFonts w:ascii="Times New Roman" w:eastAsia="Times New Roman" w:hAnsi="Times New Roman" w:cs="Times New Roman"/>
          <w:sz w:val="20"/>
          <w:szCs w:val="20"/>
          <w:vertAlign w:val="superscript"/>
        </w:rPr>
        <w:endnoteReference w:id="1"/>
      </w:r>
      <w:r w:rsidR="003C1D0E">
        <w:rPr>
          <w:rFonts w:ascii="Times New Roman" w:eastAsia="Times New Roman" w:hAnsi="Times New Roman" w:cs="Times New Roman"/>
          <w:sz w:val="20"/>
          <w:szCs w:val="20"/>
        </w:rPr>
        <w:t>,</w:t>
      </w:r>
      <w:r w:rsidR="00A821BA">
        <w:rPr>
          <w:rFonts w:ascii="Times New Roman" w:eastAsia="Times New Roman" w:hAnsi="Times New Roman" w:cs="Times New Roman"/>
          <w:sz w:val="20"/>
          <w:szCs w:val="20"/>
        </w:rPr>
        <w:t xml:space="preserve"> overall effects have been modest, perhaps because much of the workforce is ineligible for FMLA, and many who are eligible are unaware of the law’s benefits and eligibility requirements.</w:t>
      </w:r>
      <w:r w:rsidR="003C1D0E">
        <w:rPr>
          <w:rFonts w:ascii="Times New Roman" w:eastAsia="Times New Roman" w:hAnsi="Times New Roman" w:cs="Times New Roman"/>
          <w:sz w:val="20"/>
          <w:szCs w:val="20"/>
          <w:vertAlign w:val="superscript"/>
        </w:rPr>
        <w:endnoteReference w:id="2"/>
      </w:r>
      <w:r w:rsidR="003C1D0E">
        <w:rPr>
          <w:rFonts w:ascii="Times New Roman" w:eastAsia="Times New Roman" w:hAnsi="Times New Roman" w:cs="Times New Roman"/>
          <w:sz w:val="20"/>
          <w:szCs w:val="20"/>
        </w:rPr>
        <w:t xml:space="preserve"> </w:t>
      </w:r>
      <w:r w:rsidR="00A821BA">
        <w:rPr>
          <w:rFonts w:ascii="Times New Roman" w:eastAsia="Times New Roman" w:hAnsi="Times New Roman" w:cs="Times New Roman"/>
          <w:sz w:val="20"/>
          <w:szCs w:val="20"/>
        </w:rPr>
        <w:t>A little over half of U.S. workers – an estimated 56% to 60% – are covered by FMLA, meaning they both work for an employer covered by its provisions and meet the law’s employee eligibility requirements.</w:t>
      </w:r>
      <w:r w:rsidR="003C1D0E">
        <w:rPr>
          <w:rFonts w:ascii="Times New Roman" w:eastAsia="Times New Roman" w:hAnsi="Times New Roman" w:cs="Times New Roman"/>
          <w:sz w:val="20"/>
          <w:szCs w:val="20"/>
          <w:vertAlign w:val="superscript"/>
        </w:rPr>
        <w:endnoteReference w:id="3"/>
      </w:r>
      <w:r w:rsidR="003C1D0E">
        <w:rPr>
          <w:rFonts w:ascii="Times New Roman" w:eastAsia="Times New Roman" w:hAnsi="Times New Roman" w:cs="Times New Roman"/>
          <w:sz w:val="20"/>
          <w:szCs w:val="20"/>
          <w:vertAlign w:val="superscript"/>
        </w:rPr>
        <w:t xml:space="preserve"> </w:t>
      </w:r>
    </w:p>
    <w:p w14:paraId="5AC4857F" w14:textId="77777777" w:rsidR="00B0507B" w:rsidRDefault="00B0507B">
      <w:pPr>
        <w:spacing w:after="0" w:line="276" w:lineRule="auto"/>
        <w:jc w:val="left"/>
      </w:pPr>
    </w:p>
    <w:p w14:paraId="40423BAB" w14:textId="78D07523" w:rsidR="00B0507B" w:rsidRDefault="00A821BA">
      <w:pPr>
        <w:spacing w:after="0" w:line="276" w:lineRule="auto"/>
        <w:jc w:val="left"/>
      </w:pPr>
      <w:r>
        <w:rPr>
          <w:rFonts w:ascii="Times New Roman" w:eastAsia="Times New Roman" w:hAnsi="Times New Roman" w:cs="Times New Roman"/>
          <w:sz w:val="20"/>
          <w:szCs w:val="20"/>
        </w:rPr>
        <w:t>Awareness of the FMLA’s benefits has increased slowly since the law’s passage in 1993</w:t>
      </w:r>
      <w:r w:rsidR="003C1D0E">
        <w:rPr>
          <w:rFonts w:ascii="Times New Roman" w:eastAsia="Times New Roman" w:hAnsi="Times New Roman" w:cs="Times New Roman"/>
          <w:sz w:val="20"/>
          <w:szCs w:val="20"/>
          <w:vertAlign w:val="superscript"/>
        </w:rPr>
        <w:endnoteReference w:id="4"/>
      </w:r>
      <w:r w:rsidR="003C1D0E">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with 70.9% of workers at FMLA-covered worksites and 53.1% of workers at non-covered worksites reporting in 2012 that they were aware of the law’s benefits.</w:t>
      </w:r>
      <w:r w:rsidR="003C1D0E">
        <w:rPr>
          <w:rFonts w:ascii="Times New Roman" w:eastAsia="Times New Roman" w:hAnsi="Times New Roman" w:cs="Times New Roman"/>
          <w:sz w:val="20"/>
          <w:szCs w:val="20"/>
          <w:vertAlign w:val="superscript"/>
        </w:rPr>
        <w:endnoteReference w:id="5"/>
      </w:r>
      <w:r w:rsidR="003C1D0E">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This brief examines the effects of the awareness of FMLA eligibility on leave usage for FMLA-qualifying reasons. Using data from the 2012 U.S. Department of Labor (DOL) Family and Medical Leave (FML</w:t>
      </w:r>
      <w:r w:rsidR="00735EF2">
        <w:rPr>
          <w:rFonts w:ascii="Times New Roman" w:eastAsia="Times New Roman" w:hAnsi="Times New Roman" w:cs="Times New Roman"/>
          <w:sz w:val="20"/>
          <w:szCs w:val="20"/>
        </w:rPr>
        <w:t>A</w:t>
      </w:r>
      <w:r>
        <w:rPr>
          <w:rFonts w:ascii="Times New Roman" w:eastAsia="Times New Roman" w:hAnsi="Times New Roman" w:cs="Times New Roman"/>
          <w:sz w:val="20"/>
          <w:szCs w:val="20"/>
        </w:rPr>
        <w:t xml:space="preserve">) </w:t>
      </w:r>
      <w:r w:rsidR="00240A57">
        <w:rPr>
          <w:rFonts w:ascii="Times New Roman" w:eastAsia="Times New Roman" w:hAnsi="Times New Roman" w:cs="Times New Roman"/>
          <w:sz w:val="20"/>
          <w:szCs w:val="20"/>
        </w:rPr>
        <w:t xml:space="preserve">Employee </w:t>
      </w:r>
      <w:r>
        <w:rPr>
          <w:rFonts w:ascii="Times New Roman" w:eastAsia="Times New Roman" w:hAnsi="Times New Roman" w:cs="Times New Roman"/>
          <w:sz w:val="20"/>
          <w:szCs w:val="20"/>
        </w:rPr>
        <w:t>Survey, the analysis examined the effect of FMLA eligibility and awareness on an outcome variable of whether a worker took leave for</w:t>
      </w:r>
      <w:r w:rsidR="00DA454B">
        <w:rPr>
          <w:rFonts w:ascii="Times New Roman" w:eastAsia="Times New Roman" w:hAnsi="Times New Roman" w:cs="Times New Roman"/>
          <w:sz w:val="20"/>
          <w:szCs w:val="20"/>
        </w:rPr>
        <w:t xml:space="preserve"> an</w:t>
      </w:r>
      <w:r>
        <w:rPr>
          <w:rFonts w:ascii="Times New Roman" w:eastAsia="Times New Roman" w:hAnsi="Times New Roman" w:cs="Times New Roman"/>
          <w:sz w:val="20"/>
          <w:szCs w:val="20"/>
        </w:rPr>
        <w:t xml:space="preserve"> FMLA-qualifying reasons</w:t>
      </w:r>
      <w:r w:rsidR="00240A57">
        <w:rPr>
          <w:rStyle w:val="FootnoteReference"/>
          <w:rFonts w:ascii="Times New Roman" w:eastAsia="Times New Roman" w:hAnsi="Times New Roman" w:cs="Times New Roman"/>
          <w:sz w:val="20"/>
          <w:szCs w:val="20"/>
        </w:rPr>
        <w:footnoteReference w:id="2"/>
      </w:r>
      <w:r w:rsidR="005A6BD4">
        <w:rPr>
          <w:rFonts w:ascii="Times New Roman" w:eastAsia="Times New Roman" w:hAnsi="Times New Roman" w:cs="Times New Roman"/>
          <w:sz w:val="20"/>
          <w:szCs w:val="20"/>
        </w:rPr>
        <w:t xml:space="preserve"> (s</w:t>
      </w:r>
      <w:r>
        <w:rPr>
          <w:rFonts w:ascii="Times New Roman" w:eastAsia="Times New Roman" w:hAnsi="Times New Roman" w:cs="Times New Roman"/>
          <w:sz w:val="20"/>
          <w:szCs w:val="20"/>
        </w:rPr>
        <w:t xml:space="preserve">ee </w:t>
      </w:r>
      <w:r w:rsidR="00DA454B">
        <w:rPr>
          <w:rFonts w:ascii="Times New Roman" w:eastAsia="Times New Roman" w:hAnsi="Times New Roman" w:cs="Times New Roman"/>
          <w:sz w:val="20"/>
          <w:szCs w:val="20"/>
        </w:rPr>
        <w:t>the Technical Appendix</w:t>
      </w:r>
      <w:r>
        <w:rPr>
          <w:rFonts w:ascii="Times New Roman" w:eastAsia="Times New Roman" w:hAnsi="Times New Roman" w:cs="Times New Roman"/>
          <w:sz w:val="20"/>
          <w:szCs w:val="20"/>
        </w:rPr>
        <w:t xml:space="preserve"> for </w:t>
      </w:r>
      <w:r w:rsidR="00DA454B">
        <w:rPr>
          <w:rFonts w:ascii="Times New Roman" w:eastAsia="Times New Roman" w:hAnsi="Times New Roman" w:cs="Times New Roman"/>
          <w:sz w:val="20"/>
          <w:szCs w:val="20"/>
        </w:rPr>
        <w:t xml:space="preserve">more </w:t>
      </w:r>
      <w:r>
        <w:rPr>
          <w:rFonts w:ascii="Times New Roman" w:eastAsia="Times New Roman" w:hAnsi="Times New Roman" w:cs="Times New Roman"/>
          <w:sz w:val="20"/>
          <w:szCs w:val="20"/>
        </w:rPr>
        <w:t>details</w:t>
      </w:r>
      <w:r w:rsidR="00DA454B">
        <w:rPr>
          <w:rFonts w:ascii="Times New Roman" w:eastAsia="Times New Roman" w:hAnsi="Times New Roman" w:cs="Times New Roman"/>
          <w:sz w:val="20"/>
          <w:szCs w:val="20"/>
        </w:rPr>
        <w:t xml:space="preserve"> on the survey</w:t>
      </w:r>
      <w:r>
        <w:rPr>
          <w:rFonts w:ascii="Times New Roman" w:eastAsia="Times New Roman" w:hAnsi="Times New Roman" w:cs="Times New Roman"/>
          <w:sz w:val="20"/>
          <w:szCs w:val="20"/>
        </w:rPr>
        <w:t>).</w:t>
      </w:r>
    </w:p>
    <w:p w14:paraId="47F7E37D" w14:textId="77777777" w:rsidR="00B0507B" w:rsidRDefault="00B0507B">
      <w:pPr>
        <w:pStyle w:val="Heading1"/>
      </w:pPr>
    </w:p>
    <w:p w14:paraId="0BDF207C" w14:textId="45B865BC" w:rsidR="00B0507B" w:rsidRDefault="00A821BA">
      <w:pPr>
        <w:pStyle w:val="Heading1"/>
        <w:rPr>
          <w:rFonts w:asciiTheme="minorHAnsi" w:eastAsia="Calibri" w:hAnsiTheme="minorHAnsi" w:cs="Calibri"/>
          <w:b/>
          <w:smallCaps/>
          <w:color w:val="92885A"/>
        </w:rPr>
      </w:pPr>
      <w:r w:rsidRPr="00B647CD">
        <w:rPr>
          <w:rFonts w:asciiTheme="minorHAnsi" w:eastAsia="Calibri" w:hAnsiTheme="minorHAnsi" w:cs="Calibri"/>
          <w:b/>
          <w:smallCaps/>
          <w:color w:val="92885A"/>
        </w:rPr>
        <w:t>WHAT IS THE EFFECT OF FMLA ELIGIBILITY AND AWARENESS ON WHETHER WORKERS TAKE LEAVE FOR FMLA-QUALIFYING REASONS?</w:t>
      </w:r>
    </w:p>
    <w:p w14:paraId="09EDE202" w14:textId="1419397D" w:rsidR="00764D76" w:rsidRPr="00764D76" w:rsidRDefault="00764D76" w:rsidP="00764D76">
      <w:pPr>
        <w:spacing w:after="0"/>
      </w:pPr>
      <w:r w:rsidRPr="000E0082">
        <w:rPr>
          <w:rFonts w:asciiTheme="minorHAnsi" w:hAnsiTheme="minorHAnsi"/>
          <w:b/>
          <w:i/>
          <w:color w:val="820024"/>
        </w:rPr>
        <w:t>Key Finding:</w:t>
      </w:r>
      <w:r>
        <w:rPr>
          <w:rFonts w:asciiTheme="minorHAnsi" w:hAnsiTheme="minorHAnsi"/>
          <w:b/>
          <w:i/>
          <w:color w:val="820024"/>
        </w:rPr>
        <w:t xml:space="preserve"> Workers who </w:t>
      </w:r>
      <w:r w:rsidR="00DA454B">
        <w:rPr>
          <w:rFonts w:asciiTheme="minorHAnsi" w:hAnsiTheme="minorHAnsi"/>
          <w:b/>
          <w:i/>
          <w:color w:val="820024"/>
        </w:rPr>
        <w:t xml:space="preserve">were </w:t>
      </w:r>
      <w:r>
        <w:rPr>
          <w:rFonts w:asciiTheme="minorHAnsi" w:hAnsiTheme="minorHAnsi"/>
          <w:b/>
          <w:i/>
          <w:color w:val="820024"/>
        </w:rPr>
        <w:t xml:space="preserve">Eligible and Aware of FMLA </w:t>
      </w:r>
      <w:r w:rsidR="00DA454B">
        <w:rPr>
          <w:rFonts w:asciiTheme="minorHAnsi" w:hAnsiTheme="minorHAnsi"/>
          <w:b/>
          <w:i/>
          <w:color w:val="820024"/>
        </w:rPr>
        <w:t xml:space="preserve">were </w:t>
      </w:r>
      <w:r>
        <w:rPr>
          <w:rFonts w:asciiTheme="minorHAnsi" w:hAnsiTheme="minorHAnsi"/>
          <w:b/>
          <w:i/>
          <w:color w:val="820024"/>
        </w:rPr>
        <w:t>One and a Half Times More Likely to Take Leave</w:t>
      </w:r>
    </w:p>
    <w:p w14:paraId="2DA20DFC" w14:textId="77777777" w:rsidR="00E03069" w:rsidRDefault="0038750F">
      <w:pPr>
        <w:spacing w:after="0"/>
        <w:rPr>
          <w:rFonts w:ascii="Times New Roman" w:eastAsia="Times New Roman" w:hAnsi="Times New Roman" w:cs="Times New Roman"/>
          <w:sz w:val="20"/>
          <w:szCs w:val="20"/>
        </w:rPr>
        <w:sectPr w:rsidR="00E03069" w:rsidSect="00FC6724">
          <w:headerReference w:type="default" r:id="rId8"/>
          <w:footerReference w:type="default" r:id="rId9"/>
          <w:pgSz w:w="12240" w:h="15840"/>
          <w:pgMar w:top="2331" w:right="720" w:bottom="684" w:left="810" w:header="720" w:footer="720" w:gutter="0"/>
          <w:pgNumType w:start="1"/>
          <w:cols w:space="720"/>
          <w:docGrid w:linePitch="299"/>
        </w:sectPr>
      </w:pPr>
      <w:r>
        <w:rPr>
          <w:rFonts w:ascii="Times New Roman" w:eastAsia="Times New Roman" w:hAnsi="Times New Roman" w:cs="Times New Roman"/>
          <w:sz w:val="20"/>
          <w:szCs w:val="20"/>
        </w:rPr>
        <w:t>Among w</w:t>
      </w:r>
      <w:r w:rsidR="00A821BA">
        <w:rPr>
          <w:rFonts w:ascii="Times New Roman" w:eastAsia="Times New Roman" w:hAnsi="Times New Roman" w:cs="Times New Roman"/>
          <w:sz w:val="20"/>
          <w:szCs w:val="20"/>
        </w:rPr>
        <w:t xml:space="preserve">orkers who were eligible and aware of FMLA </w:t>
      </w:r>
      <w:r>
        <w:rPr>
          <w:rFonts w:ascii="Times New Roman" w:eastAsia="Times New Roman" w:hAnsi="Times New Roman" w:cs="Times New Roman"/>
          <w:sz w:val="20"/>
          <w:szCs w:val="20"/>
        </w:rPr>
        <w:t>the probability of taking</w:t>
      </w:r>
      <w:r w:rsidR="00DA454B">
        <w:rPr>
          <w:rFonts w:ascii="Times New Roman" w:eastAsia="Times New Roman" w:hAnsi="Times New Roman" w:cs="Times New Roman"/>
          <w:sz w:val="20"/>
          <w:szCs w:val="20"/>
        </w:rPr>
        <w:t xml:space="preserve"> leave </w:t>
      </w:r>
      <w:r>
        <w:rPr>
          <w:rFonts w:ascii="Times New Roman" w:eastAsia="Times New Roman" w:hAnsi="Times New Roman" w:cs="Times New Roman"/>
          <w:sz w:val="20"/>
          <w:szCs w:val="20"/>
        </w:rPr>
        <w:t>was</w:t>
      </w:r>
      <w:r w:rsidR="00DA454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55.1</w:t>
      </w:r>
      <w:r w:rsidR="00DA454B">
        <w:rPr>
          <w:rFonts w:ascii="Times New Roman" w:eastAsia="Times New Roman" w:hAnsi="Times New Roman" w:cs="Times New Roman"/>
          <w:sz w:val="20"/>
          <w:szCs w:val="20"/>
        </w:rPr>
        <w:t>%</w:t>
      </w:r>
      <w:r w:rsidR="00A821BA">
        <w:rPr>
          <w:rFonts w:ascii="Times New Roman" w:eastAsia="Times New Roman" w:hAnsi="Times New Roman" w:cs="Times New Roman"/>
          <w:sz w:val="20"/>
          <w:szCs w:val="20"/>
        </w:rPr>
        <w:t xml:space="preserve">, compared to </w:t>
      </w:r>
      <w:r>
        <w:rPr>
          <w:rFonts w:ascii="Times New Roman" w:eastAsia="Times New Roman" w:hAnsi="Times New Roman" w:cs="Times New Roman"/>
          <w:sz w:val="20"/>
          <w:szCs w:val="20"/>
        </w:rPr>
        <w:t xml:space="preserve">the probability of </w:t>
      </w:r>
      <w:r w:rsidR="00A821BA">
        <w:rPr>
          <w:rFonts w:ascii="Times New Roman" w:eastAsia="Times New Roman" w:hAnsi="Times New Roman" w:cs="Times New Roman"/>
          <w:sz w:val="20"/>
          <w:szCs w:val="20"/>
        </w:rPr>
        <w:t>workers that were FMLA-eligible but unaware of the law</w:t>
      </w:r>
      <w:r w:rsidR="00DA454B">
        <w:rPr>
          <w:rFonts w:ascii="Times New Roman" w:eastAsia="Times New Roman" w:hAnsi="Times New Roman" w:cs="Times New Roman"/>
          <w:sz w:val="20"/>
          <w:szCs w:val="20"/>
        </w:rPr>
        <w:t xml:space="preserve">, who took leave at a rate of </w:t>
      </w:r>
      <w:r>
        <w:rPr>
          <w:rFonts w:ascii="Times New Roman" w:eastAsia="Times New Roman" w:hAnsi="Times New Roman" w:cs="Times New Roman"/>
          <w:sz w:val="20"/>
          <w:szCs w:val="20"/>
        </w:rPr>
        <w:t>45.3</w:t>
      </w:r>
      <w:r w:rsidR="00DA454B">
        <w:rPr>
          <w:rFonts w:ascii="Times New Roman" w:eastAsia="Times New Roman" w:hAnsi="Times New Roman" w:cs="Times New Roman"/>
          <w:sz w:val="20"/>
          <w:szCs w:val="20"/>
        </w:rPr>
        <w:t>%</w:t>
      </w:r>
      <w:r w:rsidR="00A821BA">
        <w:rPr>
          <w:rFonts w:ascii="Times New Roman" w:eastAsia="Times New Roman" w:hAnsi="Times New Roman" w:cs="Times New Roman"/>
          <w:sz w:val="20"/>
          <w:szCs w:val="20"/>
        </w:rPr>
        <w:t>.</w:t>
      </w:r>
    </w:p>
    <w:p w14:paraId="34FE3494" w14:textId="4FFA963D" w:rsidR="00B0507B" w:rsidRPr="00413D87" w:rsidRDefault="00A821BA" w:rsidP="00BB521F">
      <w:pPr>
        <w:spacing w:after="0"/>
        <w:rPr>
          <w:rFonts w:asciiTheme="minorHAnsi" w:hAnsiTheme="minorHAnsi"/>
        </w:rPr>
      </w:pPr>
      <w:r w:rsidRPr="00413D87">
        <w:rPr>
          <w:rFonts w:asciiTheme="minorHAnsi" w:eastAsia="Calibri" w:hAnsiTheme="minorHAnsi" w:cs="Calibri"/>
          <w:b/>
          <w:smallCaps/>
          <w:color w:val="92885A"/>
        </w:rPr>
        <w:lastRenderedPageBreak/>
        <w:t>WHERE DO WORKERS TYPICALLY LEARN ABOUT THE FMLA?</w:t>
      </w:r>
    </w:p>
    <w:p w14:paraId="2AB9579E" w14:textId="511791D1" w:rsidR="00C26E2C" w:rsidRDefault="00CA57F7" w:rsidP="00C26E2C">
      <w:pPr>
        <w:spacing w:after="0"/>
        <w:jc w:val="left"/>
        <w:rPr>
          <w:rFonts w:ascii="Times New Roman" w:eastAsia="Times New Roman" w:hAnsi="Times New Roman" w:cs="Times New Roman"/>
          <w:sz w:val="20"/>
          <w:szCs w:val="20"/>
        </w:rPr>
        <w:sectPr w:rsidR="00C26E2C" w:rsidSect="00702D2C">
          <w:headerReference w:type="default" r:id="rId10"/>
          <w:pgSz w:w="12240" w:h="15840"/>
          <w:pgMar w:top="691" w:right="720" w:bottom="691" w:left="806" w:header="720" w:footer="720" w:gutter="0"/>
          <w:pgNumType w:start="2"/>
          <w:cols w:space="720"/>
          <w:docGrid w:linePitch="299"/>
        </w:sectPr>
      </w:pPr>
      <w:r w:rsidRPr="00CA57F7">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The majority of U.S. workers who are both eligible and aware learn about the FMLA from their employers or a human resource office (56.6%). The second most common information source for workers consisted of a category of ‘other sources’ (16.6%) that did not include common information sources, such as employers, t</w:t>
      </w:r>
      <w:r w:rsidR="004F7709">
        <w:rPr>
          <w:rFonts w:ascii="Times New Roman" w:eastAsia="Times New Roman" w:hAnsi="Times New Roman" w:cs="Times New Roman"/>
          <w:sz w:val="20"/>
          <w:szCs w:val="20"/>
        </w:rPr>
        <w:t xml:space="preserve">he media, or other co-workers. </w:t>
      </w:r>
      <w:r>
        <w:rPr>
          <w:rFonts w:ascii="Times New Roman" w:eastAsia="Times New Roman" w:hAnsi="Times New Roman" w:cs="Times New Roman"/>
          <w:sz w:val="20"/>
          <w:szCs w:val="20"/>
        </w:rPr>
        <w:t>Media, including both print and electronic, were the third most common information source, with 11.0% of aware workers receiving their information from such sources. The other five types of information sources were considerably less likely to inform workers about the FMLA, with less than 5% of eligible workers learning about the law through these sources</w:t>
      </w:r>
      <w:r w:rsidR="00A821BA">
        <w:rPr>
          <w:rFonts w:ascii="Times New Roman" w:eastAsia="Times New Roman" w:hAnsi="Times New Roman" w:cs="Times New Roman"/>
          <w:sz w:val="20"/>
          <w:szCs w:val="20"/>
        </w:rPr>
        <w:t xml:space="preserve"> (see </w:t>
      </w:r>
      <w:r w:rsidR="00A821BA" w:rsidRPr="000F58ED">
        <w:rPr>
          <w:rFonts w:ascii="Times New Roman" w:eastAsia="Times New Roman" w:hAnsi="Times New Roman" w:cs="Times New Roman"/>
          <w:i/>
          <w:sz w:val="20"/>
          <w:szCs w:val="20"/>
        </w:rPr>
        <w:t>Figure 1</w:t>
      </w:r>
      <w:r w:rsidR="00A821BA">
        <w:rPr>
          <w:rFonts w:ascii="Times New Roman" w:eastAsia="Times New Roman" w:hAnsi="Times New Roman" w:cs="Times New Roman"/>
          <w:sz w:val="20"/>
          <w:szCs w:val="20"/>
        </w:rPr>
        <w:t xml:space="preserve">).  </w:t>
      </w:r>
    </w:p>
    <w:p w14:paraId="1733DCFF" w14:textId="1F701A9A" w:rsidR="00B0507B" w:rsidRDefault="00B0507B">
      <w:pPr>
        <w:spacing w:after="0"/>
      </w:pPr>
    </w:p>
    <w:p w14:paraId="3BB1E433" w14:textId="65D911CA" w:rsidR="00B0507B" w:rsidRPr="003D4CBF" w:rsidRDefault="003D4CBF" w:rsidP="003D4CBF">
      <w:pPr>
        <w:pBdr>
          <w:top w:val="nil"/>
          <w:left w:val="nil"/>
          <w:bottom w:val="nil"/>
          <w:right w:val="nil"/>
          <w:between w:val="nil"/>
          <w:bar w:val="nil"/>
        </w:pBdr>
        <w:spacing w:after="0"/>
        <w:jc w:val="center"/>
        <w:rPr>
          <w:rFonts w:asciiTheme="minorHAnsi" w:eastAsia="Arial Unicode MS" w:hAnsiTheme="minorHAnsi" w:cs="Times New Roman"/>
          <w:b/>
          <w:bCs/>
          <w:color w:val="000000" w:themeColor="text1"/>
          <w:sz w:val="20"/>
          <w:szCs w:val="20"/>
          <w:bdr w:val="nil"/>
        </w:rPr>
      </w:pPr>
      <w:r w:rsidRPr="003D4CBF">
        <w:rPr>
          <w:rFonts w:asciiTheme="minorHAnsi" w:eastAsia="Arial Unicode MS" w:hAnsiTheme="minorHAnsi" w:cs="Times New Roman"/>
          <w:b/>
          <w:bCs/>
          <w:color w:val="000000" w:themeColor="text1"/>
          <w:sz w:val="20"/>
          <w:szCs w:val="20"/>
          <w:bdr w:val="nil"/>
        </w:rPr>
        <w:t>Figure 1. Where Do FMLA-Aware Workers Typically Learn about the FMLA?</w:t>
      </w:r>
    </w:p>
    <w:p w14:paraId="328C4FE5" w14:textId="1565ADCE" w:rsidR="00B0507B" w:rsidRDefault="002567A9">
      <w:pPr>
        <w:spacing w:after="0"/>
        <w:jc w:val="center"/>
      </w:pPr>
      <w:r>
        <w:rPr>
          <w:noProof/>
          <w:lang w:eastAsia="zh-CN"/>
        </w:rPr>
        <w:drawing>
          <wp:inline distT="0" distB="0" distL="0" distR="0" wp14:anchorId="78C96CD8" wp14:editId="3F1BAE2D">
            <wp:extent cx="5962650" cy="1857375"/>
            <wp:effectExtent l="0" t="0" r="0" b="9525"/>
            <wp:docPr id="1" name="Chart 1" descr="Figure 1 is a bar chart that shows where workers learned about the Family and Medical Leave Act. Most workers learned about the Family and Medical Leave Act from their employer or human resource office. By source, the chart has the following data:&#10;&#10;1. Employer or human resource office: 56.6%&#10;2. Other: 16.6%&#10;3. Media: 11.0%&#10;4. Family members: 4.3%&#10;5. FMLA posters: 3.7%&#10;6. Co-workers: 3.6%&#10;7. Friend or neighbor: 2.2%&#10;" title="Figur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C25E1F3" w14:textId="77777777" w:rsidR="002567A9" w:rsidRDefault="002567A9">
      <w:pPr>
        <w:spacing w:after="0"/>
        <w:rPr>
          <w:rFonts w:ascii="Times New Roman" w:eastAsia="Times New Roman" w:hAnsi="Times New Roman" w:cs="Times New Roman"/>
          <w:sz w:val="20"/>
          <w:szCs w:val="20"/>
        </w:rPr>
      </w:pPr>
    </w:p>
    <w:p w14:paraId="51E7F0BE" w14:textId="77777777" w:rsidR="00B0507B" w:rsidRPr="00B647CD" w:rsidRDefault="00A821BA">
      <w:pPr>
        <w:pStyle w:val="Heading1"/>
        <w:rPr>
          <w:rFonts w:asciiTheme="minorHAnsi" w:hAnsiTheme="minorHAnsi"/>
        </w:rPr>
      </w:pPr>
      <w:r w:rsidRPr="00B647CD">
        <w:rPr>
          <w:rFonts w:asciiTheme="minorHAnsi" w:eastAsia="Calibri" w:hAnsiTheme="minorHAnsi" w:cs="Calibri"/>
          <w:b/>
          <w:smallCaps/>
          <w:color w:val="92885A"/>
        </w:rPr>
        <w:t>WHICH WORKERS ARE LESS LIKELY TO BE AWARE OF THE FMLA?</w:t>
      </w:r>
    </w:p>
    <w:p w14:paraId="4A0B9C43" w14:textId="4A4DBB8E" w:rsidR="00B0507B" w:rsidRPr="005A6BD4" w:rsidRDefault="00A821BA">
      <w:pPr>
        <w:spacing w:after="0"/>
      </w:pPr>
      <w:r>
        <w:rPr>
          <w:rFonts w:ascii="Times New Roman" w:eastAsia="Times New Roman" w:hAnsi="Times New Roman" w:cs="Times New Roman"/>
          <w:sz w:val="20"/>
          <w:szCs w:val="20"/>
        </w:rPr>
        <w:t>Workers in seven sub-populations were found to be significantly less likely to be aware of the FMLA when compared to their peers</w:t>
      </w:r>
      <w:r w:rsidR="00CA57F7">
        <w:rPr>
          <w:rFonts w:ascii="Times New Roman" w:eastAsia="Times New Roman" w:hAnsi="Times New Roman" w:cs="Times New Roman"/>
          <w:sz w:val="20"/>
          <w:szCs w:val="20"/>
        </w:rPr>
        <w:t xml:space="preserve">. These sub-populations include important groups of workers, including younger workers, lower income workers, and racial minorities, who are as likely to need FMLA as their peers, </w:t>
      </w:r>
      <w:r w:rsidR="004F7709">
        <w:rPr>
          <w:rFonts w:ascii="Times New Roman" w:eastAsia="Times New Roman" w:hAnsi="Times New Roman" w:cs="Times New Roman"/>
          <w:sz w:val="20"/>
          <w:szCs w:val="20"/>
        </w:rPr>
        <w:t>but are least aware of the law.</w:t>
      </w:r>
      <w:r w:rsidR="00CA57F7">
        <w:rPr>
          <w:rFonts w:ascii="Times New Roman" w:eastAsia="Times New Roman" w:hAnsi="Times New Roman" w:cs="Times New Roman"/>
          <w:sz w:val="20"/>
          <w:szCs w:val="20"/>
        </w:rPr>
        <w:t xml:space="preserve"> Increased efforts to inform these sub-populations about FMLA, its benefits, and its eligibility requirements could play a critical role in allowing larger number of U.S. workers to utilize the FMLA benefit available to them to achieve an effective balance between healt</w:t>
      </w:r>
      <w:r w:rsidR="005A6BD4">
        <w:rPr>
          <w:rFonts w:ascii="Times New Roman" w:eastAsia="Times New Roman" w:hAnsi="Times New Roman" w:cs="Times New Roman"/>
          <w:sz w:val="20"/>
          <w:szCs w:val="20"/>
        </w:rPr>
        <w:t>hy careers and healthy families</w:t>
      </w:r>
      <w:r>
        <w:rPr>
          <w:rFonts w:ascii="Times New Roman" w:eastAsia="Times New Roman" w:hAnsi="Times New Roman" w:cs="Times New Roman"/>
          <w:sz w:val="20"/>
          <w:szCs w:val="20"/>
        </w:rPr>
        <w:t xml:space="preserve"> (see </w:t>
      </w:r>
      <w:r w:rsidRPr="000F58ED">
        <w:rPr>
          <w:rFonts w:ascii="Times New Roman" w:eastAsia="Times New Roman" w:hAnsi="Times New Roman" w:cs="Times New Roman"/>
          <w:i/>
          <w:sz w:val="20"/>
          <w:szCs w:val="20"/>
        </w:rPr>
        <w:t>Figure 2</w:t>
      </w:r>
      <w:r w:rsidR="007B729F">
        <w:rPr>
          <w:rFonts w:ascii="Times New Roman" w:eastAsia="Times New Roman" w:hAnsi="Times New Roman" w:cs="Times New Roman"/>
          <w:sz w:val="20"/>
          <w:szCs w:val="20"/>
        </w:rPr>
        <w:t xml:space="preserve"> on the following page</w:t>
      </w:r>
      <w:r>
        <w:rPr>
          <w:rFonts w:ascii="Times New Roman" w:eastAsia="Times New Roman" w:hAnsi="Times New Roman" w:cs="Times New Roman"/>
          <w:sz w:val="20"/>
          <w:szCs w:val="20"/>
        </w:rPr>
        <w:t xml:space="preserve">). </w:t>
      </w:r>
    </w:p>
    <w:p w14:paraId="736A468E" w14:textId="77777777" w:rsidR="00D75F59" w:rsidRDefault="00D75F59">
      <w:pPr>
        <w:spacing w:after="0"/>
      </w:pPr>
    </w:p>
    <w:p w14:paraId="7A8651D2" w14:textId="77777777" w:rsidR="007B729F" w:rsidRDefault="007B729F">
      <w:pPr>
        <w:rPr>
          <w:rFonts w:asciiTheme="minorHAnsi" w:eastAsia="Arial Unicode MS" w:hAnsiTheme="minorHAnsi" w:cs="Times New Roman"/>
          <w:b/>
          <w:bCs/>
          <w:color w:val="000000" w:themeColor="text1"/>
          <w:sz w:val="20"/>
          <w:szCs w:val="20"/>
          <w:bdr w:val="nil"/>
        </w:rPr>
      </w:pPr>
      <w:r>
        <w:rPr>
          <w:rFonts w:asciiTheme="minorHAnsi" w:eastAsia="Arial Unicode MS" w:hAnsiTheme="minorHAnsi" w:cs="Times New Roman"/>
          <w:b/>
          <w:bCs/>
          <w:color w:val="000000" w:themeColor="text1"/>
          <w:sz w:val="20"/>
          <w:szCs w:val="20"/>
          <w:bdr w:val="nil"/>
        </w:rPr>
        <w:br w:type="page"/>
      </w:r>
    </w:p>
    <w:p w14:paraId="2330D80C" w14:textId="4F6F43BC" w:rsidR="003D4CBF" w:rsidRPr="003D4CBF" w:rsidRDefault="003D4CBF" w:rsidP="003D4CBF">
      <w:pPr>
        <w:pBdr>
          <w:top w:val="nil"/>
          <w:left w:val="nil"/>
          <w:bottom w:val="nil"/>
          <w:right w:val="nil"/>
          <w:between w:val="nil"/>
          <w:bar w:val="nil"/>
        </w:pBdr>
        <w:spacing w:after="0"/>
        <w:jc w:val="center"/>
        <w:rPr>
          <w:rFonts w:asciiTheme="minorHAnsi" w:eastAsia="Arial Unicode MS" w:hAnsiTheme="minorHAnsi" w:cs="Times New Roman"/>
          <w:b/>
          <w:bCs/>
          <w:color w:val="000000" w:themeColor="text1"/>
          <w:sz w:val="20"/>
          <w:szCs w:val="20"/>
          <w:bdr w:val="nil"/>
        </w:rPr>
      </w:pPr>
      <w:r w:rsidRPr="003D4CBF">
        <w:rPr>
          <w:rFonts w:asciiTheme="minorHAnsi" w:eastAsia="Arial Unicode MS" w:hAnsiTheme="minorHAnsi" w:cs="Times New Roman"/>
          <w:b/>
          <w:bCs/>
          <w:color w:val="000000" w:themeColor="text1"/>
          <w:sz w:val="20"/>
          <w:szCs w:val="20"/>
          <w:bdr w:val="nil"/>
        </w:rPr>
        <w:lastRenderedPageBreak/>
        <w:t>Figure 2: Differences in FMLA-Awareness within Key Sub-Populations of Eligible Workers</w:t>
      </w:r>
    </w:p>
    <w:p w14:paraId="3A769E1E" w14:textId="3C05F0F2" w:rsidR="00B0507B" w:rsidRDefault="0041683C" w:rsidP="00D75F59">
      <w:pPr>
        <w:spacing w:after="0"/>
        <w:jc w:val="center"/>
      </w:pPr>
      <w:r>
        <w:rPr>
          <w:noProof/>
          <w:lang w:eastAsia="zh-CN"/>
        </w:rPr>
        <w:drawing>
          <wp:inline distT="0" distB="0" distL="0" distR="0" wp14:anchorId="0A4D0069" wp14:editId="5AEE0BA9">
            <wp:extent cx="6837680" cy="3848100"/>
            <wp:effectExtent l="0" t="0" r="1270" b="0"/>
            <wp:docPr id="9" name="Picture 9" descr="Figure 2 is a bar chart that shows which sub-populations of eligible workers we significantly less likely to be aware of FMLA when compared to their peers. The x-axis is the worker subgroups and the y-axis is the percent of FMLA-eligible workers. The results are significant at the p&lt;0.01 level. &#10;&#10;By subgroup, the chart has the following data:&#10;1. Non-High School Graduates: -48.5%&#10;2. Family Income-Less than $20,000: -38.7%&#10;3. 18-24 Year Olds: -35.10%&#10;4. Family Income $20,000-$30,000: -27.3%&#10;5. Hispanic Ethnicity: -27.7%&#10;6. Low Levels of Paid Leave Access: -23.8%&#10;7. Race- Other: -22.4%&#10;8. Race- Asian: -17.4%&#10;9. Pay Type- Piecework/Commission: -14.7%&#10;10. Pay Type- Hourly: -14.6%&#10;" title="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6661" cy="3858782"/>
                    </a:xfrm>
                    <a:prstGeom prst="rect">
                      <a:avLst/>
                    </a:prstGeom>
                    <a:noFill/>
                  </pic:spPr>
                </pic:pic>
              </a:graphicData>
            </a:graphic>
          </wp:inline>
        </w:drawing>
      </w:r>
    </w:p>
    <w:p w14:paraId="5CD8A6A7" w14:textId="047F1442" w:rsidR="00B0507B" w:rsidRPr="002F6282" w:rsidRDefault="00A821BA" w:rsidP="002F6282">
      <w:pPr>
        <w:spacing w:after="0"/>
        <w:jc w:val="center"/>
        <w:rPr>
          <w:rFonts w:asciiTheme="minorHAnsi" w:hAnsiTheme="minorHAnsi"/>
          <w:sz w:val="24"/>
        </w:rPr>
      </w:pPr>
      <w:r w:rsidRPr="002F6282">
        <w:rPr>
          <w:rFonts w:asciiTheme="minorHAnsi" w:eastAsia="Times New Roman" w:hAnsiTheme="minorHAnsi" w:cs="Times New Roman"/>
          <w:i/>
          <w:sz w:val="18"/>
          <w:szCs w:val="16"/>
        </w:rPr>
        <w:t>Note: All differences are statistically significant at the p&lt;0.01 level.</w:t>
      </w:r>
    </w:p>
    <w:p w14:paraId="6023DAFF" w14:textId="77777777" w:rsidR="00B34C96" w:rsidRDefault="00B34C96">
      <w:pPr>
        <w:spacing w:after="0"/>
        <w:rPr>
          <w:rFonts w:ascii="Times New Roman" w:eastAsia="Times New Roman" w:hAnsi="Times New Roman" w:cs="Times New Roman"/>
          <w:sz w:val="20"/>
          <w:szCs w:val="20"/>
        </w:rPr>
      </w:pPr>
    </w:p>
    <w:p w14:paraId="1F72E1B3" w14:textId="5C7CA270" w:rsidR="00E8154C" w:rsidRPr="00D5500A" w:rsidRDefault="00E8154C" w:rsidP="00D5500A">
      <w:pPr>
        <w:pStyle w:val="Heading1"/>
        <w:rPr>
          <w:rFonts w:asciiTheme="minorHAnsi" w:eastAsia="Calibri" w:hAnsiTheme="minorHAnsi" w:cs="Calibri"/>
          <w:b/>
          <w:smallCaps/>
          <w:color w:val="92885A"/>
        </w:rPr>
      </w:pPr>
      <w:r>
        <w:rPr>
          <w:rFonts w:asciiTheme="minorHAnsi" w:eastAsia="Calibri" w:hAnsiTheme="minorHAnsi" w:cs="Calibri"/>
          <w:b/>
          <w:smallCaps/>
          <w:color w:val="92885A"/>
        </w:rPr>
        <w:t>IMPLICATIONS</w:t>
      </w:r>
    </w:p>
    <w:p w14:paraId="079CC2FB" w14:textId="28E202AB" w:rsidR="00FC6724" w:rsidRDefault="00A821BA">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These findings demonstrate that:</w:t>
      </w:r>
    </w:p>
    <w:p w14:paraId="018D311E" w14:textId="77777777" w:rsidR="002F002A" w:rsidRPr="002F002A" w:rsidRDefault="002F002A">
      <w:pPr>
        <w:spacing w:after="0"/>
        <w:rPr>
          <w:rFonts w:ascii="Times New Roman" w:eastAsia="Times New Roman" w:hAnsi="Times New Roman" w:cs="Times New Roman"/>
          <w:sz w:val="20"/>
          <w:szCs w:val="20"/>
        </w:rPr>
      </w:pPr>
    </w:p>
    <w:p w14:paraId="4CC1E0C2" w14:textId="77777777" w:rsidR="00B0507B" w:rsidRDefault="00A821BA">
      <w:pPr>
        <w:numPr>
          <w:ilvl w:val="0"/>
          <w:numId w:val="1"/>
        </w:numPr>
        <w:spacing w:after="0"/>
        <w:ind w:hanging="360"/>
        <w:contextualSpacing/>
      </w:pPr>
      <w:r>
        <w:rPr>
          <w:rFonts w:ascii="Times New Roman" w:eastAsia="Times New Roman" w:hAnsi="Times New Roman" w:cs="Times New Roman"/>
          <w:sz w:val="20"/>
          <w:szCs w:val="20"/>
        </w:rPr>
        <w:t xml:space="preserve">FMLA-eligible workers who did not graduate high school had levels of FMLA awareness that were 48.5% lower than workers with higher levels of education. </w:t>
      </w:r>
    </w:p>
    <w:p w14:paraId="44D83E3B" w14:textId="77777777" w:rsidR="00B0507B" w:rsidRDefault="00A821BA">
      <w:pPr>
        <w:numPr>
          <w:ilvl w:val="0"/>
          <w:numId w:val="1"/>
        </w:numPr>
        <w:spacing w:after="0"/>
        <w:ind w:hanging="360"/>
        <w:contextualSpacing/>
      </w:pPr>
      <w:r>
        <w:rPr>
          <w:rFonts w:ascii="Times New Roman" w:eastAsia="Times New Roman" w:hAnsi="Times New Roman" w:cs="Times New Roman"/>
          <w:sz w:val="20"/>
          <w:szCs w:val="20"/>
        </w:rPr>
        <w:t xml:space="preserve">FMLA awareness among workers 18 between 24 years of age was 35.1% lower than workers of other ages. </w:t>
      </w:r>
    </w:p>
    <w:p w14:paraId="36D82969" w14:textId="77777777" w:rsidR="00B0507B" w:rsidRDefault="00A821BA">
      <w:pPr>
        <w:numPr>
          <w:ilvl w:val="0"/>
          <w:numId w:val="1"/>
        </w:numPr>
        <w:spacing w:after="0"/>
        <w:ind w:hanging="360"/>
        <w:contextualSpacing/>
      </w:pPr>
      <w:r>
        <w:rPr>
          <w:rFonts w:ascii="Times New Roman" w:eastAsia="Times New Roman" w:hAnsi="Times New Roman" w:cs="Times New Roman"/>
          <w:sz w:val="20"/>
          <w:szCs w:val="20"/>
        </w:rPr>
        <w:t xml:space="preserve">Workers with family incomes of less than $20,000 (-38.7%) and less than $30,000 (-27.3%) were also considerably less likely to be aware of the FMLA. </w:t>
      </w:r>
    </w:p>
    <w:p w14:paraId="1DB98207" w14:textId="77777777" w:rsidR="00B0507B" w:rsidRDefault="00A821BA">
      <w:pPr>
        <w:numPr>
          <w:ilvl w:val="0"/>
          <w:numId w:val="1"/>
        </w:numPr>
        <w:spacing w:after="0"/>
        <w:ind w:hanging="360"/>
        <w:contextualSpacing/>
      </w:pPr>
      <w:r>
        <w:rPr>
          <w:rFonts w:ascii="Times New Roman" w:eastAsia="Times New Roman" w:hAnsi="Times New Roman" w:cs="Times New Roman"/>
          <w:sz w:val="20"/>
          <w:szCs w:val="20"/>
        </w:rPr>
        <w:t xml:space="preserve">Hispanic workers (-27.7%), Asian workers (-17.4%), and other racial groups (-22.4%) were less aware of the FMLA than their peers. </w:t>
      </w:r>
    </w:p>
    <w:p w14:paraId="70BE1B0F" w14:textId="77777777" w:rsidR="00B0507B" w:rsidRDefault="00A821BA">
      <w:pPr>
        <w:numPr>
          <w:ilvl w:val="0"/>
          <w:numId w:val="1"/>
        </w:numPr>
        <w:spacing w:after="0"/>
        <w:ind w:hanging="360"/>
        <w:contextualSpacing/>
      </w:pPr>
      <w:r>
        <w:rPr>
          <w:rFonts w:ascii="Times New Roman" w:eastAsia="Times New Roman" w:hAnsi="Times New Roman" w:cs="Times New Roman"/>
          <w:sz w:val="20"/>
          <w:szCs w:val="20"/>
        </w:rPr>
        <w:t xml:space="preserve">FMLA-eligible workers with lower levels of access to paid leave had FMLA- awareness rates that were 23.8% lower than their peers with greater access to paid leave. </w:t>
      </w:r>
    </w:p>
    <w:p w14:paraId="7B420B7D" w14:textId="4F4EE781" w:rsidR="00E03069" w:rsidRPr="00FD5DCA" w:rsidRDefault="00A821BA" w:rsidP="00E03069">
      <w:pPr>
        <w:numPr>
          <w:ilvl w:val="0"/>
          <w:numId w:val="1"/>
        </w:numPr>
        <w:spacing w:after="0"/>
        <w:ind w:hanging="360"/>
        <w:contextualSpacing/>
      </w:pPr>
      <w:r>
        <w:rPr>
          <w:rFonts w:ascii="Times New Roman" w:eastAsia="Times New Roman" w:hAnsi="Times New Roman" w:cs="Times New Roman"/>
          <w:sz w:val="20"/>
          <w:szCs w:val="20"/>
        </w:rPr>
        <w:t>Workers who were paid hourly or via a piecework/commission basis or some other combination of pay, were significantly less likely (-14.6% to -14.7%) to be aware of the FMLA than salaried workers.</w:t>
      </w:r>
    </w:p>
    <w:p w14:paraId="441CF8A9" w14:textId="21142FBC" w:rsidR="002F002A" w:rsidRDefault="00E03069">
      <w:pPr>
        <w:rPr>
          <w:rFonts w:asciiTheme="minorHAnsi" w:eastAsia="Calibri" w:hAnsiTheme="minorHAnsi" w:cs="Calibri"/>
          <w:b/>
          <w:color w:val="B2A97E"/>
          <w:sz w:val="24"/>
          <w:szCs w:val="24"/>
        </w:rPr>
      </w:pPr>
      <w:r w:rsidRPr="00E03069">
        <w:rPr>
          <w:rFonts w:ascii="Times New Roman" w:eastAsia="Times New Roman" w:hAnsi="Times New Roman" w:cs="Times New Roman"/>
          <w:noProof/>
          <w:sz w:val="20"/>
          <w:szCs w:val="20"/>
          <w:lang w:eastAsia="zh-CN"/>
        </w:rPr>
        <w:drawing>
          <wp:anchor distT="152400" distB="152400" distL="152400" distR="152400" simplePos="0" relativeHeight="251660288" behindDoc="0" locked="0" layoutInCell="1" allowOverlap="1" wp14:anchorId="6AB45BC7" wp14:editId="75DD60B2">
            <wp:simplePos x="0" y="0"/>
            <wp:positionH relativeFrom="page">
              <wp:posOffset>575765</wp:posOffset>
            </wp:positionH>
            <wp:positionV relativeFrom="page">
              <wp:posOffset>7959858</wp:posOffset>
            </wp:positionV>
            <wp:extent cx="2277110" cy="755015"/>
            <wp:effectExtent l="0" t="0" r="8890" b="6985"/>
            <wp:wrapThrough wrapText="bothSides" distL="152400" distR="152400">
              <wp:wrapPolygon edited="1">
                <wp:start x="0" y="0"/>
                <wp:lineTo x="0" y="21600"/>
                <wp:lineTo x="21600" y="21600"/>
                <wp:lineTo x="21600" y="0"/>
                <wp:lineTo x="0" y="0"/>
              </wp:wrapPolygon>
            </wp:wrapThrough>
            <wp:docPr id="7" name="officeArt object"/>
            <wp:cNvGraphicFramePr/>
            <a:graphic xmlns:a="http://schemas.openxmlformats.org/drawingml/2006/main">
              <a:graphicData uri="http://schemas.openxmlformats.org/drawingml/2006/picture">
                <pic:pic xmlns:pic="http://schemas.openxmlformats.org/drawingml/2006/picture">
                  <pic:nvPicPr>
                    <pic:cNvPr id="1073741826" name="IMPAQ 2 in wide.png"/>
                    <pic:cNvPicPr/>
                  </pic:nvPicPr>
                  <pic:blipFill>
                    <a:blip r:embed="rId13">
                      <a:extLst/>
                    </a:blip>
                    <a:stretch>
                      <a:fillRect/>
                    </a:stretch>
                  </pic:blipFill>
                  <pic:spPr>
                    <a:xfrm>
                      <a:off x="0" y="0"/>
                      <a:ext cx="2277110" cy="755015"/>
                    </a:xfrm>
                    <a:prstGeom prst="rect">
                      <a:avLst/>
                    </a:prstGeom>
                    <a:ln w="12700" cap="flat">
                      <a:noFill/>
                      <a:miter lim="400000"/>
                    </a:ln>
                    <a:effectLst/>
                  </pic:spPr>
                </pic:pic>
              </a:graphicData>
            </a:graphic>
          </wp:anchor>
        </w:drawing>
      </w:r>
      <w:r w:rsidRPr="00E03069">
        <w:rPr>
          <w:rFonts w:ascii="Times New Roman" w:eastAsia="Times New Roman" w:hAnsi="Times New Roman" w:cs="Times New Roman"/>
          <w:noProof/>
          <w:sz w:val="20"/>
          <w:szCs w:val="20"/>
          <w:lang w:eastAsia="zh-CN"/>
        </w:rPr>
        <w:drawing>
          <wp:anchor distT="0" distB="0" distL="114300" distR="114300" simplePos="0" relativeHeight="251661312" behindDoc="0" locked="0" layoutInCell="1" allowOverlap="1" wp14:anchorId="26F84A14" wp14:editId="51BA6CBE">
            <wp:simplePos x="0" y="0"/>
            <wp:positionH relativeFrom="column">
              <wp:posOffset>4645167</wp:posOffset>
            </wp:positionH>
            <wp:positionV relativeFrom="paragraph">
              <wp:posOffset>358898</wp:posOffset>
            </wp:positionV>
            <wp:extent cx="2059305" cy="763905"/>
            <wp:effectExtent l="0" t="0" r="0" b="0"/>
            <wp:wrapNone/>
            <wp:docPr id="10" name="Picture 10" descr="/Users/pmartires/Desktop/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pmartires/Desktop/Unknow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9305" cy="763905"/>
                    </a:xfrm>
                    <a:prstGeom prst="rect">
                      <a:avLst/>
                    </a:prstGeom>
                    <a:noFill/>
                    <a:ln>
                      <a:noFill/>
                    </a:ln>
                  </pic:spPr>
                </pic:pic>
              </a:graphicData>
            </a:graphic>
            <wp14:sizeRelH relativeFrom="page">
              <wp14:pctWidth>0</wp14:pctWidth>
            </wp14:sizeRelH>
            <wp14:sizeRelV relativeFrom="page">
              <wp14:pctHeight>0</wp14:pctHeight>
            </wp14:sizeRelV>
          </wp:anchor>
        </w:drawing>
      </w:r>
      <w:r w:rsidR="002F002A">
        <w:rPr>
          <w:rFonts w:asciiTheme="minorHAnsi" w:eastAsia="Calibri" w:hAnsiTheme="minorHAnsi" w:cs="Calibri"/>
          <w:b/>
        </w:rPr>
        <w:br w:type="page"/>
      </w:r>
    </w:p>
    <w:p w14:paraId="0DDACAB4" w14:textId="0CF59334" w:rsidR="00B0507B" w:rsidRPr="00B647CD" w:rsidRDefault="00A821BA">
      <w:pPr>
        <w:pStyle w:val="Heading1"/>
        <w:rPr>
          <w:rFonts w:asciiTheme="minorHAnsi" w:hAnsiTheme="minorHAnsi"/>
        </w:rPr>
      </w:pPr>
      <w:r w:rsidRPr="00B647CD">
        <w:rPr>
          <w:rFonts w:asciiTheme="minorHAnsi" w:eastAsia="Calibri" w:hAnsiTheme="minorHAnsi" w:cs="Calibri"/>
          <w:b/>
        </w:rPr>
        <w:lastRenderedPageBreak/>
        <w:t>TECHNICAL APPENDIX</w:t>
      </w:r>
    </w:p>
    <w:p w14:paraId="1D9F26D9" w14:textId="5CAB0EF0" w:rsidR="00B0507B" w:rsidRDefault="00A821BA">
      <w:pPr>
        <w:jc w:val="left"/>
      </w:pPr>
      <w:r>
        <w:rPr>
          <w:rFonts w:ascii="Times New Roman" w:eastAsia="Times New Roman" w:hAnsi="Times New Roman" w:cs="Times New Roman"/>
          <w:sz w:val="20"/>
          <w:szCs w:val="20"/>
        </w:rPr>
        <w:t>Data for the analysis consisted of employee data from the 2012 DOL FML</w:t>
      </w:r>
      <w:r w:rsidR="00FC6724">
        <w:rPr>
          <w:rFonts w:ascii="Times New Roman" w:eastAsia="Times New Roman" w:hAnsi="Times New Roman" w:cs="Times New Roman"/>
          <w:sz w:val="20"/>
          <w:szCs w:val="20"/>
        </w:rPr>
        <w:t>A</w:t>
      </w:r>
      <w:r>
        <w:rPr>
          <w:rFonts w:ascii="Times New Roman" w:eastAsia="Times New Roman" w:hAnsi="Times New Roman" w:cs="Times New Roman"/>
          <w:sz w:val="20"/>
          <w:szCs w:val="20"/>
        </w:rPr>
        <w:t xml:space="preserve"> </w:t>
      </w:r>
      <w:r w:rsidR="007B729F">
        <w:rPr>
          <w:rFonts w:ascii="Times New Roman" w:eastAsia="Times New Roman" w:hAnsi="Times New Roman" w:cs="Times New Roman"/>
          <w:sz w:val="20"/>
          <w:szCs w:val="20"/>
        </w:rPr>
        <w:t xml:space="preserve">Employee </w:t>
      </w:r>
      <w:r>
        <w:rPr>
          <w:rFonts w:ascii="Times New Roman" w:eastAsia="Times New Roman" w:hAnsi="Times New Roman" w:cs="Times New Roman"/>
          <w:sz w:val="20"/>
          <w:szCs w:val="20"/>
        </w:rPr>
        <w:t>Survey</w:t>
      </w:r>
      <w:r w:rsidR="003C1D0E">
        <w:rPr>
          <w:rFonts w:ascii="Times New Roman" w:eastAsia="Times New Roman" w:hAnsi="Times New Roman" w:cs="Times New Roman"/>
          <w:sz w:val="20"/>
          <w:szCs w:val="20"/>
          <w:vertAlign w:val="superscript"/>
        </w:rPr>
        <w:endnoteReference w:id="6"/>
      </w:r>
      <w:r w:rsidR="003C1D0E">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Employee data was collected via nationwide random-digit dialing and computer-assisted telephone interviews, with sampling weights used to adjust for stratified sampling methods and survey non-response. Interviews were conducted with one employee per household (with the self-employed excluded), and a total of 1,359 employee surveys were completed. The surveys included employees who were and were not eligible to receive the protections of FMLA. Based upon their answers, the survey classified respondents as members of one of four groups: employees who took leave (‘leave-takers’), employees who had a need for leave but did not take leave (‘leave-</w:t>
      </w:r>
      <w:proofErr w:type="spellStart"/>
      <w:r>
        <w:rPr>
          <w:rFonts w:ascii="Times New Roman" w:eastAsia="Times New Roman" w:hAnsi="Times New Roman" w:cs="Times New Roman"/>
          <w:sz w:val="20"/>
          <w:szCs w:val="20"/>
        </w:rPr>
        <w:t>needers’</w:t>
      </w:r>
      <w:proofErr w:type="spellEnd"/>
      <w:r>
        <w:rPr>
          <w:rFonts w:ascii="Times New Roman" w:eastAsia="Times New Roman" w:hAnsi="Times New Roman" w:cs="Times New Roman"/>
          <w:sz w:val="20"/>
          <w:szCs w:val="20"/>
        </w:rPr>
        <w:t xml:space="preserve">), employees that took leave but needed additional leave that they could not take, and employees that did not need nor take leave. This brief restricts its focus to ‘leave-takers’, those workers who took leave for FMLA-eligible reasons, and compares the use of leave among that sub-population to the other three groups. </w:t>
      </w:r>
    </w:p>
    <w:p w14:paraId="7DA202EF" w14:textId="77777777" w:rsidR="00B0507B" w:rsidRDefault="00A821BA">
      <w:pPr>
        <w:jc w:val="left"/>
      </w:pPr>
      <w:r>
        <w:rPr>
          <w:rFonts w:ascii="Times New Roman" w:eastAsia="Times New Roman" w:hAnsi="Times New Roman" w:cs="Times New Roman"/>
          <w:sz w:val="20"/>
          <w:szCs w:val="20"/>
        </w:rPr>
        <w:t xml:space="preserve">The analysis employed a logistic regression model that examined the relationship between the explanatory variables and the outcome variable of whether a worker took leave for FMLA-eligible reasons. The outcome variable, as constructed, examines whether a worker took leave for FMLA-eligible reasons, but does not examine the types of leave that a worker used, such as sick leave, FMLA leave, vacation leave, or short- or long-term disability. The explanatory variables used in this model consisted of eight factors that were previously identified within the peer-reviewed literature as having statistically significant effects on whether a worker took leave for FMLA–eligible reasons. In addition, a collection of control variables were included within the model. The control variables consisted of worker- and organizational-level variables that were not consistently identified as explanatory factors within previous research, but were expected to affect whether a worker took leave. </w:t>
      </w:r>
    </w:p>
    <w:p w14:paraId="4B577C31" w14:textId="3E325ACC" w:rsidR="00B0507B" w:rsidRDefault="00A821BA">
      <w:pPr>
        <w:jc w:val="left"/>
      </w:pPr>
      <w:r>
        <w:rPr>
          <w:rFonts w:ascii="Times New Roman" w:eastAsia="Times New Roman" w:hAnsi="Times New Roman" w:cs="Times New Roman"/>
          <w:sz w:val="20"/>
          <w:szCs w:val="20"/>
        </w:rPr>
        <w:t xml:space="preserve">Exhibit </w:t>
      </w:r>
      <w:r w:rsidR="00FC6724">
        <w:rPr>
          <w:rFonts w:ascii="Times New Roman" w:eastAsia="Times New Roman" w:hAnsi="Times New Roman" w:cs="Times New Roman"/>
          <w:sz w:val="20"/>
          <w:szCs w:val="20"/>
        </w:rPr>
        <w:t>A</w:t>
      </w:r>
      <w:r>
        <w:rPr>
          <w:rFonts w:ascii="Times New Roman" w:eastAsia="Times New Roman" w:hAnsi="Times New Roman" w:cs="Times New Roman"/>
          <w:sz w:val="20"/>
          <w:szCs w:val="20"/>
        </w:rPr>
        <w:t>1 on the following page presents the full results for the factors associated with utilization of leave for FMLA-eligible reasons. The first column specifies the explanatory and control variables included in the model. The ‘Odds Ratio’ column provides the odds ratio coefficients and level of statistical significance for each variable. Odds ratios calculate the odds of an explanatory outcome occurring for one categorical group divided by the odds of that outcome occurring for another categorical group. For instance, the odds ratio for leave-taking among female workers is calculated by dividing the odds of leave-taking for female workers by the odds of leave-taking for male workers. The third column reports the robust standard errors for each variable included within the model, with smaller errors indicating higher model precision. The final columns report the 95% confidence intervals for each variable. The column provide another measure of model precision, with a 95% confidence level that the figures in the columns include the true point estimator.</w:t>
      </w:r>
    </w:p>
    <w:p w14:paraId="764436E5" w14:textId="77777777" w:rsidR="00B0507B" w:rsidRDefault="00B0507B">
      <w:pPr>
        <w:jc w:val="left"/>
      </w:pPr>
    </w:p>
    <w:p w14:paraId="31FAD9E4" w14:textId="77777777" w:rsidR="00B0507B" w:rsidRDefault="00A821BA">
      <w:r>
        <w:br w:type="page"/>
      </w:r>
    </w:p>
    <w:p w14:paraId="4B025D8E" w14:textId="77777777" w:rsidR="00B0507B" w:rsidRDefault="00A821BA">
      <w:pPr>
        <w:pStyle w:val="Heading1"/>
        <w:jc w:val="center"/>
        <w:rPr>
          <w:rFonts w:ascii="Calibri" w:eastAsia="Calibri" w:hAnsi="Calibri" w:cs="Calibri"/>
          <w:b/>
          <w:color w:val="000000"/>
          <w:sz w:val="20"/>
          <w:szCs w:val="20"/>
        </w:rPr>
      </w:pPr>
      <w:r>
        <w:rPr>
          <w:rFonts w:ascii="Calibri" w:eastAsia="Calibri" w:hAnsi="Calibri" w:cs="Calibri"/>
          <w:b/>
          <w:color w:val="000000"/>
          <w:sz w:val="20"/>
          <w:szCs w:val="20"/>
        </w:rPr>
        <w:lastRenderedPageBreak/>
        <w:t>Exhibit A1. Factors Associated with Utilization of Leave for FMLA-Eligible Reasons</w:t>
      </w:r>
    </w:p>
    <w:tbl>
      <w:tblPr>
        <w:tblStyle w:val="a"/>
        <w:tblW w:w="10476" w:type="dxa"/>
        <w:jc w:val="center"/>
        <w:tblLayout w:type="fixed"/>
        <w:tblLook w:val="0400" w:firstRow="0" w:lastRow="0" w:firstColumn="0" w:lastColumn="0" w:noHBand="0" w:noVBand="1"/>
      </w:tblPr>
      <w:tblGrid>
        <w:gridCol w:w="5482"/>
        <w:gridCol w:w="1176"/>
        <w:gridCol w:w="1617"/>
        <w:gridCol w:w="1155"/>
        <w:gridCol w:w="1046"/>
      </w:tblGrid>
      <w:tr w:rsidR="00B0507B" w:rsidRPr="00C041E9" w14:paraId="4C9C70C8" w14:textId="77777777" w:rsidTr="00567FA7">
        <w:trPr>
          <w:trHeight w:val="280"/>
          <w:jc w:val="center"/>
        </w:trPr>
        <w:tc>
          <w:tcPr>
            <w:tcW w:w="5482" w:type="dxa"/>
            <w:tcBorders>
              <w:top w:val="single" w:sz="4" w:space="0" w:color="000000"/>
              <w:left w:val="single" w:sz="4" w:space="0" w:color="000000"/>
              <w:bottom w:val="single" w:sz="8" w:space="0" w:color="000000"/>
              <w:right w:val="single" w:sz="4" w:space="0" w:color="000000"/>
            </w:tcBorders>
            <w:shd w:val="clear" w:color="auto" w:fill="820024"/>
            <w:vAlign w:val="center"/>
          </w:tcPr>
          <w:p w14:paraId="34CBE688" w14:textId="77777777" w:rsidR="00B0507B" w:rsidRPr="00C041E9" w:rsidRDefault="00B0507B">
            <w:pPr>
              <w:spacing w:after="0" w:line="240" w:lineRule="auto"/>
              <w:jc w:val="center"/>
              <w:rPr>
                <w:rFonts w:asciiTheme="minorHAnsi" w:hAnsiTheme="minorHAnsi"/>
                <w:sz w:val="18"/>
                <w:szCs w:val="18"/>
              </w:rPr>
            </w:pPr>
          </w:p>
        </w:tc>
        <w:tc>
          <w:tcPr>
            <w:tcW w:w="1176" w:type="dxa"/>
            <w:tcBorders>
              <w:top w:val="single" w:sz="4" w:space="0" w:color="000000"/>
              <w:left w:val="single" w:sz="4" w:space="0" w:color="000000"/>
              <w:bottom w:val="single" w:sz="8" w:space="0" w:color="000000"/>
              <w:right w:val="single" w:sz="4" w:space="0" w:color="000000"/>
            </w:tcBorders>
            <w:shd w:val="clear" w:color="auto" w:fill="820024"/>
            <w:vAlign w:val="center"/>
          </w:tcPr>
          <w:p w14:paraId="0D57AFFF"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b/>
                <w:color w:val="FFFFFF"/>
                <w:sz w:val="18"/>
                <w:szCs w:val="18"/>
              </w:rPr>
              <w:t>Odds Ratio</w:t>
            </w:r>
          </w:p>
        </w:tc>
        <w:tc>
          <w:tcPr>
            <w:tcW w:w="1617" w:type="dxa"/>
            <w:tcBorders>
              <w:top w:val="single" w:sz="4" w:space="0" w:color="000000"/>
              <w:left w:val="single" w:sz="4" w:space="0" w:color="000000"/>
              <w:bottom w:val="single" w:sz="8" w:space="0" w:color="000000"/>
              <w:right w:val="single" w:sz="4" w:space="0" w:color="000000"/>
            </w:tcBorders>
            <w:shd w:val="clear" w:color="auto" w:fill="820024"/>
            <w:vAlign w:val="center"/>
          </w:tcPr>
          <w:p w14:paraId="78079323"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b/>
                <w:color w:val="FFFFFF"/>
                <w:sz w:val="18"/>
                <w:szCs w:val="18"/>
              </w:rPr>
              <w:t>Robust Std. Err.</w:t>
            </w:r>
          </w:p>
        </w:tc>
        <w:tc>
          <w:tcPr>
            <w:tcW w:w="2201" w:type="dxa"/>
            <w:gridSpan w:val="2"/>
            <w:tcBorders>
              <w:top w:val="single" w:sz="4" w:space="0" w:color="000000"/>
              <w:left w:val="single" w:sz="4" w:space="0" w:color="000000"/>
              <w:right w:val="single" w:sz="4" w:space="0" w:color="000000"/>
            </w:tcBorders>
            <w:shd w:val="clear" w:color="auto" w:fill="820024"/>
            <w:vAlign w:val="center"/>
          </w:tcPr>
          <w:p w14:paraId="55A4AD2F"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b/>
                <w:color w:val="FFFFFF"/>
                <w:sz w:val="18"/>
                <w:szCs w:val="18"/>
              </w:rPr>
              <w:t>[95% Conf.</w:t>
            </w:r>
          </w:p>
          <w:p w14:paraId="2994CD80"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b/>
                <w:color w:val="FFFFFF"/>
                <w:sz w:val="18"/>
                <w:szCs w:val="18"/>
              </w:rPr>
              <w:t>Interval]</w:t>
            </w:r>
          </w:p>
        </w:tc>
      </w:tr>
      <w:tr w:rsidR="00B0507B" w:rsidRPr="00C041E9" w14:paraId="1581375A"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289F74DC" w14:textId="77777777" w:rsidR="00B0507B" w:rsidRPr="00C041E9" w:rsidRDefault="00A821BA">
            <w:pPr>
              <w:spacing w:after="0" w:line="240" w:lineRule="auto"/>
              <w:jc w:val="left"/>
              <w:rPr>
                <w:rFonts w:asciiTheme="minorHAnsi" w:hAnsiTheme="minorHAnsi"/>
                <w:sz w:val="18"/>
                <w:szCs w:val="18"/>
              </w:rPr>
            </w:pPr>
            <w:r w:rsidRPr="00C041E9">
              <w:rPr>
                <w:rFonts w:asciiTheme="minorHAnsi" w:eastAsia="Times New Roman" w:hAnsiTheme="minorHAnsi" w:cs="Times New Roman"/>
                <w:i/>
                <w:sz w:val="18"/>
                <w:szCs w:val="18"/>
              </w:rPr>
              <w:t>FMLA Eligibility &amp; Knowledge (Reference: FMLA Eligible)</w:t>
            </w:r>
          </w:p>
        </w:tc>
        <w:tc>
          <w:tcPr>
            <w:tcW w:w="1176" w:type="dxa"/>
            <w:tcBorders>
              <w:top w:val="nil"/>
              <w:left w:val="single" w:sz="4" w:space="0" w:color="000000"/>
              <w:bottom w:val="nil"/>
              <w:right w:val="single" w:sz="4" w:space="0" w:color="000000"/>
            </w:tcBorders>
            <w:shd w:val="clear" w:color="auto" w:fill="FFFFFF"/>
            <w:vAlign w:val="bottom"/>
          </w:tcPr>
          <w:p w14:paraId="0852EB59" w14:textId="77777777" w:rsidR="00B0507B" w:rsidRPr="00C041E9" w:rsidRDefault="00B0507B">
            <w:pPr>
              <w:spacing w:after="0" w:line="240" w:lineRule="auto"/>
              <w:jc w:val="center"/>
              <w:rPr>
                <w:rFonts w:asciiTheme="minorHAnsi" w:hAnsiTheme="minorHAnsi"/>
                <w:sz w:val="18"/>
                <w:szCs w:val="18"/>
              </w:rPr>
            </w:pPr>
          </w:p>
        </w:tc>
        <w:tc>
          <w:tcPr>
            <w:tcW w:w="1617" w:type="dxa"/>
            <w:tcBorders>
              <w:top w:val="nil"/>
              <w:left w:val="single" w:sz="4" w:space="0" w:color="000000"/>
              <w:bottom w:val="nil"/>
              <w:right w:val="single" w:sz="4" w:space="0" w:color="000000"/>
            </w:tcBorders>
            <w:shd w:val="clear" w:color="auto" w:fill="FFFFFF"/>
            <w:vAlign w:val="bottom"/>
          </w:tcPr>
          <w:p w14:paraId="701B7D7C" w14:textId="77777777" w:rsidR="00B0507B" w:rsidRPr="00C041E9" w:rsidRDefault="00B0507B">
            <w:pPr>
              <w:spacing w:after="0" w:line="240" w:lineRule="auto"/>
              <w:jc w:val="center"/>
              <w:rPr>
                <w:rFonts w:asciiTheme="minorHAnsi" w:hAnsiTheme="minorHAnsi"/>
                <w:sz w:val="18"/>
                <w:szCs w:val="18"/>
              </w:rPr>
            </w:pPr>
          </w:p>
        </w:tc>
        <w:tc>
          <w:tcPr>
            <w:tcW w:w="1155" w:type="dxa"/>
            <w:tcBorders>
              <w:top w:val="nil"/>
              <w:left w:val="single" w:sz="4" w:space="0" w:color="000000"/>
              <w:bottom w:val="nil"/>
            </w:tcBorders>
            <w:shd w:val="clear" w:color="auto" w:fill="FFFFFF"/>
            <w:vAlign w:val="bottom"/>
          </w:tcPr>
          <w:p w14:paraId="69A9FB2D" w14:textId="77777777" w:rsidR="00B0507B" w:rsidRPr="00C041E9" w:rsidRDefault="00B0507B">
            <w:pPr>
              <w:spacing w:after="0" w:line="240" w:lineRule="auto"/>
              <w:jc w:val="center"/>
              <w:rPr>
                <w:rFonts w:asciiTheme="minorHAnsi" w:hAnsiTheme="minorHAnsi"/>
                <w:sz w:val="18"/>
                <w:szCs w:val="18"/>
              </w:rPr>
            </w:pPr>
          </w:p>
        </w:tc>
        <w:tc>
          <w:tcPr>
            <w:tcW w:w="1046" w:type="dxa"/>
            <w:tcBorders>
              <w:top w:val="nil"/>
              <w:bottom w:val="nil"/>
              <w:right w:val="single" w:sz="4" w:space="0" w:color="000000"/>
            </w:tcBorders>
            <w:shd w:val="clear" w:color="auto" w:fill="FFFFFF"/>
            <w:vAlign w:val="bottom"/>
          </w:tcPr>
          <w:p w14:paraId="3915D460" w14:textId="77777777" w:rsidR="00B0507B" w:rsidRPr="00C041E9" w:rsidRDefault="00B0507B">
            <w:pPr>
              <w:spacing w:after="0" w:line="240" w:lineRule="auto"/>
              <w:jc w:val="center"/>
              <w:rPr>
                <w:rFonts w:asciiTheme="minorHAnsi" w:hAnsiTheme="minorHAnsi"/>
                <w:sz w:val="18"/>
                <w:szCs w:val="18"/>
              </w:rPr>
            </w:pPr>
          </w:p>
        </w:tc>
      </w:tr>
      <w:tr w:rsidR="00B0507B" w:rsidRPr="00C041E9" w14:paraId="23F836D0"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19352E52" w14:textId="77777777" w:rsidR="00B0507B" w:rsidRPr="00C041E9" w:rsidRDefault="00A821BA">
            <w:pPr>
              <w:spacing w:after="0" w:line="240" w:lineRule="auto"/>
              <w:jc w:val="left"/>
              <w:rPr>
                <w:rFonts w:asciiTheme="minorHAnsi" w:hAnsiTheme="minorHAnsi"/>
                <w:sz w:val="18"/>
                <w:szCs w:val="18"/>
              </w:rPr>
            </w:pPr>
            <w:r w:rsidRPr="00C041E9">
              <w:rPr>
                <w:rFonts w:asciiTheme="minorHAnsi" w:eastAsia="Times New Roman" w:hAnsiTheme="minorHAnsi" w:cs="Times New Roman"/>
                <w:sz w:val="18"/>
                <w:szCs w:val="18"/>
              </w:rPr>
              <w:t>FMLA Eligible &amp; Knowledgeable</w:t>
            </w:r>
          </w:p>
        </w:tc>
        <w:tc>
          <w:tcPr>
            <w:tcW w:w="1176" w:type="dxa"/>
            <w:tcBorders>
              <w:top w:val="nil"/>
              <w:left w:val="single" w:sz="4" w:space="0" w:color="000000"/>
              <w:bottom w:val="nil"/>
              <w:right w:val="single" w:sz="4" w:space="0" w:color="000000"/>
            </w:tcBorders>
            <w:shd w:val="clear" w:color="auto" w:fill="FFFFFF"/>
            <w:vAlign w:val="center"/>
          </w:tcPr>
          <w:p w14:paraId="283EC33A"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1.4686</w:t>
            </w:r>
            <w:r w:rsidRPr="009218CA">
              <w:rPr>
                <w:rFonts w:asciiTheme="minorHAnsi" w:eastAsia="Times New Roman" w:hAnsiTheme="minorHAnsi" w:cs="Times New Roman"/>
                <w:sz w:val="20"/>
                <w:szCs w:val="18"/>
              </w:rPr>
              <w:t>*</w:t>
            </w:r>
          </w:p>
        </w:tc>
        <w:tc>
          <w:tcPr>
            <w:tcW w:w="1617" w:type="dxa"/>
            <w:tcBorders>
              <w:top w:val="nil"/>
              <w:left w:val="single" w:sz="4" w:space="0" w:color="000000"/>
              <w:bottom w:val="nil"/>
              <w:right w:val="single" w:sz="4" w:space="0" w:color="000000"/>
            </w:tcBorders>
            <w:shd w:val="clear" w:color="auto" w:fill="FFFFFF"/>
            <w:vAlign w:val="center"/>
          </w:tcPr>
          <w:p w14:paraId="0AD44DD5"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0.254</w:t>
            </w:r>
          </w:p>
        </w:tc>
        <w:tc>
          <w:tcPr>
            <w:tcW w:w="1155" w:type="dxa"/>
            <w:tcBorders>
              <w:top w:val="nil"/>
              <w:left w:val="single" w:sz="4" w:space="0" w:color="000000"/>
              <w:bottom w:val="nil"/>
            </w:tcBorders>
            <w:shd w:val="clear" w:color="auto" w:fill="FFFFFF"/>
            <w:vAlign w:val="center"/>
          </w:tcPr>
          <w:p w14:paraId="0DBA9BFB"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1.062</w:t>
            </w:r>
          </w:p>
        </w:tc>
        <w:tc>
          <w:tcPr>
            <w:tcW w:w="1046" w:type="dxa"/>
            <w:tcBorders>
              <w:top w:val="nil"/>
              <w:bottom w:val="nil"/>
              <w:right w:val="single" w:sz="4" w:space="0" w:color="000000"/>
            </w:tcBorders>
            <w:shd w:val="clear" w:color="auto" w:fill="FFFFFF"/>
            <w:vAlign w:val="center"/>
          </w:tcPr>
          <w:p w14:paraId="4AFE971E"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2.078</w:t>
            </w:r>
          </w:p>
        </w:tc>
      </w:tr>
      <w:tr w:rsidR="00B0507B" w:rsidRPr="00C041E9" w14:paraId="0C9D6C1D"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045B8609" w14:textId="77777777" w:rsidR="00B0507B" w:rsidRPr="00C041E9" w:rsidRDefault="00A821BA">
            <w:pPr>
              <w:spacing w:after="0" w:line="240" w:lineRule="auto"/>
              <w:jc w:val="left"/>
              <w:rPr>
                <w:rFonts w:asciiTheme="minorHAnsi" w:hAnsiTheme="minorHAnsi"/>
                <w:sz w:val="18"/>
                <w:szCs w:val="18"/>
              </w:rPr>
            </w:pPr>
            <w:r w:rsidRPr="00C041E9">
              <w:rPr>
                <w:rFonts w:asciiTheme="minorHAnsi" w:eastAsia="Times New Roman" w:hAnsiTheme="minorHAnsi" w:cs="Times New Roman"/>
                <w:i/>
                <w:sz w:val="18"/>
                <w:szCs w:val="18"/>
              </w:rPr>
              <w:t>Age Groups (Reference: 18-24 Years)</w:t>
            </w:r>
          </w:p>
        </w:tc>
        <w:tc>
          <w:tcPr>
            <w:tcW w:w="1176" w:type="dxa"/>
            <w:tcBorders>
              <w:top w:val="nil"/>
              <w:left w:val="single" w:sz="4" w:space="0" w:color="000000"/>
              <w:bottom w:val="nil"/>
              <w:right w:val="single" w:sz="4" w:space="0" w:color="000000"/>
            </w:tcBorders>
            <w:shd w:val="clear" w:color="auto" w:fill="FFFFFF"/>
            <w:vAlign w:val="bottom"/>
          </w:tcPr>
          <w:p w14:paraId="4631AAC9" w14:textId="77777777" w:rsidR="00B0507B" w:rsidRPr="00C041E9" w:rsidRDefault="00B0507B">
            <w:pPr>
              <w:spacing w:after="0" w:line="240" w:lineRule="auto"/>
              <w:jc w:val="center"/>
              <w:rPr>
                <w:rFonts w:asciiTheme="minorHAnsi" w:hAnsiTheme="minorHAnsi"/>
                <w:sz w:val="18"/>
                <w:szCs w:val="18"/>
              </w:rPr>
            </w:pPr>
          </w:p>
        </w:tc>
        <w:tc>
          <w:tcPr>
            <w:tcW w:w="1617" w:type="dxa"/>
            <w:tcBorders>
              <w:top w:val="nil"/>
              <w:left w:val="single" w:sz="4" w:space="0" w:color="000000"/>
              <w:bottom w:val="nil"/>
              <w:right w:val="single" w:sz="4" w:space="0" w:color="000000"/>
            </w:tcBorders>
            <w:shd w:val="clear" w:color="auto" w:fill="FFFFFF"/>
            <w:vAlign w:val="bottom"/>
          </w:tcPr>
          <w:p w14:paraId="7A71BE9A" w14:textId="77777777" w:rsidR="00B0507B" w:rsidRPr="00C041E9" w:rsidRDefault="00B0507B">
            <w:pPr>
              <w:spacing w:after="0" w:line="240" w:lineRule="auto"/>
              <w:jc w:val="center"/>
              <w:rPr>
                <w:rFonts w:asciiTheme="minorHAnsi" w:hAnsiTheme="minorHAnsi"/>
                <w:sz w:val="18"/>
                <w:szCs w:val="18"/>
              </w:rPr>
            </w:pPr>
          </w:p>
        </w:tc>
        <w:tc>
          <w:tcPr>
            <w:tcW w:w="1155" w:type="dxa"/>
            <w:tcBorders>
              <w:top w:val="nil"/>
              <w:left w:val="single" w:sz="4" w:space="0" w:color="000000"/>
              <w:bottom w:val="nil"/>
            </w:tcBorders>
            <w:shd w:val="clear" w:color="auto" w:fill="FFFFFF"/>
            <w:vAlign w:val="bottom"/>
          </w:tcPr>
          <w:p w14:paraId="78AA1520" w14:textId="77777777" w:rsidR="00B0507B" w:rsidRPr="00C041E9" w:rsidRDefault="00B0507B">
            <w:pPr>
              <w:spacing w:after="0" w:line="240" w:lineRule="auto"/>
              <w:jc w:val="center"/>
              <w:rPr>
                <w:rFonts w:asciiTheme="minorHAnsi" w:hAnsiTheme="minorHAnsi"/>
                <w:sz w:val="18"/>
                <w:szCs w:val="18"/>
              </w:rPr>
            </w:pPr>
          </w:p>
        </w:tc>
        <w:tc>
          <w:tcPr>
            <w:tcW w:w="1046" w:type="dxa"/>
            <w:tcBorders>
              <w:top w:val="nil"/>
              <w:bottom w:val="nil"/>
              <w:right w:val="single" w:sz="4" w:space="0" w:color="000000"/>
            </w:tcBorders>
            <w:shd w:val="clear" w:color="auto" w:fill="FFFFFF"/>
            <w:vAlign w:val="bottom"/>
          </w:tcPr>
          <w:p w14:paraId="2FF95E25" w14:textId="77777777" w:rsidR="00B0507B" w:rsidRPr="00C041E9" w:rsidRDefault="00B0507B">
            <w:pPr>
              <w:spacing w:after="0" w:line="240" w:lineRule="auto"/>
              <w:jc w:val="center"/>
              <w:rPr>
                <w:rFonts w:asciiTheme="minorHAnsi" w:hAnsiTheme="minorHAnsi"/>
                <w:sz w:val="18"/>
                <w:szCs w:val="18"/>
              </w:rPr>
            </w:pPr>
          </w:p>
        </w:tc>
      </w:tr>
      <w:tr w:rsidR="00B0507B" w:rsidRPr="00C041E9" w14:paraId="2312C1E5"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0E4950A2" w14:textId="77777777" w:rsidR="00B0507B" w:rsidRPr="00C041E9" w:rsidRDefault="00A821BA">
            <w:pPr>
              <w:spacing w:after="0" w:line="240" w:lineRule="auto"/>
              <w:jc w:val="left"/>
              <w:rPr>
                <w:rFonts w:asciiTheme="minorHAnsi" w:hAnsiTheme="minorHAnsi"/>
                <w:sz w:val="18"/>
                <w:szCs w:val="18"/>
              </w:rPr>
            </w:pPr>
            <w:r w:rsidRPr="00C041E9">
              <w:rPr>
                <w:rFonts w:asciiTheme="minorHAnsi" w:eastAsia="Times New Roman" w:hAnsiTheme="minorHAnsi" w:cs="Times New Roman"/>
                <w:sz w:val="18"/>
                <w:szCs w:val="18"/>
              </w:rPr>
              <w:t>25-29</w:t>
            </w:r>
          </w:p>
        </w:tc>
        <w:tc>
          <w:tcPr>
            <w:tcW w:w="1176" w:type="dxa"/>
            <w:tcBorders>
              <w:top w:val="nil"/>
              <w:left w:val="single" w:sz="4" w:space="0" w:color="000000"/>
              <w:bottom w:val="nil"/>
              <w:right w:val="single" w:sz="4" w:space="0" w:color="000000"/>
            </w:tcBorders>
            <w:shd w:val="clear" w:color="auto" w:fill="FFFFFF"/>
            <w:vAlign w:val="center"/>
          </w:tcPr>
          <w:p w14:paraId="2DA6FDE4"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0.829</w:t>
            </w:r>
          </w:p>
        </w:tc>
        <w:tc>
          <w:tcPr>
            <w:tcW w:w="1617" w:type="dxa"/>
            <w:tcBorders>
              <w:top w:val="nil"/>
              <w:left w:val="single" w:sz="4" w:space="0" w:color="000000"/>
              <w:bottom w:val="nil"/>
              <w:right w:val="single" w:sz="4" w:space="0" w:color="000000"/>
            </w:tcBorders>
            <w:shd w:val="clear" w:color="auto" w:fill="FFFFFF"/>
            <w:vAlign w:val="center"/>
          </w:tcPr>
          <w:p w14:paraId="7A66DFA7"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0.318</w:t>
            </w:r>
          </w:p>
        </w:tc>
        <w:tc>
          <w:tcPr>
            <w:tcW w:w="1155" w:type="dxa"/>
            <w:tcBorders>
              <w:top w:val="nil"/>
              <w:left w:val="single" w:sz="4" w:space="0" w:color="000000"/>
              <w:bottom w:val="nil"/>
            </w:tcBorders>
            <w:shd w:val="clear" w:color="auto" w:fill="FFFFFF"/>
            <w:vAlign w:val="center"/>
          </w:tcPr>
          <w:p w14:paraId="579F02FA"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0.391</w:t>
            </w:r>
          </w:p>
        </w:tc>
        <w:tc>
          <w:tcPr>
            <w:tcW w:w="1046" w:type="dxa"/>
            <w:tcBorders>
              <w:top w:val="nil"/>
              <w:bottom w:val="nil"/>
              <w:right w:val="single" w:sz="4" w:space="0" w:color="000000"/>
            </w:tcBorders>
            <w:shd w:val="clear" w:color="auto" w:fill="FFFFFF"/>
            <w:vAlign w:val="center"/>
          </w:tcPr>
          <w:p w14:paraId="0A420DA9"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1.758</w:t>
            </w:r>
          </w:p>
        </w:tc>
      </w:tr>
      <w:tr w:rsidR="00B0507B" w:rsidRPr="00C041E9" w14:paraId="32983932"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21A53C32" w14:textId="77777777" w:rsidR="00B0507B" w:rsidRPr="00C041E9" w:rsidRDefault="00A821BA">
            <w:pPr>
              <w:spacing w:after="0" w:line="240" w:lineRule="auto"/>
              <w:jc w:val="left"/>
              <w:rPr>
                <w:rFonts w:asciiTheme="minorHAnsi" w:hAnsiTheme="minorHAnsi"/>
                <w:sz w:val="18"/>
                <w:szCs w:val="18"/>
              </w:rPr>
            </w:pPr>
            <w:r w:rsidRPr="00C041E9">
              <w:rPr>
                <w:rFonts w:asciiTheme="minorHAnsi" w:eastAsia="Times New Roman" w:hAnsiTheme="minorHAnsi" w:cs="Times New Roman"/>
                <w:sz w:val="18"/>
                <w:szCs w:val="18"/>
              </w:rPr>
              <w:t>30-34</w:t>
            </w:r>
          </w:p>
        </w:tc>
        <w:tc>
          <w:tcPr>
            <w:tcW w:w="1176" w:type="dxa"/>
            <w:tcBorders>
              <w:top w:val="nil"/>
              <w:left w:val="single" w:sz="4" w:space="0" w:color="000000"/>
              <w:bottom w:val="nil"/>
              <w:right w:val="single" w:sz="4" w:space="0" w:color="000000"/>
            </w:tcBorders>
            <w:shd w:val="clear" w:color="auto" w:fill="FFFFFF"/>
            <w:vAlign w:val="center"/>
          </w:tcPr>
          <w:p w14:paraId="5B030103"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0.726</w:t>
            </w:r>
          </w:p>
        </w:tc>
        <w:tc>
          <w:tcPr>
            <w:tcW w:w="1617" w:type="dxa"/>
            <w:tcBorders>
              <w:top w:val="nil"/>
              <w:left w:val="single" w:sz="4" w:space="0" w:color="000000"/>
              <w:bottom w:val="nil"/>
              <w:right w:val="single" w:sz="4" w:space="0" w:color="000000"/>
            </w:tcBorders>
            <w:shd w:val="clear" w:color="auto" w:fill="FFFFFF"/>
            <w:vAlign w:val="center"/>
          </w:tcPr>
          <w:p w14:paraId="1D4AA86F"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0.264</w:t>
            </w:r>
          </w:p>
        </w:tc>
        <w:tc>
          <w:tcPr>
            <w:tcW w:w="1155" w:type="dxa"/>
            <w:tcBorders>
              <w:top w:val="nil"/>
              <w:left w:val="single" w:sz="4" w:space="0" w:color="000000"/>
              <w:bottom w:val="nil"/>
            </w:tcBorders>
            <w:shd w:val="clear" w:color="auto" w:fill="FFFFFF"/>
            <w:vAlign w:val="center"/>
          </w:tcPr>
          <w:p w14:paraId="542C63B8"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0.355</w:t>
            </w:r>
          </w:p>
        </w:tc>
        <w:tc>
          <w:tcPr>
            <w:tcW w:w="1046" w:type="dxa"/>
            <w:tcBorders>
              <w:top w:val="nil"/>
              <w:bottom w:val="nil"/>
              <w:right w:val="single" w:sz="4" w:space="0" w:color="000000"/>
            </w:tcBorders>
            <w:shd w:val="clear" w:color="auto" w:fill="FFFFFF"/>
            <w:vAlign w:val="center"/>
          </w:tcPr>
          <w:p w14:paraId="45FA68ED"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1.482</w:t>
            </w:r>
          </w:p>
        </w:tc>
      </w:tr>
      <w:tr w:rsidR="00B0507B" w:rsidRPr="00C041E9" w14:paraId="4106A462"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14D6F8A0" w14:textId="77777777" w:rsidR="00B0507B" w:rsidRPr="00C041E9" w:rsidRDefault="00A821BA">
            <w:pPr>
              <w:spacing w:after="0" w:line="240" w:lineRule="auto"/>
              <w:jc w:val="left"/>
              <w:rPr>
                <w:rFonts w:asciiTheme="minorHAnsi" w:hAnsiTheme="minorHAnsi"/>
                <w:sz w:val="18"/>
                <w:szCs w:val="18"/>
              </w:rPr>
            </w:pPr>
            <w:r w:rsidRPr="00C041E9">
              <w:rPr>
                <w:rFonts w:asciiTheme="minorHAnsi" w:eastAsia="Times New Roman" w:hAnsiTheme="minorHAnsi" w:cs="Times New Roman"/>
                <w:sz w:val="18"/>
                <w:szCs w:val="18"/>
              </w:rPr>
              <w:t>35-39</w:t>
            </w:r>
          </w:p>
        </w:tc>
        <w:tc>
          <w:tcPr>
            <w:tcW w:w="1176" w:type="dxa"/>
            <w:tcBorders>
              <w:top w:val="nil"/>
              <w:left w:val="single" w:sz="4" w:space="0" w:color="000000"/>
              <w:bottom w:val="nil"/>
              <w:right w:val="single" w:sz="4" w:space="0" w:color="000000"/>
            </w:tcBorders>
            <w:shd w:val="clear" w:color="auto" w:fill="FFFFFF"/>
            <w:vAlign w:val="center"/>
          </w:tcPr>
          <w:p w14:paraId="160CD437"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0.739</w:t>
            </w:r>
          </w:p>
        </w:tc>
        <w:tc>
          <w:tcPr>
            <w:tcW w:w="1617" w:type="dxa"/>
            <w:tcBorders>
              <w:top w:val="nil"/>
              <w:left w:val="single" w:sz="4" w:space="0" w:color="000000"/>
              <w:bottom w:val="nil"/>
              <w:right w:val="single" w:sz="4" w:space="0" w:color="000000"/>
            </w:tcBorders>
            <w:shd w:val="clear" w:color="auto" w:fill="FFFFFF"/>
            <w:vAlign w:val="center"/>
          </w:tcPr>
          <w:p w14:paraId="0535FD67"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0.273</w:t>
            </w:r>
          </w:p>
        </w:tc>
        <w:tc>
          <w:tcPr>
            <w:tcW w:w="1155" w:type="dxa"/>
            <w:tcBorders>
              <w:top w:val="nil"/>
              <w:left w:val="single" w:sz="4" w:space="0" w:color="000000"/>
              <w:bottom w:val="nil"/>
            </w:tcBorders>
            <w:shd w:val="clear" w:color="auto" w:fill="FFFFFF"/>
            <w:vAlign w:val="center"/>
          </w:tcPr>
          <w:p w14:paraId="03470D79"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0.358</w:t>
            </w:r>
          </w:p>
        </w:tc>
        <w:tc>
          <w:tcPr>
            <w:tcW w:w="1046" w:type="dxa"/>
            <w:tcBorders>
              <w:top w:val="nil"/>
              <w:bottom w:val="nil"/>
              <w:right w:val="single" w:sz="4" w:space="0" w:color="000000"/>
            </w:tcBorders>
            <w:shd w:val="clear" w:color="auto" w:fill="FFFFFF"/>
            <w:vAlign w:val="center"/>
          </w:tcPr>
          <w:p w14:paraId="57DC7F25"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1.525</w:t>
            </w:r>
          </w:p>
        </w:tc>
      </w:tr>
      <w:tr w:rsidR="00B0507B" w:rsidRPr="00C041E9" w14:paraId="1FA36D6C"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36DD0A56" w14:textId="77777777" w:rsidR="00B0507B" w:rsidRPr="00C041E9" w:rsidRDefault="00A821BA">
            <w:pPr>
              <w:spacing w:after="0" w:line="240" w:lineRule="auto"/>
              <w:jc w:val="left"/>
              <w:rPr>
                <w:rFonts w:asciiTheme="minorHAnsi" w:hAnsiTheme="minorHAnsi"/>
                <w:sz w:val="18"/>
                <w:szCs w:val="18"/>
              </w:rPr>
            </w:pPr>
            <w:r w:rsidRPr="00C041E9">
              <w:rPr>
                <w:rFonts w:asciiTheme="minorHAnsi" w:eastAsia="Times New Roman" w:hAnsiTheme="minorHAnsi" w:cs="Times New Roman"/>
                <w:sz w:val="18"/>
                <w:szCs w:val="18"/>
              </w:rPr>
              <w:t>40-44</w:t>
            </w:r>
          </w:p>
        </w:tc>
        <w:tc>
          <w:tcPr>
            <w:tcW w:w="1176" w:type="dxa"/>
            <w:tcBorders>
              <w:top w:val="nil"/>
              <w:left w:val="single" w:sz="4" w:space="0" w:color="000000"/>
              <w:bottom w:val="nil"/>
              <w:right w:val="single" w:sz="4" w:space="0" w:color="000000"/>
            </w:tcBorders>
            <w:shd w:val="clear" w:color="auto" w:fill="FFFFFF"/>
            <w:vAlign w:val="center"/>
          </w:tcPr>
          <w:p w14:paraId="58E24AB3"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0.535</w:t>
            </w:r>
          </w:p>
        </w:tc>
        <w:tc>
          <w:tcPr>
            <w:tcW w:w="1617" w:type="dxa"/>
            <w:tcBorders>
              <w:top w:val="nil"/>
              <w:left w:val="single" w:sz="4" w:space="0" w:color="000000"/>
              <w:bottom w:val="nil"/>
              <w:right w:val="single" w:sz="4" w:space="0" w:color="000000"/>
            </w:tcBorders>
            <w:shd w:val="clear" w:color="auto" w:fill="FFFFFF"/>
            <w:vAlign w:val="center"/>
          </w:tcPr>
          <w:p w14:paraId="7C589D79"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0.197</w:t>
            </w:r>
          </w:p>
        </w:tc>
        <w:tc>
          <w:tcPr>
            <w:tcW w:w="1155" w:type="dxa"/>
            <w:tcBorders>
              <w:top w:val="nil"/>
              <w:left w:val="single" w:sz="4" w:space="0" w:color="000000"/>
              <w:bottom w:val="nil"/>
            </w:tcBorders>
            <w:shd w:val="clear" w:color="auto" w:fill="FFFFFF"/>
            <w:vAlign w:val="center"/>
          </w:tcPr>
          <w:p w14:paraId="6E9E3319"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0.260</w:t>
            </w:r>
          </w:p>
        </w:tc>
        <w:tc>
          <w:tcPr>
            <w:tcW w:w="1046" w:type="dxa"/>
            <w:tcBorders>
              <w:top w:val="nil"/>
              <w:bottom w:val="nil"/>
              <w:right w:val="single" w:sz="4" w:space="0" w:color="000000"/>
            </w:tcBorders>
            <w:shd w:val="clear" w:color="auto" w:fill="FFFFFF"/>
            <w:vAlign w:val="center"/>
          </w:tcPr>
          <w:p w14:paraId="461B47EF"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1.100</w:t>
            </w:r>
          </w:p>
        </w:tc>
      </w:tr>
      <w:tr w:rsidR="00B0507B" w:rsidRPr="00C041E9" w14:paraId="48CB14DB"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5BA99AA7" w14:textId="77777777" w:rsidR="00B0507B" w:rsidRPr="00C041E9" w:rsidRDefault="00A821BA">
            <w:pPr>
              <w:spacing w:after="0" w:line="240" w:lineRule="auto"/>
              <w:jc w:val="left"/>
              <w:rPr>
                <w:rFonts w:asciiTheme="minorHAnsi" w:hAnsiTheme="minorHAnsi"/>
                <w:sz w:val="18"/>
                <w:szCs w:val="18"/>
              </w:rPr>
            </w:pPr>
            <w:r w:rsidRPr="00C041E9">
              <w:rPr>
                <w:rFonts w:asciiTheme="minorHAnsi" w:eastAsia="Times New Roman" w:hAnsiTheme="minorHAnsi" w:cs="Times New Roman"/>
                <w:sz w:val="18"/>
                <w:szCs w:val="18"/>
              </w:rPr>
              <w:t>45-49</w:t>
            </w:r>
          </w:p>
        </w:tc>
        <w:tc>
          <w:tcPr>
            <w:tcW w:w="1176" w:type="dxa"/>
            <w:tcBorders>
              <w:top w:val="nil"/>
              <w:left w:val="single" w:sz="4" w:space="0" w:color="000000"/>
              <w:bottom w:val="nil"/>
              <w:right w:val="single" w:sz="4" w:space="0" w:color="000000"/>
            </w:tcBorders>
            <w:shd w:val="clear" w:color="auto" w:fill="FFFFFF"/>
            <w:vAlign w:val="center"/>
          </w:tcPr>
          <w:p w14:paraId="149EF161"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0.582</w:t>
            </w:r>
          </w:p>
        </w:tc>
        <w:tc>
          <w:tcPr>
            <w:tcW w:w="1617" w:type="dxa"/>
            <w:tcBorders>
              <w:top w:val="nil"/>
              <w:left w:val="single" w:sz="4" w:space="0" w:color="000000"/>
              <w:bottom w:val="nil"/>
              <w:right w:val="single" w:sz="4" w:space="0" w:color="000000"/>
            </w:tcBorders>
            <w:shd w:val="clear" w:color="auto" w:fill="FFFFFF"/>
            <w:vAlign w:val="center"/>
          </w:tcPr>
          <w:p w14:paraId="309EE19E"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0.210</w:t>
            </w:r>
          </w:p>
        </w:tc>
        <w:tc>
          <w:tcPr>
            <w:tcW w:w="1155" w:type="dxa"/>
            <w:tcBorders>
              <w:top w:val="nil"/>
              <w:left w:val="single" w:sz="4" w:space="0" w:color="000000"/>
              <w:bottom w:val="nil"/>
            </w:tcBorders>
            <w:shd w:val="clear" w:color="auto" w:fill="FFFFFF"/>
            <w:vAlign w:val="center"/>
          </w:tcPr>
          <w:p w14:paraId="5A4239E5"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0.287</w:t>
            </w:r>
          </w:p>
        </w:tc>
        <w:tc>
          <w:tcPr>
            <w:tcW w:w="1046" w:type="dxa"/>
            <w:tcBorders>
              <w:top w:val="nil"/>
              <w:bottom w:val="nil"/>
              <w:right w:val="single" w:sz="4" w:space="0" w:color="000000"/>
            </w:tcBorders>
            <w:shd w:val="clear" w:color="auto" w:fill="FFFFFF"/>
            <w:vAlign w:val="center"/>
          </w:tcPr>
          <w:p w14:paraId="39B3FBAE"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1.180</w:t>
            </w:r>
          </w:p>
        </w:tc>
      </w:tr>
      <w:tr w:rsidR="00B0507B" w:rsidRPr="00C041E9" w14:paraId="156F2690"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31EBFCD0" w14:textId="77777777" w:rsidR="00B0507B" w:rsidRPr="00C041E9" w:rsidRDefault="00A821BA">
            <w:pPr>
              <w:spacing w:after="0" w:line="240" w:lineRule="auto"/>
              <w:jc w:val="left"/>
              <w:rPr>
                <w:rFonts w:asciiTheme="minorHAnsi" w:hAnsiTheme="minorHAnsi"/>
                <w:sz w:val="18"/>
                <w:szCs w:val="18"/>
              </w:rPr>
            </w:pPr>
            <w:r w:rsidRPr="00C041E9">
              <w:rPr>
                <w:rFonts w:asciiTheme="minorHAnsi" w:eastAsia="Times New Roman" w:hAnsiTheme="minorHAnsi" w:cs="Times New Roman"/>
                <w:sz w:val="18"/>
                <w:szCs w:val="18"/>
              </w:rPr>
              <w:t>50-54</w:t>
            </w:r>
          </w:p>
        </w:tc>
        <w:tc>
          <w:tcPr>
            <w:tcW w:w="1176" w:type="dxa"/>
            <w:tcBorders>
              <w:top w:val="nil"/>
              <w:left w:val="single" w:sz="4" w:space="0" w:color="000000"/>
              <w:bottom w:val="nil"/>
              <w:right w:val="single" w:sz="4" w:space="0" w:color="000000"/>
            </w:tcBorders>
            <w:shd w:val="clear" w:color="auto" w:fill="FFFFFF"/>
            <w:vAlign w:val="center"/>
          </w:tcPr>
          <w:p w14:paraId="454E7694"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0.748</w:t>
            </w:r>
          </w:p>
        </w:tc>
        <w:tc>
          <w:tcPr>
            <w:tcW w:w="1617" w:type="dxa"/>
            <w:tcBorders>
              <w:top w:val="nil"/>
              <w:left w:val="single" w:sz="4" w:space="0" w:color="000000"/>
              <w:bottom w:val="nil"/>
              <w:right w:val="single" w:sz="4" w:space="0" w:color="000000"/>
            </w:tcBorders>
            <w:shd w:val="clear" w:color="auto" w:fill="FFFFFF"/>
            <w:vAlign w:val="center"/>
          </w:tcPr>
          <w:p w14:paraId="6E27DC63"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0.268</w:t>
            </w:r>
          </w:p>
        </w:tc>
        <w:tc>
          <w:tcPr>
            <w:tcW w:w="1155" w:type="dxa"/>
            <w:tcBorders>
              <w:top w:val="nil"/>
              <w:left w:val="single" w:sz="4" w:space="0" w:color="000000"/>
              <w:bottom w:val="nil"/>
            </w:tcBorders>
            <w:shd w:val="clear" w:color="auto" w:fill="FFFFFF"/>
            <w:vAlign w:val="center"/>
          </w:tcPr>
          <w:p w14:paraId="0A3EACE4"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0.371</w:t>
            </w:r>
          </w:p>
        </w:tc>
        <w:tc>
          <w:tcPr>
            <w:tcW w:w="1046" w:type="dxa"/>
            <w:tcBorders>
              <w:top w:val="nil"/>
              <w:bottom w:val="nil"/>
              <w:right w:val="single" w:sz="4" w:space="0" w:color="000000"/>
            </w:tcBorders>
            <w:shd w:val="clear" w:color="auto" w:fill="FFFFFF"/>
            <w:vAlign w:val="center"/>
          </w:tcPr>
          <w:p w14:paraId="217B6219"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1.508</w:t>
            </w:r>
          </w:p>
        </w:tc>
      </w:tr>
      <w:tr w:rsidR="00B0507B" w:rsidRPr="00C041E9" w14:paraId="4D4AE7CE"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64270EBE" w14:textId="77777777" w:rsidR="00B0507B" w:rsidRPr="00C041E9" w:rsidRDefault="00A821BA">
            <w:pPr>
              <w:spacing w:after="0" w:line="240" w:lineRule="auto"/>
              <w:jc w:val="left"/>
              <w:rPr>
                <w:rFonts w:asciiTheme="minorHAnsi" w:hAnsiTheme="minorHAnsi"/>
                <w:sz w:val="18"/>
                <w:szCs w:val="18"/>
              </w:rPr>
            </w:pPr>
            <w:r w:rsidRPr="00C041E9">
              <w:rPr>
                <w:rFonts w:asciiTheme="minorHAnsi" w:eastAsia="Times New Roman" w:hAnsiTheme="minorHAnsi" w:cs="Times New Roman"/>
                <w:sz w:val="18"/>
                <w:szCs w:val="18"/>
              </w:rPr>
              <w:t>55-59</w:t>
            </w:r>
          </w:p>
        </w:tc>
        <w:tc>
          <w:tcPr>
            <w:tcW w:w="1176" w:type="dxa"/>
            <w:tcBorders>
              <w:top w:val="nil"/>
              <w:left w:val="single" w:sz="4" w:space="0" w:color="000000"/>
              <w:bottom w:val="nil"/>
              <w:right w:val="single" w:sz="4" w:space="0" w:color="000000"/>
            </w:tcBorders>
            <w:shd w:val="clear" w:color="auto" w:fill="FFFFFF"/>
            <w:vAlign w:val="center"/>
          </w:tcPr>
          <w:p w14:paraId="496D8436"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0.769</w:t>
            </w:r>
          </w:p>
        </w:tc>
        <w:tc>
          <w:tcPr>
            <w:tcW w:w="1617" w:type="dxa"/>
            <w:tcBorders>
              <w:top w:val="nil"/>
              <w:left w:val="single" w:sz="4" w:space="0" w:color="000000"/>
              <w:bottom w:val="nil"/>
              <w:right w:val="single" w:sz="4" w:space="0" w:color="000000"/>
            </w:tcBorders>
            <w:shd w:val="clear" w:color="auto" w:fill="FFFFFF"/>
            <w:vAlign w:val="center"/>
          </w:tcPr>
          <w:p w14:paraId="0975E8C2"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0.280</w:t>
            </w:r>
          </w:p>
        </w:tc>
        <w:tc>
          <w:tcPr>
            <w:tcW w:w="1155" w:type="dxa"/>
            <w:tcBorders>
              <w:top w:val="nil"/>
              <w:left w:val="single" w:sz="4" w:space="0" w:color="000000"/>
              <w:bottom w:val="nil"/>
            </w:tcBorders>
            <w:shd w:val="clear" w:color="auto" w:fill="FFFFFF"/>
            <w:vAlign w:val="center"/>
          </w:tcPr>
          <w:p w14:paraId="0B6F057D"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0.377</w:t>
            </w:r>
          </w:p>
        </w:tc>
        <w:tc>
          <w:tcPr>
            <w:tcW w:w="1046" w:type="dxa"/>
            <w:tcBorders>
              <w:top w:val="nil"/>
              <w:bottom w:val="nil"/>
              <w:right w:val="single" w:sz="4" w:space="0" w:color="000000"/>
            </w:tcBorders>
            <w:shd w:val="clear" w:color="auto" w:fill="FFFFFF"/>
            <w:vAlign w:val="center"/>
          </w:tcPr>
          <w:p w14:paraId="3D3249ED"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1.570</w:t>
            </w:r>
          </w:p>
        </w:tc>
      </w:tr>
      <w:tr w:rsidR="00B0507B" w:rsidRPr="00C041E9" w14:paraId="777AFBB8"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4DABBA74" w14:textId="77777777" w:rsidR="00B0507B" w:rsidRPr="00C041E9" w:rsidRDefault="00A821BA">
            <w:pPr>
              <w:spacing w:after="0" w:line="240" w:lineRule="auto"/>
              <w:jc w:val="left"/>
              <w:rPr>
                <w:rFonts w:asciiTheme="minorHAnsi" w:hAnsiTheme="minorHAnsi"/>
                <w:sz w:val="18"/>
                <w:szCs w:val="18"/>
              </w:rPr>
            </w:pPr>
            <w:r w:rsidRPr="00C041E9">
              <w:rPr>
                <w:rFonts w:asciiTheme="minorHAnsi" w:eastAsia="Times New Roman" w:hAnsiTheme="minorHAnsi" w:cs="Times New Roman"/>
                <w:sz w:val="18"/>
                <w:szCs w:val="18"/>
              </w:rPr>
              <w:t>60-67</w:t>
            </w:r>
          </w:p>
        </w:tc>
        <w:tc>
          <w:tcPr>
            <w:tcW w:w="1176" w:type="dxa"/>
            <w:tcBorders>
              <w:top w:val="nil"/>
              <w:left w:val="single" w:sz="4" w:space="0" w:color="000000"/>
              <w:bottom w:val="nil"/>
              <w:right w:val="single" w:sz="4" w:space="0" w:color="000000"/>
            </w:tcBorders>
            <w:shd w:val="clear" w:color="auto" w:fill="FFFFFF"/>
            <w:vAlign w:val="center"/>
          </w:tcPr>
          <w:p w14:paraId="501CCE34"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0.859</w:t>
            </w:r>
          </w:p>
        </w:tc>
        <w:tc>
          <w:tcPr>
            <w:tcW w:w="1617" w:type="dxa"/>
            <w:tcBorders>
              <w:top w:val="nil"/>
              <w:left w:val="single" w:sz="4" w:space="0" w:color="000000"/>
              <w:bottom w:val="nil"/>
              <w:right w:val="single" w:sz="4" w:space="0" w:color="000000"/>
            </w:tcBorders>
            <w:shd w:val="clear" w:color="auto" w:fill="FFFFFF"/>
            <w:vAlign w:val="center"/>
          </w:tcPr>
          <w:p w14:paraId="7C1F8777"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0.319</w:t>
            </w:r>
          </w:p>
        </w:tc>
        <w:tc>
          <w:tcPr>
            <w:tcW w:w="1155" w:type="dxa"/>
            <w:tcBorders>
              <w:top w:val="nil"/>
              <w:left w:val="single" w:sz="4" w:space="0" w:color="000000"/>
              <w:bottom w:val="nil"/>
            </w:tcBorders>
            <w:shd w:val="clear" w:color="auto" w:fill="FFFFFF"/>
            <w:vAlign w:val="center"/>
          </w:tcPr>
          <w:p w14:paraId="609CD39E"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0.415</w:t>
            </w:r>
          </w:p>
        </w:tc>
        <w:tc>
          <w:tcPr>
            <w:tcW w:w="1046" w:type="dxa"/>
            <w:tcBorders>
              <w:top w:val="nil"/>
              <w:bottom w:val="nil"/>
              <w:right w:val="single" w:sz="4" w:space="0" w:color="000000"/>
            </w:tcBorders>
            <w:shd w:val="clear" w:color="auto" w:fill="FFFFFF"/>
            <w:vAlign w:val="center"/>
          </w:tcPr>
          <w:p w14:paraId="7B6F4A1C"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1.780</w:t>
            </w:r>
          </w:p>
        </w:tc>
      </w:tr>
      <w:tr w:rsidR="00B0507B" w:rsidRPr="00C041E9" w14:paraId="57086FFC"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4417C33F" w14:textId="77777777" w:rsidR="00B0507B" w:rsidRPr="00C041E9" w:rsidRDefault="00A821BA">
            <w:pPr>
              <w:spacing w:after="0" w:line="240" w:lineRule="auto"/>
              <w:jc w:val="left"/>
              <w:rPr>
                <w:rFonts w:asciiTheme="minorHAnsi" w:hAnsiTheme="minorHAnsi"/>
                <w:sz w:val="18"/>
                <w:szCs w:val="18"/>
              </w:rPr>
            </w:pPr>
            <w:r w:rsidRPr="00C041E9">
              <w:rPr>
                <w:rFonts w:asciiTheme="minorHAnsi" w:eastAsia="Times New Roman" w:hAnsiTheme="minorHAnsi" w:cs="Times New Roman"/>
                <w:sz w:val="18"/>
                <w:szCs w:val="18"/>
              </w:rPr>
              <w:t>68 or Older</w:t>
            </w:r>
          </w:p>
        </w:tc>
        <w:tc>
          <w:tcPr>
            <w:tcW w:w="1176" w:type="dxa"/>
            <w:tcBorders>
              <w:top w:val="nil"/>
              <w:left w:val="single" w:sz="4" w:space="0" w:color="000000"/>
              <w:bottom w:val="nil"/>
              <w:right w:val="single" w:sz="4" w:space="0" w:color="000000"/>
            </w:tcBorders>
            <w:shd w:val="clear" w:color="auto" w:fill="FFFFFF"/>
            <w:vAlign w:val="center"/>
          </w:tcPr>
          <w:p w14:paraId="5EAA1609"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0.837</w:t>
            </w:r>
          </w:p>
        </w:tc>
        <w:tc>
          <w:tcPr>
            <w:tcW w:w="1617" w:type="dxa"/>
            <w:tcBorders>
              <w:top w:val="nil"/>
              <w:left w:val="single" w:sz="4" w:space="0" w:color="000000"/>
              <w:bottom w:val="nil"/>
              <w:right w:val="single" w:sz="4" w:space="0" w:color="000000"/>
            </w:tcBorders>
            <w:shd w:val="clear" w:color="auto" w:fill="FFFFFF"/>
            <w:vAlign w:val="center"/>
          </w:tcPr>
          <w:p w14:paraId="3E1C426B"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0.383</w:t>
            </w:r>
          </w:p>
        </w:tc>
        <w:tc>
          <w:tcPr>
            <w:tcW w:w="1155" w:type="dxa"/>
            <w:tcBorders>
              <w:top w:val="nil"/>
              <w:left w:val="single" w:sz="4" w:space="0" w:color="000000"/>
              <w:bottom w:val="nil"/>
            </w:tcBorders>
            <w:shd w:val="clear" w:color="auto" w:fill="FFFFFF"/>
            <w:vAlign w:val="center"/>
          </w:tcPr>
          <w:p w14:paraId="5D2CD2F8"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0.342</w:t>
            </w:r>
          </w:p>
        </w:tc>
        <w:tc>
          <w:tcPr>
            <w:tcW w:w="1046" w:type="dxa"/>
            <w:tcBorders>
              <w:top w:val="nil"/>
              <w:bottom w:val="nil"/>
              <w:right w:val="single" w:sz="4" w:space="0" w:color="000000"/>
            </w:tcBorders>
            <w:shd w:val="clear" w:color="auto" w:fill="FFFFFF"/>
            <w:vAlign w:val="center"/>
          </w:tcPr>
          <w:p w14:paraId="1BA6549B"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2.051</w:t>
            </w:r>
          </w:p>
        </w:tc>
      </w:tr>
      <w:tr w:rsidR="00B0507B" w:rsidRPr="00C041E9" w14:paraId="4AE0C15F"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79BD00CB" w14:textId="77777777" w:rsidR="00B0507B" w:rsidRPr="00C041E9" w:rsidRDefault="00A821BA">
            <w:pPr>
              <w:spacing w:after="0" w:line="240" w:lineRule="auto"/>
              <w:jc w:val="left"/>
              <w:rPr>
                <w:rFonts w:asciiTheme="minorHAnsi" w:hAnsiTheme="minorHAnsi"/>
                <w:sz w:val="18"/>
                <w:szCs w:val="18"/>
              </w:rPr>
            </w:pPr>
            <w:r w:rsidRPr="00C041E9">
              <w:rPr>
                <w:rFonts w:asciiTheme="minorHAnsi" w:eastAsia="Times New Roman" w:hAnsiTheme="minorHAnsi" w:cs="Times New Roman"/>
                <w:i/>
                <w:sz w:val="18"/>
                <w:szCs w:val="18"/>
              </w:rPr>
              <w:t>Education (Reference: Did Not Graduate High School)</w:t>
            </w:r>
          </w:p>
        </w:tc>
        <w:tc>
          <w:tcPr>
            <w:tcW w:w="1176" w:type="dxa"/>
            <w:tcBorders>
              <w:top w:val="nil"/>
              <w:left w:val="single" w:sz="4" w:space="0" w:color="000000"/>
              <w:bottom w:val="nil"/>
              <w:right w:val="single" w:sz="4" w:space="0" w:color="000000"/>
            </w:tcBorders>
            <w:shd w:val="clear" w:color="auto" w:fill="FFFFFF"/>
            <w:vAlign w:val="bottom"/>
          </w:tcPr>
          <w:p w14:paraId="62D45B50" w14:textId="77777777" w:rsidR="00B0507B" w:rsidRPr="00C041E9" w:rsidRDefault="00B0507B">
            <w:pPr>
              <w:spacing w:after="0" w:line="240" w:lineRule="auto"/>
              <w:jc w:val="center"/>
              <w:rPr>
                <w:rFonts w:asciiTheme="minorHAnsi" w:hAnsiTheme="minorHAnsi"/>
                <w:sz w:val="18"/>
                <w:szCs w:val="18"/>
              </w:rPr>
            </w:pPr>
          </w:p>
        </w:tc>
        <w:tc>
          <w:tcPr>
            <w:tcW w:w="1617" w:type="dxa"/>
            <w:tcBorders>
              <w:top w:val="nil"/>
              <w:left w:val="single" w:sz="4" w:space="0" w:color="000000"/>
              <w:bottom w:val="nil"/>
              <w:right w:val="single" w:sz="4" w:space="0" w:color="000000"/>
            </w:tcBorders>
            <w:shd w:val="clear" w:color="auto" w:fill="FFFFFF"/>
            <w:vAlign w:val="bottom"/>
          </w:tcPr>
          <w:p w14:paraId="07BFF7BD" w14:textId="77777777" w:rsidR="00B0507B" w:rsidRPr="00C041E9" w:rsidRDefault="00B0507B">
            <w:pPr>
              <w:spacing w:after="0" w:line="240" w:lineRule="auto"/>
              <w:jc w:val="center"/>
              <w:rPr>
                <w:rFonts w:asciiTheme="minorHAnsi" w:hAnsiTheme="minorHAnsi"/>
                <w:sz w:val="18"/>
                <w:szCs w:val="18"/>
              </w:rPr>
            </w:pPr>
          </w:p>
        </w:tc>
        <w:tc>
          <w:tcPr>
            <w:tcW w:w="1155" w:type="dxa"/>
            <w:tcBorders>
              <w:top w:val="nil"/>
              <w:left w:val="single" w:sz="4" w:space="0" w:color="000000"/>
              <w:bottom w:val="nil"/>
            </w:tcBorders>
            <w:shd w:val="clear" w:color="auto" w:fill="FFFFFF"/>
            <w:vAlign w:val="bottom"/>
          </w:tcPr>
          <w:p w14:paraId="6A8FC1CF" w14:textId="77777777" w:rsidR="00B0507B" w:rsidRPr="00C041E9" w:rsidRDefault="00B0507B">
            <w:pPr>
              <w:spacing w:after="0" w:line="240" w:lineRule="auto"/>
              <w:jc w:val="center"/>
              <w:rPr>
                <w:rFonts w:asciiTheme="minorHAnsi" w:hAnsiTheme="minorHAnsi"/>
                <w:sz w:val="18"/>
                <w:szCs w:val="18"/>
              </w:rPr>
            </w:pPr>
          </w:p>
        </w:tc>
        <w:tc>
          <w:tcPr>
            <w:tcW w:w="1046" w:type="dxa"/>
            <w:tcBorders>
              <w:top w:val="nil"/>
              <w:bottom w:val="nil"/>
              <w:right w:val="single" w:sz="4" w:space="0" w:color="000000"/>
            </w:tcBorders>
            <w:shd w:val="clear" w:color="auto" w:fill="FFFFFF"/>
            <w:vAlign w:val="bottom"/>
          </w:tcPr>
          <w:p w14:paraId="280B0C39" w14:textId="77777777" w:rsidR="00B0507B" w:rsidRPr="00C041E9" w:rsidRDefault="00B0507B">
            <w:pPr>
              <w:spacing w:after="0" w:line="240" w:lineRule="auto"/>
              <w:jc w:val="center"/>
              <w:rPr>
                <w:rFonts w:asciiTheme="minorHAnsi" w:hAnsiTheme="minorHAnsi"/>
                <w:sz w:val="18"/>
                <w:szCs w:val="18"/>
              </w:rPr>
            </w:pPr>
          </w:p>
        </w:tc>
      </w:tr>
      <w:tr w:rsidR="00B0507B" w:rsidRPr="00C041E9" w14:paraId="7AD7D7B0"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2B672B1C" w14:textId="77777777" w:rsidR="00B0507B" w:rsidRPr="00C041E9" w:rsidRDefault="00A821BA">
            <w:pPr>
              <w:spacing w:after="0" w:line="240" w:lineRule="auto"/>
              <w:jc w:val="left"/>
              <w:rPr>
                <w:rFonts w:asciiTheme="minorHAnsi" w:hAnsiTheme="minorHAnsi"/>
                <w:sz w:val="18"/>
                <w:szCs w:val="18"/>
              </w:rPr>
            </w:pPr>
            <w:r w:rsidRPr="00C041E9">
              <w:rPr>
                <w:rFonts w:asciiTheme="minorHAnsi" w:eastAsia="Times New Roman" w:hAnsiTheme="minorHAnsi" w:cs="Times New Roman"/>
                <w:sz w:val="18"/>
                <w:szCs w:val="18"/>
              </w:rPr>
              <w:t>High School Graduate</w:t>
            </w:r>
          </w:p>
        </w:tc>
        <w:tc>
          <w:tcPr>
            <w:tcW w:w="1176" w:type="dxa"/>
            <w:tcBorders>
              <w:top w:val="nil"/>
              <w:left w:val="single" w:sz="4" w:space="0" w:color="000000"/>
              <w:bottom w:val="nil"/>
              <w:right w:val="single" w:sz="4" w:space="0" w:color="000000"/>
            </w:tcBorders>
            <w:shd w:val="clear" w:color="auto" w:fill="FFFFFF"/>
            <w:vAlign w:val="center"/>
          </w:tcPr>
          <w:p w14:paraId="2FEDA398"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1.023</w:t>
            </w:r>
          </w:p>
        </w:tc>
        <w:tc>
          <w:tcPr>
            <w:tcW w:w="1617" w:type="dxa"/>
            <w:tcBorders>
              <w:top w:val="nil"/>
              <w:left w:val="single" w:sz="4" w:space="0" w:color="000000"/>
              <w:bottom w:val="nil"/>
              <w:right w:val="single" w:sz="4" w:space="0" w:color="000000"/>
            </w:tcBorders>
            <w:shd w:val="clear" w:color="auto" w:fill="FFFFFF"/>
            <w:vAlign w:val="center"/>
          </w:tcPr>
          <w:p w14:paraId="4AA9D091"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0.411</w:t>
            </w:r>
          </w:p>
        </w:tc>
        <w:tc>
          <w:tcPr>
            <w:tcW w:w="1155" w:type="dxa"/>
            <w:tcBorders>
              <w:top w:val="nil"/>
              <w:left w:val="single" w:sz="4" w:space="0" w:color="000000"/>
              <w:bottom w:val="nil"/>
            </w:tcBorders>
            <w:shd w:val="clear" w:color="auto" w:fill="FFFFFF"/>
            <w:vAlign w:val="center"/>
          </w:tcPr>
          <w:p w14:paraId="6FB3160D"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0.465</w:t>
            </w:r>
          </w:p>
        </w:tc>
        <w:tc>
          <w:tcPr>
            <w:tcW w:w="1046" w:type="dxa"/>
            <w:tcBorders>
              <w:top w:val="nil"/>
              <w:bottom w:val="nil"/>
              <w:right w:val="single" w:sz="4" w:space="0" w:color="000000"/>
            </w:tcBorders>
            <w:shd w:val="clear" w:color="auto" w:fill="FFFFFF"/>
            <w:vAlign w:val="center"/>
          </w:tcPr>
          <w:p w14:paraId="4461E696"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2.250</w:t>
            </w:r>
          </w:p>
        </w:tc>
      </w:tr>
      <w:tr w:rsidR="00B0507B" w:rsidRPr="00C041E9" w14:paraId="1F739C9E"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457A7AEA" w14:textId="77777777" w:rsidR="00B0507B" w:rsidRPr="00C041E9" w:rsidRDefault="00A821BA">
            <w:pPr>
              <w:spacing w:after="0" w:line="240" w:lineRule="auto"/>
              <w:jc w:val="left"/>
              <w:rPr>
                <w:rFonts w:asciiTheme="minorHAnsi" w:hAnsiTheme="minorHAnsi"/>
                <w:sz w:val="18"/>
                <w:szCs w:val="18"/>
              </w:rPr>
            </w:pPr>
            <w:r w:rsidRPr="00C041E9">
              <w:rPr>
                <w:rFonts w:asciiTheme="minorHAnsi" w:eastAsia="Times New Roman" w:hAnsiTheme="minorHAnsi" w:cs="Times New Roman"/>
                <w:sz w:val="18"/>
                <w:szCs w:val="18"/>
              </w:rPr>
              <w:t>Some College</w:t>
            </w:r>
          </w:p>
        </w:tc>
        <w:tc>
          <w:tcPr>
            <w:tcW w:w="1176" w:type="dxa"/>
            <w:tcBorders>
              <w:top w:val="nil"/>
              <w:left w:val="single" w:sz="4" w:space="0" w:color="000000"/>
              <w:bottom w:val="nil"/>
              <w:right w:val="single" w:sz="4" w:space="0" w:color="000000"/>
            </w:tcBorders>
            <w:shd w:val="clear" w:color="auto" w:fill="FFFFFF"/>
            <w:vAlign w:val="center"/>
          </w:tcPr>
          <w:p w14:paraId="06CA4624"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0.966</w:t>
            </w:r>
          </w:p>
        </w:tc>
        <w:tc>
          <w:tcPr>
            <w:tcW w:w="1617" w:type="dxa"/>
            <w:tcBorders>
              <w:top w:val="nil"/>
              <w:left w:val="single" w:sz="4" w:space="0" w:color="000000"/>
              <w:bottom w:val="nil"/>
              <w:right w:val="single" w:sz="4" w:space="0" w:color="000000"/>
            </w:tcBorders>
            <w:shd w:val="clear" w:color="auto" w:fill="FFFFFF"/>
            <w:vAlign w:val="center"/>
          </w:tcPr>
          <w:p w14:paraId="18F19278"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0.387</w:t>
            </w:r>
          </w:p>
        </w:tc>
        <w:tc>
          <w:tcPr>
            <w:tcW w:w="1155" w:type="dxa"/>
            <w:tcBorders>
              <w:top w:val="nil"/>
              <w:left w:val="single" w:sz="4" w:space="0" w:color="000000"/>
              <w:bottom w:val="nil"/>
            </w:tcBorders>
            <w:shd w:val="clear" w:color="auto" w:fill="FFFFFF"/>
            <w:vAlign w:val="center"/>
          </w:tcPr>
          <w:p w14:paraId="068CD2B3"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0.440</w:t>
            </w:r>
          </w:p>
        </w:tc>
        <w:tc>
          <w:tcPr>
            <w:tcW w:w="1046" w:type="dxa"/>
            <w:tcBorders>
              <w:top w:val="nil"/>
              <w:bottom w:val="nil"/>
              <w:right w:val="single" w:sz="4" w:space="0" w:color="000000"/>
            </w:tcBorders>
            <w:shd w:val="clear" w:color="auto" w:fill="FFFFFF"/>
            <w:vAlign w:val="center"/>
          </w:tcPr>
          <w:p w14:paraId="637BCCFB"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2.120</w:t>
            </w:r>
          </w:p>
        </w:tc>
      </w:tr>
      <w:tr w:rsidR="00B0507B" w:rsidRPr="00C041E9" w14:paraId="5A0F579A"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314C0E4D" w14:textId="77777777" w:rsidR="00B0507B" w:rsidRPr="00C041E9" w:rsidRDefault="00A821BA">
            <w:pPr>
              <w:spacing w:after="0" w:line="240" w:lineRule="auto"/>
              <w:jc w:val="left"/>
              <w:rPr>
                <w:rFonts w:asciiTheme="minorHAnsi" w:hAnsiTheme="minorHAnsi"/>
                <w:sz w:val="18"/>
                <w:szCs w:val="18"/>
              </w:rPr>
            </w:pPr>
            <w:r w:rsidRPr="00C041E9">
              <w:rPr>
                <w:rFonts w:asciiTheme="minorHAnsi" w:eastAsia="Times New Roman" w:hAnsiTheme="minorHAnsi" w:cs="Times New Roman"/>
                <w:sz w:val="18"/>
                <w:szCs w:val="18"/>
              </w:rPr>
              <w:t>College Graduate</w:t>
            </w:r>
          </w:p>
        </w:tc>
        <w:tc>
          <w:tcPr>
            <w:tcW w:w="1176" w:type="dxa"/>
            <w:tcBorders>
              <w:top w:val="nil"/>
              <w:left w:val="single" w:sz="4" w:space="0" w:color="000000"/>
              <w:bottom w:val="nil"/>
              <w:right w:val="single" w:sz="4" w:space="0" w:color="000000"/>
            </w:tcBorders>
            <w:shd w:val="clear" w:color="auto" w:fill="FFFFFF"/>
            <w:vAlign w:val="center"/>
          </w:tcPr>
          <w:p w14:paraId="4DCD5C97"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0.642</w:t>
            </w:r>
          </w:p>
        </w:tc>
        <w:tc>
          <w:tcPr>
            <w:tcW w:w="1617" w:type="dxa"/>
            <w:tcBorders>
              <w:top w:val="nil"/>
              <w:left w:val="single" w:sz="4" w:space="0" w:color="000000"/>
              <w:bottom w:val="nil"/>
              <w:right w:val="single" w:sz="4" w:space="0" w:color="000000"/>
            </w:tcBorders>
            <w:shd w:val="clear" w:color="auto" w:fill="FFFFFF"/>
            <w:vAlign w:val="center"/>
          </w:tcPr>
          <w:p w14:paraId="5A65E4AC"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0.265</w:t>
            </w:r>
          </w:p>
        </w:tc>
        <w:tc>
          <w:tcPr>
            <w:tcW w:w="1155" w:type="dxa"/>
            <w:tcBorders>
              <w:top w:val="nil"/>
              <w:left w:val="single" w:sz="4" w:space="0" w:color="000000"/>
              <w:bottom w:val="nil"/>
            </w:tcBorders>
            <w:shd w:val="clear" w:color="auto" w:fill="FFFFFF"/>
            <w:vAlign w:val="center"/>
          </w:tcPr>
          <w:p w14:paraId="12026FD5"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0.286</w:t>
            </w:r>
          </w:p>
        </w:tc>
        <w:tc>
          <w:tcPr>
            <w:tcW w:w="1046" w:type="dxa"/>
            <w:tcBorders>
              <w:top w:val="nil"/>
              <w:bottom w:val="nil"/>
              <w:right w:val="single" w:sz="4" w:space="0" w:color="000000"/>
            </w:tcBorders>
            <w:shd w:val="clear" w:color="auto" w:fill="FFFFFF"/>
            <w:vAlign w:val="center"/>
          </w:tcPr>
          <w:p w14:paraId="0288ED96"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1.440</w:t>
            </w:r>
          </w:p>
        </w:tc>
      </w:tr>
      <w:tr w:rsidR="00B0507B" w:rsidRPr="00C041E9" w14:paraId="0EB35F0A"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19A08D0F" w14:textId="77777777" w:rsidR="00B0507B" w:rsidRPr="00C041E9" w:rsidRDefault="00A821BA">
            <w:pPr>
              <w:spacing w:after="0" w:line="240" w:lineRule="auto"/>
              <w:jc w:val="left"/>
              <w:rPr>
                <w:rFonts w:asciiTheme="minorHAnsi" w:hAnsiTheme="minorHAnsi"/>
                <w:sz w:val="18"/>
                <w:szCs w:val="18"/>
              </w:rPr>
            </w:pPr>
            <w:r w:rsidRPr="00C041E9">
              <w:rPr>
                <w:rFonts w:asciiTheme="minorHAnsi" w:eastAsia="Times New Roman" w:hAnsiTheme="minorHAnsi" w:cs="Times New Roman"/>
                <w:sz w:val="18"/>
                <w:szCs w:val="18"/>
              </w:rPr>
              <w:t>Graduate School</w:t>
            </w:r>
          </w:p>
        </w:tc>
        <w:tc>
          <w:tcPr>
            <w:tcW w:w="1176" w:type="dxa"/>
            <w:tcBorders>
              <w:top w:val="nil"/>
              <w:left w:val="single" w:sz="4" w:space="0" w:color="000000"/>
              <w:bottom w:val="nil"/>
              <w:right w:val="single" w:sz="4" w:space="0" w:color="000000"/>
            </w:tcBorders>
            <w:shd w:val="clear" w:color="auto" w:fill="FFFFFF"/>
            <w:vAlign w:val="center"/>
          </w:tcPr>
          <w:p w14:paraId="3F504853"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0.642</w:t>
            </w:r>
          </w:p>
        </w:tc>
        <w:tc>
          <w:tcPr>
            <w:tcW w:w="1617" w:type="dxa"/>
            <w:tcBorders>
              <w:top w:val="nil"/>
              <w:left w:val="single" w:sz="4" w:space="0" w:color="000000"/>
              <w:bottom w:val="nil"/>
              <w:right w:val="single" w:sz="4" w:space="0" w:color="000000"/>
            </w:tcBorders>
            <w:shd w:val="clear" w:color="auto" w:fill="FFFFFF"/>
            <w:vAlign w:val="center"/>
          </w:tcPr>
          <w:p w14:paraId="05F363C2"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0.275</w:t>
            </w:r>
          </w:p>
        </w:tc>
        <w:tc>
          <w:tcPr>
            <w:tcW w:w="1155" w:type="dxa"/>
            <w:tcBorders>
              <w:top w:val="nil"/>
              <w:left w:val="single" w:sz="4" w:space="0" w:color="000000"/>
              <w:bottom w:val="nil"/>
            </w:tcBorders>
            <w:shd w:val="clear" w:color="auto" w:fill="FFFFFF"/>
            <w:vAlign w:val="center"/>
          </w:tcPr>
          <w:p w14:paraId="6546C784"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0.278</w:t>
            </w:r>
          </w:p>
        </w:tc>
        <w:tc>
          <w:tcPr>
            <w:tcW w:w="1046" w:type="dxa"/>
            <w:tcBorders>
              <w:top w:val="nil"/>
              <w:bottom w:val="nil"/>
              <w:right w:val="single" w:sz="4" w:space="0" w:color="000000"/>
            </w:tcBorders>
            <w:shd w:val="clear" w:color="auto" w:fill="FFFFFF"/>
            <w:vAlign w:val="center"/>
          </w:tcPr>
          <w:p w14:paraId="6760FC13"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1.485</w:t>
            </w:r>
          </w:p>
        </w:tc>
      </w:tr>
      <w:tr w:rsidR="00B0507B" w:rsidRPr="00C041E9" w14:paraId="76F40B71"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1251B8F5" w14:textId="77777777" w:rsidR="00B0507B" w:rsidRPr="00C041E9" w:rsidRDefault="00A821BA">
            <w:pPr>
              <w:spacing w:after="0" w:line="240" w:lineRule="auto"/>
              <w:jc w:val="left"/>
              <w:rPr>
                <w:rFonts w:asciiTheme="minorHAnsi" w:hAnsiTheme="minorHAnsi"/>
                <w:sz w:val="18"/>
                <w:szCs w:val="18"/>
              </w:rPr>
            </w:pPr>
            <w:r w:rsidRPr="00C041E9">
              <w:rPr>
                <w:rFonts w:asciiTheme="minorHAnsi" w:eastAsia="Times New Roman" w:hAnsiTheme="minorHAnsi" w:cs="Times New Roman"/>
                <w:i/>
                <w:sz w:val="18"/>
                <w:szCs w:val="18"/>
              </w:rPr>
              <w:t>Family Income</w:t>
            </w:r>
          </w:p>
        </w:tc>
        <w:tc>
          <w:tcPr>
            <w:tcW w:w="1176" w:type="dxa"/>
            <w:tcBorders>
              <w:top w:val="nil"/>
              <w:left w:val="single" w:sz="4" w:space="0" w:color="000000"/>
              <w:bottom w:val="nil"/>
              <w:right w:val="single" w:sz="4" w:space="0" w:color="000000"/>
            </w:tcBorders>
            <w:shd w:val="clear" w:color="auto" w:fill="FFFFFF"/>
            <w:vAlign w:val="bottom"/>
          </w:tcPr>
          <w:p w14:paraId="64315CED" w14:textId="77777777" w:rsidR="00B0507B" w:rsidRPr="00C041E9" w:rsidRDefault="00B0507B">
            <w:pPr>
              <w:spacing w:after="0" w:line="240" w:lineRule="auto"/>
              <w:jc w:val="center"/>
              <w:rPr>
                <w:rFonts w:asciiTheme="minorHAnsi" w:hAnsiTheme="minorHAnsi"/>
                <w:sz w:val="18"/>
                <w:szCs w:val="18"/>
              </w:rPr>
            </w:pPr>
          </w:p>
        </w:tc>
        <w:tc>
          <w:tcPr>
            <w:tcW w:w="1617" w:type="dxa"/>
            <w:tcBorders>
              <w:top w:val="nil"/>
              <w:left w:val="single" w:sz="4" w:space="0" w:color="000000"/>
              <w:bottom w:val="nil"/>
              <w:right w:val="single" w:sz="4" w:space="0" w:color="000000"/>
            </w:tcBorders>
            <w:shd w:val="clear" w:color="auto" w:fill="FFFFFF"/>
            <w:vAlign w:val="bottom"/>
          </w:tcPr>
          <w:p w14:paraId="54C6ECB4" w14:textId="77777777" w:rsidR="00B0507B" w:rsidRPr="00C041E9" w:rsidRDefault="00B0507B">
            <w:pPr>
              <w:spacing w:after="0" w:line="240" w:lineRule="auto"/>
              <w:jc w:val="center"/>
              <w:rPr>
                <w:rFonts w:asciiTheme="minorHAnsi" w:hAnsiTheme="minorHAnsi"/>
                <w:sz w:val="18"/>
                <w:szCs w:val="18"/>
              </w:rPr>
            </w:pPr>
          </w:p>
        </w:tc>
        <w:tc>
          <w:tcPr>
            <w:tcW w:w="1155" w:type="dxa"/>
            <w:tcBorders>
              <w:top w:val="nil"/>
              <w:left w:val="single" w:sz="4" w:space="0" w:color="000000"/>
              <w:bottom w:val="nil"/>
            </w:tcBorders>
            <w:shd w:val="clear" w:color="auto" w:fill="FFFFFF"/>
            <w:vAlign w:val="bottom"/>
          </w:tcPr>
          <w:p w14:paraId="6E7391DA" w14:textId="77777777" w:rsidR="00B0507B" w:rsidRPr="00C041E9" w:rsidRDefault="00B0507B">
            <w:pPr>
              <w:spacing w:after="0" w:line="240" w:lineRule="auto"/>
              <w:jc w:val="center"/>
              <w:rPr>
                <w:rFonts w:asciiTheme="minorHAnsi" w:hAnsiTheme="minorHAnsi"/>
                <w:sz w:val="18"/>
                <w:szCs w:val="18"/>
              </w:rPr>
            </w:pPr>
          </w:p>
        </w:tc>
        <w:tc>
          <w:tcPr>
            <w:tcW w:w="1046" w:type="dxa"/>
            <w:tcBorders>
              <w:top w:val="nil"/>
              <w:bottom w:val="nil"/>
              <w:right w:val="single" w:sz="4" w:space="0" w:color="000000"/>
            </w:tcBorders>
            <w:shd w:val="clear" w:color="auto" w:fill="FFFFFF"/>
            <w:vAlign w:val="bottom"/>
          </w:tcPr>
          <w:p w14:paraId="62AF3794" w14:textId="77777777" w:rsidR="00B0507B" w:rsidRPr="00C041E9" w:rsidRDefault="00B0507B">
            <w:pPr>
              <w:spacing w:after="0" w:line="240" w:lineRule="auto"/>
              <w:jc w:val="center"/>
              <w:rPr>
                <w:rFonts w:asciiTheme="minorHAnsi" w:hAnsiTheme="minorHAnsi"/>
                <w:sz w:val="18"/>
                <w:szCs w:val="18"/>
              </w:rPr>
            </w:pPr>
          </w:p>
        </w:tc>
      </w:tr>
      <w:tr w:rsidR="00B0507B" w:rsidRPr="00C041E9" w14:paraId="25DCCB9C"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0B67F6B9" w14:textId="77777777" w:rsidR="00B0507B" w:rsidRPr="00C041E9" w:rsidRDefault="00A821BA">
            <w:pPr>
              <w:spacing w:after="0" w:line="240" w:lineRule="auto"/>
              <w:jc w:val="left"/>
              <w:rPr>
                <w:rFonts w:asciiTheme="minorHAnsi" w:hAnsiTheme="minorHAnsi"/>
                <w:sz w:val="18"/>
                <w:szCs w:val="18"/>
              </w:rPr>
            </w:pPr>
            <w:r w:rsidRPr="00C041E9">
              <w:rPr>
                <w:rFonts w:asciiTheme="minorHAnsi" w:eastAsia="Times New Roman" w:hAnsiTheme="minorHAnsi" w:cs="Times New Roman"/>
                <w:sz w:val="18"/>
                <w:szCs w:val="18"/>
              </w:rPr>
              <w:t>$20,000-$34,999</w:t>
            </w:r>
          </w:p>
        </w:tc>
        <w:tc>
          <w:tcPr>
            <w:tcW w:w="1176" w:type="dxa"/>
            <w:tcBorders>
              <w:top w:val="nil"/>
              <w:left w:val="single" w:sz="4" w:space="0" w:color="000000"/>
              <w:bottom w:val="nil"/>
              <w:right w:val="single" w:sz="4" w:space="0" w:color="000000"/>
            </w:tcBorders>
            <w:shd w:val="clear" w:color="auto" w:fill="FFFFFF"/>
            <w:vAlign w:val="center"/>
          </w:tcPr>
          <w:p w14:paraId="2E70D6AC"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1.445</w:t>
            </w:r>
          </w:p>
        </w:tc>
        <w:tc>
          <w:tcPr>
            <w:tcW w:w="1617" w:type="dxa"/>
            <w:tcBorders>
              <w:top w:val="nil"/>
              <w:left w:val="single" w:sz="4" w:space="0" w:color="000000"/>
              <w:bottom w:val="nil"/>
              <w:right w:val="single" w:sz="4" w:space="0" w:color="000000"/>
            </w:tcBorders>
            <w:shd w:val="clear" w:color="auto" w:fill="FFFFFF"/>
            <w:vAlign w:val="center"/>
          </w:tcPr>
          <w:p w14:paraId="39E8588E"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0.566</w:t>
            </w:r>
          </w:p>
        </w:tc>
        <w:tc>
          <w:tcPr>
            <w:tcW w:w="1155" w:type="dxa"/>
            <w:tcBorders>
              <w:top w:val="nil"/>
              <w:left w:val="single" w:sz="4" w:space="0" w:color="000000"/>
              <w:bottom w:val="nil"/>
            </w:tcBorders>
            <w:shd w:val="clear" w:color="auto" w:fill="FFFFFF"/>
            <w:vAlign w:val="center"/>
          </w:tcPr>
          <w:p w14:paraId="219A11C9"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0.670</w:t>
            </w:r>
          </w:p>
        </w:tc>
        <w:tc>
          <w:tcPr>
            <w:tcW w:w="1046" w:type="dxa"/>
            <w:tcBorders>
              <w:top w:val="nil"/>
              <w:bottom w:val="nil"/>
              <w:right w:val="single" w:sz="4" w:space="0" w:color="000000"/>
            </w:tcBorders>
            <w:shd w:val="clear" w:color="auto" w:fill="FFFFFF"/>
            <w:vAlign w:val="center"/>
          </w:tcPr>
          <w:p w14:paraId="2EA90976"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3.116</w:t>
            </w:r>
          </w:p>
        </w:tc>
      </w:tr>
      <w:tr w:rsidR="00B0507B" w:rsidRPr="00C041E9" w14:paraId="6A4A2A98"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227BEE0D" w14:textId="77777777" w:rsidR="00B0507B" w:rsidRPr="00C041E9" w:rsidRDefault="00A821BA">
            <w:pPr>
              <w:spacing w:after="0" w:line="240" w:lineRule="auto"/>
              <w:jc w:val="left"/>
              <w:rPr>
                <w:rFonts w:asciiTheme="minorHAnsi" w:hAnsiTheme="minorHAnsi"/>
                <w:sz w:val="18"/>
                <w:szCs w:val="18"/>
              </w:rPr>
            </w:pPr>
            <w:r w:rsidRPr="00C041E9">
              <w:rPr>
                <w:rFonts w:asciiTheme="minorHAnsi" w:eastAsia="Times New Roman" w:hAnsiTheme="minorHAnsi" w:cs="Times New Roman"/>
                <w:sz w:val="18"/>
                <w:szCs w:val="18"/>
              </w:rPr>
              <w:t>$35,000-$49,999</w:t>
            </w:r>
          </w:p>
        </w:tc>
        <w:tc>
          <w:tcPr>
            <w:tcW w:w="1176" w:type="dxa"/>
            <w:tcBorders>
              <w:top w:val="nil"/>
              <w:left w:val="single" w:sz="4" w:space="0" w:color="000000"/>
              <w:bottom w:val="nil"/>
              <w:right w:val="single" w:sz="4" w:space="0" w:color="000000"/>
            </w:tcBorders>
            <w:shd w:val="clear" w:color="auto" w:fill="FFFFFF"/>
            <w:vAlign w:val="center"/>
          </w:tcPr>
          <w:p w14:paraId="07681C0D"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1.870</w:t>
            </w:r>
          </w:p>
        </w:tc>
        <w:tc>
          <w:tcPr>
            <w:tcW w:w="1617" w:type="dxa"/>
            <w:tcBorders>
              <w:top w:val="nil"/>
              <w:left w:val="single" w:sz="4" w:space="0" w:color="000000"/>
              <w:bottom w:val="nil"/>
              <w:right w:val="single" w:sz="4" w:space="0" w:color="000000"/>
            </w:tcBorders>
            <w:shd w:val="clear" w:color="auto" w:fill="FFFFFF"/>
            <w:vAlign w:val="center"/>
          </w:tcPr>
          <w:p w14:paraId="4008E275"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0.730</w:t>
            </w:r>
          </w:p>
        </w:tc>
        <w:tc>
          <w:tcPr>
            <w:tcW w:w="1155" w:type="dxa"/>
            <w:tcBorders>
              <w:top w:val="nil"/>
              <w:left w:val="single" w:sz="4" w:space="0" w:color="000000"/>
              <w:bottom w:val="nil"/>
            </w:tcBorders>
            <w:shd w:val="clear" w:color="auto" w:fill="FFFFFF"/>
            <w:vAlign w:val="center"/>
          </w:tcPr>
          <w:p w14:paraId="2FE48423"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0.870</w:t>
            </w:r>
          </w:p>
        </w:tc>
        <w:tc>
          <w:tcPr>
            <w:tcW w:w="1046" w:type="dxa"/>
            <w:tcBorders>
              <w:top w:val="nil"/>
              <w:bottom w:val="nil"/>
              <w:right w:val="single" w:sz="4" w:space="0" w:color="000000"/>
            </w:tcBorders>
            <w:shd w:val="clear" w:color="auto" w:fill="FFFFFF"/>
            <w:vAlign w:val="center"/>
          </w:tcPr>
          <w:p w14:paraId="6CAE0030"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4.018</w:t>
            </w:r>
          </w:p>
        </w:tc>
      </w:tr>
      <w:tr w:rsidR="00B0507B" w:rsidRPr="00C041E9" w14:paraId="6662D5A6"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3A50FE7B" w14:textId="77777777" w:rsidR="00B0507B" w:rsidRPr="00C041E9" w:rsidRDefault="00A821BA">
            <w:pPr>
              <w:spacing w:after="0" w:line="240" w:lineRule="auto"/>
              <w:jc w:val="left"/>
              <w:rPr>
                <w:rFonts w:asciiTheme="minorHAnsi" w:hAnsiTheme="minorHAnsi"/>
                <w:sz w:val="18"/>
                <w:szCs w:val="18"/>
              </w:rPr>
            </w:pPr>
            <w:r w:rsidRPr="00C041E9">
              <w:rPr>
                <w:rFonts w:asciiTheme="minorHAnsi" w:eastAsia="Times New Roman" w:hAnsiTheme="minorHAnsi" w:cs="Times New Roman"/>
                <w:sz w:val="18"/>
                <w:szCs w:val="18"/>
              </w:rPr>
              <w:t>$50,000-$74,999</w:t>
            </w:r>
          </w:p>
        </w:tc>
        <w:tc>
          <w:tcPr>
            <w:tcW w:w="1176" w:type="dxa"/>
            <w:tcBorders>
              <w:top w:val="nil"/>
              <w:left w:val="single" w:sz="4" w:space="0" w:color="000000"/>
              <w:bottom w:val="nil"/>
              <w:right w:val="single" w:sz="4" w:space="0" w:color="000000"/>
            </w:tcBorders>
            <w:shd w:val="clear" w:color="auto" w:fill="FFFFFF"/>
            <w:vAlign w:val="center"/>
          </w:tcPr>
          <w:p w14:paraId="503F98CA"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1.577</w:t>
            </w:r>
          </w:p>
        </w:tc>
        <w:tc>
          <w:tcPr>
            <w:tcW w:w="1617" w:type="dxa"/>
            <w:tcBorders>
              <w:top w:val="nil"/>
              <w:left w:val="single" w:sz="4" w:space="0" w:color="000000"/>
              <w:bottom w:val="nil"/>
              <w:right w:val="single" w:sz="4" w:space="0" w:color="000000"/>
            </w:tcBorders>
            <w:shd w:val="clear" w:color="auto" w:fill="FFFFFF"/>
            <w:vAlign w:val="center"/>
          </w:tcPr>
          <w:p w14:paraId="32D54AA3"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0.614</w:t>
            </w:r>
          </w:p>
        </w:tc>
        <w:tc>
          <w:tcPr>
            <w:tcW w:w="1155" w:type="dxa"/>
            <w:tcBorders>
              <w:top w:val="nil"/>
              <w:left w:val="single" w:sz="4" w:space="0" w:color="000000"/>
              <w:bottom w:val="nil"/>
            </w:tcBorders>
            <w:shd w:val="clear" w:color="auto" w:fill="FFFFFF"/>
            <w:vAlign w:val="center"/>
          </w:tcPr>
          <w:p w14:paraId="3B9D0D1B"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0.736</w:t>
            </w:r>
          </w:p>
        </w:tc>
        <w:tc>
          <w:tcPr>
            <w:tcW w:w="1046" w:type="dxa"/>
            <w:tcBorders>
              <w:top w:val="nil"/>
              <w:bottom w:val="nil"/>
              <w:right w:val="single" w:sz="4" w:space="0" w:color="000000"/>
            </w:tcBorders>
            <w:shd w:val="clear" w:color="auto" w:fill="FFFFFF"/>
            <w:vAlign w:val="center"/>
          </w:tcPr>
          <w:p w14:paraId="130CA000"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3.380</w:t>
            </w:r>
          </w:p>
        </w:tc>
      </w:tr>
      <w:tr w:rsidR="00B0507B" w:rsidRPr="00C041E9" w14:paraId="05A6F3CA"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78AB1D3D" w14:textId="77777777" w:rsidR="00B0507B" w:rsidRPr="00C041E9" w:rsidRDefault="00A821BA">
            <w:pPr>
              <w:spacing w:after="0" w:line="240" w:lineRule="auto"/>
              <w:jc w:val="left"/>
              <w:rPr>
                <w:rFonts w:asciiTheme="minorHAnsi" w:hAnsiTheme="minorHAnsi"/>
                <w:sz w:val="18"/>
                <w:szCs w:val="18"/>
              </w:rPr>
            </w:pPr>
            <w:r w:rsidRPr="00C041E9">
              <w:rPr>
                <w:rFonts w:asciiTheme="minorHAnsi" w:eastAsia="Times New Roman" w:hAnsiTheme="minorHAnsi" w:cs="Times New Roman"/>
                <w:sz w:val="18"/>
                <w:szCs w:val="18"/>
              </w:rPr>
              <w:t>$75,000-$99,999</w:t>
            </w:r>
          </w:p>
        </w:tc>
        <w:tc>
          <w:tcPr>
            <w:tcW w:w="1176" w:type="dxa"/>
            <w:tcBorders>
              <w:top w:val="nil"/>
              <w:left w:val="single" w:sz="4" w:space="0" w:color="000000"/>
              <w:bottom w:val="nil"/>
              <w:right w:val="single" w:sz="4" w:space="0" w:color="000000"/>
            </w:tcBorders>
            <w:shd w:val="clear" w:color="auto" w:fill="FFFFFF"/>
            <w:vAlign w:val="center"/>
          </w:tcPr>
          <w:p w14:paraId="578DA87E"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1.959</w:t>
            </w:r>
          </w:p>
        </w:tc>
        <w:tc>
          <w:tcPr>
            <w:tcW w:w="1617" w:type="dxa"/>
            <w:tcBorders>
              <w:top w:val="nil"/>
              <w:left w:val="single" w:sz="4" w:space="0" w:color="000000"/>
              <w:bottom w:val="nil"/>
              <w:right w:val="single" w:sz="4" w:space="0" w:color="000000"/>
            </w:tcBorders>
            <w:shd w:val="clear" w:color="auto" w:fill="FFFFFF"/>
            <w:vAlign w:val="center"/>
          </w:tcPr>
          <w:p w14:paraId="7085C303"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0.782</w:t>
            </w:r>
          </w:p>
        </w:tc>
        <w:tc>
          <w:tcPr>
            <w:tcW w:w="1155" w:type="dxa"/>
            <w:tcBorders>
              <w:top w:val="nil"/>
              <w:left w:val="single" w:sz="4" w:space="0" w:color="000000"/>
              <w:bottom w:val="nil"/>
            </w:tcBorders>
            <w:shd w:val="clear" w:color="auto" w:fill="FFFFFF"/>
            <w:vAlign w:val="center"/>
          </w:tcPr>
          <w:p w14:paraId="569730BE"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0.896</w:t>
            </w:r>
          </w:p>
        </w:tc>
        <w:tc>
          <w:tcPr>
            <w:tcW w:w="1046" w:type="dxa"/>
            <w:tcBorders>
              <w:top w:val="nil"/>
              <w:bottom w:val="nil"/>
              <w:right w:val="single" w:sz="4" w:space="0" w:color="000000"/>
            </w:tcBorders>
            <w:shd w:val="clear" w:color="auto" w:fill="FFFFFF"/>
            <w:vAlign w:val="center"/>
          </w:tcPr>
          <w:p w14:paraId="0135BD2C"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4.283</w:t>
            </w:r>
          </w:p>
        </w:tc>
      </w:tr>
      <w:tr w:rsidR="00B0507B" w:rsidRPr="00C041E9" w14:paraId="6762F51F"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70E345B4" w14:textId="77777777" w:rsidR="00B0507B" w:rsidRPr="00C041E9" w:rsidRDefault="00A821BA">
            <w:pPr>
              <w:spacing w:after="0" w:line="240" w:lineRule="auto"/>
              <w:jc w:val="left"/>
              <w:rPr>
                <w:rFonts w:asciiTheme="minorHAnsi" w:hAnsiTheme="minorHAnsi"/>
                <w:sz w:val="18"/>
                <w:szCs w:val="18"/>
              </w:rPr>
            </w:pPr>
            <w:r w:rsidRPr="00C041E9">
              <w:rPr>
                <w:rFonts w:asciiTheme="minorHAnsi" w:eastAsia="Times New Roman" w:hAnsiTheme="minorHAnsi" w:cs="Times New Roman"/>
                <w:sz w:val="18"/>
                <w:szCs w:val="18"/>
              </w:rPr>
              <w:t>$100,000+</w:t>
            </w:r>
          </w:p>
        </w:tc>
        <w:tc>
          <w:tcPr>
            <w:tcW w:w="1176" w:type="dxa"/>
            <w:tcBorders>
              <w:top w:val="nil"/>
              <w:left w:val="single" w:sz="4" w:space="0" w:color="000000"/>
              <w:bottom w:val="nil"/>
              <w:right w:val="single" w:sz="4" w:space="0" w:color="000000"/>
            </w:tcBorders>
            <w:shd w:val="clear" w:color="auto" w:fill="FFFFFF"/>
            <w:vAlign w:val="center"/>
          </w:tcPr>
          <w:p w14:paraId="59F5EE00"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1.637</w:t>
            </w:r>
          </w:p>
        </w:tc>
        <w:tc>
          <w:tcPr>
            <w:tcW w:w="1617" w:type="dxa"/>
            <w:tcBorders>
              <w:top w:val="nil"/>
              <w:left w:val="single" w:sz="4" w:space="0" w:color="000000"/>
              <w:bottom w:val="nil"/>
              <w:right w:val="single" w:sz="4" w:space="0" w:color="000000"/>
            </w:tcBorders>
            <w:shd w:val="clear" w:color="auto" w:fill="FFFFFF"/>
            <w:vAlign w:val="center"/>
          </w:tcPr>
          <w:p w14:paraId="4AB86E42"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0.655</w:t>
            </w:r>
          </w:p>
        </w:tc>
        <w:tc>
          <w:tcPr>
            <w:tcW w:w="1155" w:type="dxa"/>
            <w:tcBorders>
              <w:top w:val="nil"/>
              <w:left w:val="single" w:sz="4" w:space="0" w:color="000000"/>
              <w:bottom w:val="nil"/>
            </w:tcBorders>
            <w:shd w:val="clear" w:color="auto" w:fill="FFFFFF"/>
            <w:vAlign w:val="center"/>
          </w:tcPr>
          <w:p w14:paraId="206AC846"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0.747</w:t>
            </w:r>
          </w:p>
        </w:tc>
        <w:tc>
          <w:tcPr>
            <w:tcW w:w="1046" w:type="dxa"/>
            <w:tcBorders>
              <w:top w:val="nil"/>
              <w:bottom w:val="nil"/>
              <w:right w:val="single" w:sz="4" w:space="0" w:color="000000"/>
            </w:tcBorders>
            <w:shd w:val="clear" w:color="auto" w:fill="FFFFFF"/>
            <w:vAlign w:val="center"/>
          </w:tcPr>
          <w:p w14:paraId="3B91E74B"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3.588</w:t>
            </w:r>
          </w:p>
        </w:tc>
      </w:tr>
      <w:tr w:rsidR="00B0507B" w:rsidRPr="00C041E9" w14:paraId="269841AD"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5A628E09" w14:textId="77777777" w:rsidR="00B0507B" w:rsidRPr="00C041E9" w:rsidRDefault="00A821BA">
            <w:pPr>
              <w:spacing w:after="0" w:line="240" w:lineRule="auto"/>
              <w:jc w:val="left"/>
              <w:rPr>
                <w:rFonts w:asciiTheme="minorHAnsi" w:hAnsiTheme="minorHAnsi"/>
                <w:sz w:val="18"/>
                <w:szCs w:val="18"/>
              </w:rPr>
            </w:pPr>
            <w:r w:rsidRPr="00C041E9">
              <w:rPr>
                <w:rFonts w:asciiTheme="minorHAnsi" w:eastAsia="Times New Roman" w:hAnsiTheme="minorHAnsi" w:cs="Times New Roman"/>
                <w:i/>
                <w:sz w:val="18"/>
                <w:szCs w:val="18"/>
              </w:rPr>
              <w:t>Hispanic Ethnicity (Reference: Non-Hispanic)</w:t>
            </w:r>
          </w:p>
        </w:tc>
        <w:tc>
          <w:tcPr>
            <w:tcW w:w="1176" w:type="dxa"/>
            <w:tcBorders>
              <w:top w:val="nil"/>
              <w:left w:val="single" w:sz="4" w:space="0" w:color="000000"/>
              <w:bottom w:val="nil"/>
              <w:right w:val="single" w:sz="4" w:space="0" w:color="000000"/>
            </w:tcBorders>
            <w:shd w:val="clear" w:color="auto" w:fill="FFFFFF"/>
            <w:vAlign w:val="center"/>
          </w:tcPr>
          <w:p w14:paraId="11EFDF11"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1.139</w:t>
            </w:r>
          </w:p>
        </w:tc>
        <w:tc>
          <w:tcPr>
            <w:tcW w:w="1617" w:type="dxa"/>
            <w:tcBorders>
              <w:top w:val="nil"/>
              <w:left w:val="single" w:sz="4" w:space="0" w:color="000000"/>
              <w:bottom w:val="nil"/>
              <w:right w:val="single" w:sz="4" w:space="0" w:color="000000"/>
            </w:tcBorders>
            <w:shd w:val="clear" w:color="auto" w:fill="FFFFFF"/>
            <w:vAlign w:val="center"/>
          </w:tcPr>
          <w:p w14:paraId="3A4D42F4"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0.300</w:t>
            </w:r>
          </w:p>
        </w:tc>
        <w:tc>
          <w:tcPr>
            <w:tcW w:w="1155" w:type="dxa"/>
            <w:tcBorders>
              <w:top w:val="nil"/>
              <w:left w:val="single" w:sz="4" w:space="0" w:color="000000"/>
              <w:bottom w:val="nil"/>
            </w:tcBorders>
            <w:shd w:val="clear" w:color="auto" w:fill="FFFFFF"/>
            <w:vAlign w:val="center"/>
          </w:tcPr>
          <w:p w14:paraId="410E51D3"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0.680</w:t>
            </w:r>
          </w:p>
        </w:tc>
        <w:tc>
          <w:tcPr>
            <w:tcW w:w="1046" w:type="dxa"/>
            <w:tcBorders>
              <w:top w:val="nil"/>
              <w:bottom w:val="nil"/>
              <w:right w:val="single" w:sz="4" w:space="0" w:color="000000"/>
            </w:tcBorders>
            <w:shd w:val="clear" w:color="auto" w:fill="FFFFFF"/>
            <w:vAlign w:val="center"/>
          </w:tcPr>
          <w:p w14:paraId="5D65D48E"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1.907</w:t>
            </w:r>
          </w:p>
        </w:tc>
      </w:tr>
      <w:tr w:rsidR="00B0507B" w:rsidRPr="00C041E9" w14:paraId="1E473A1F"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3A1C4784" w14:textId="77777777" w:rsidR="00B0507B" w:rsidRPr="00C041E9" w:rsidRDefault="00A821BA">
            <w:pPr>
              <w:spacing w:after="0" w:line="240" w:lineRule="auto"/>
              <w:jc w:val="left"/>
              <w:rPr>
                <w:rFonts w:asciiTheme="minorHAnsi" w:hAnsiTheme="minorHAnsi"/>
                <w:sz w:val="18"/>
                <w:szCs w:val="18"/>
              </w:rPr>
            </w:pPr>
            <w:r w:rsidRPr="00C041E9">
              <w:rPr>
                <w:rFonts w:asciiTheme="minorHAnsi" w:eastAsia="Times New Roman" w:hAnsiTheme="minorHAnsi" w:cs="Times New Roman"/>
                <w:i/>
                <w:sz w:val="18"/>
                <w:szCs w:val="18"/>
              </w:rPr>
              <w:t>Race (Reference: Caucasian)</w:t>
            </w:r>
          </w:p>
        </w:tc>
        <w:tc>
          <w:tcPr>
            <w:tcW w:w="1176" w:type="dxa"/>
            <w:tcBorders>
              <w:top w:val="nil"/>
              <w:left w:val="single" w:sz="4" w:space="0" w:color="000000"/>
              <w:bottom w:val="nil"/>
              <w:right w:val="single" w:sz="4" w:space="0" w:color="000000"/>
            </w:tcBorders>
            <w:shd w:val="clear" w:color="auto" w:fill="FFFFFF"/>
            <w:vAlign w:val="bottom"/>
          </w:tcPr>
          <w:p w14:paraId="69F0593C" w14:textId="77777777" w:rsidR="00B0507B" w:rsidRPr="00C041E9" w:rsidRDefault="00B0507B">
            <w:pPr>
              <w:spacing w:after="0" w:line="240" w:lineRule="auto"/>
              <w:jc w:val="center"/>
              <w:rPr>
                <w:rFonts w:asciiTheme="minorHAnsi" w:hAnsiTheme="minorHAnsi"/>
                <w:sz w:val="18"/>
                <w:szCs w:val="18"/>
              </w:rPr>
            </w:pPr>
          </w:p>
        </w:tc>
        <w:tc>
          <w:tcPr>
            <w:tcW w:w="1617" w:type="dxa"/>
            <w:tcBorders>
              <w:top w:val="nil"/>
              <w:left w:val="single" w:sz="4" w:space="0" w:color="000000"/>
              <w:bottom w:val="nil"/>
              <w:right w:val="single" w:sz="4" w:space="0" w:color="000000"/>
            </w:tcBorders>
            <w:shd w:val="clear" w:color="auto" w:fill="FFFFFF"/>
            <w:vAlign w:val="bottom"/>
          </w:tcPr>
          <w:p w14:paraId="449C3B2C" w14:textId="77777777" w:rsidR="00B0507B" w:rsidRPr="00C041E9" w:rsidRDefault="00B0507B">
            <w:pPr>
              <w:spacing w:after="0" w:line="240" w:lineRule="auto"/>
              <w:jc w:val="center"/>
              <w:rPr>
                <w:rFonts w:asciiTheme="minorHAnsi" w:hAnsiTheme="minorHAnsi"/>
                <w:sz w:val="18"/>
                <w:szCs w:val="18"/>
              </w:rPr>
            </w:pPr>
          </w:p>
        </w:tc>
        <w:tc>
          <w:tcPr>
            <w:tcW w:w="1155" w:type="dxa"/>
            <w:tcBorders>
              <w:top w:val="nil"/>
              <w:left w:val="single" w:sz="4" w:space="0" w:color="000000"/>
              <w:bottom w:val="nil"/>
            </w:tcBorders>
            <w:shd w:val="clear" w:color="auto" w:fill="FFFFFF"/>
            <w:vAlign w:val="bottom"/>
          </w:tcPr>
          <w:p w14:paraId="3896E1CC" w14:textId="77777777" w:rsidR="00B0507B" w:rsidRPr="00C041E9" w:rsidRDefault="00B0507B">
            <w:pPr>
              <w:spacing w:after="0" w:line="240" w:lineRule="auto"/>
              <w:jc w:val="center"/>
              <w:rPr>
                <w:rFonts w:asciiTheme="minorHAnsi" w:hAnsiTheme="minorHAnsi"/>
                <w:sz w:val="18"/>
                <w:szCs w:val="18"/>
              </w:rPr>
            </w:pPr>
          </w:p>
        </w:tc>
        <w:tc>
          <w:tcPr>
            <w:tcW w:w="1046" w:type="dxa"/>
            <w:tcBorders>
              <w:top w:val="nil"/>
              <w:bottom w:val="nil"/>
              <w:right w:val="single" w:sz="4" w:space="0" w:color="000000"/>
            </w:tcBorders>
            <w:shd w:val="clear" w:color="auto" w:fill="FFFFFF"/>
            <w:vAlign w:val="bottom"/>
          </w:tcPr>
          <w:p w14:paraId="0F612EA5" w14:textId="77777777" w:rsidR="00B0507B" w:rsidRPr="00C041E9" w:rsidRDefault="00B0507B">
            <w:pPr>
              <w:spacing w:after="0" w:line="240" w:lineRule="auto"/>
              <w:jc w:val="center"/>
              <w:rPr>
                <w:rFonts w:asciiTheme="minorHAnsi" w:hAnsiTheme="minorHAnsi"/>
                <w:sz w:val="18"/>
                <w:szCs w:val="18"/>
              </w:rPr>
            </w:pPr>
          </w:p>
        </w:tc>
      </w:tr>
      <w:tr w:rsidR="00B0507B" w:rsidRPr="00C041E9" w14:paraId="45B2DC92"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2D8D8A5C" w14:textId="77777777" w:rsidR="00B0507B" w:rsidRPr="00C041E9" w:rsidRDefault="00A821BA">
            <w:pPr>
              <w:spacing w:after="0" w:line="240" w:lineRule="auto"/>
              <w:jc w:val="left"/>
              <w:rPr>
                <w:rFonts w:asciiTheme="minorHAnsi" w:hAnsiTheme="minorHAnsi"/>
                <w:sz w:val="18"/>
                <w:szCs w:val="18"/>
              </w:rPr>
            </w:pPr>
            <w:r w:rsidRPr="00C041E9">
              <w:rPr>
                <w:rFonts w:asciiTheme="minorHAnsi" w:eastAsia="Times New Roman" w:hAnsiTheme="minorHAnsi" w:cs="Times New Roman"/>
                <w:sz w:val="18"/>
                <w:szCs w:val="18"/>
              </w:rPr>
              <w:t>American Indian/Native American</w:t>
            </w:r>
          </w:p>
        </w:tc>
        <w:tc>
          <w:tcPr>
            <w:tcW w:w="1176" w:type="dxa"/>
            <w:tcBorders>
              <w:top w:val="nil"/>
              <w:left w:val="single" w:sz="4" w:space="0" w:color="000000"/>
              <w:bottom w:val="nil"/>
              <w:right w:val="single" w:sz="4" w:space="0" w:color="000000"/>
            </w:tcBorders>
            <w:shd w:val="clear" w:color="auto" w:fill="FFFFFF"/>
            <w:vAlign w:val="center"/>
          </w:tcPr>
          <w:p w14:paraId="2A01AFC2"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1.086</w:t>
            </w:r>
          </w:p>
        </w:tc>
        <w:tc>
          <w:tcPr>
            <w:tcW w:w="1617" w:type="dxa"/>
            <w:tcBorders>
              <w:top w:val="nil"/>
              <w:left w:val="single" w:sz="4" w:space="0" w:color="000000"/>
              <w:bottom w:val="nil"/>
              <w:right w:val="single" w:sz="4" w:space="0" w:color="000000"/>
            </w:tcBorders>
            <w:shd w:val="clear" w:color="auto" w:fill="FFFFFF"/>
            <w:vAlign w:val="center"/>
          </w:tcPr>
          <w:p w14:paraId="1DC07221"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0.437</w:t>
            </w:r>
          </w:p>
        </w:tc>
        <w:tc>
          <w:tcPr>
            <w:tcW w:w="1155" w:type="dxa"/>
            <w:tcBorders>
              <w:top w:val="nil"/>
              <w:left w:val="single" w:sz="4" w:space="0" w:color="000000"/>
              <w:bottom w:val="nil"/>
            </w:tcBorders>
            <w:shd w:val="clear" w:color="auto" w:fill="FFFFFF"/>
            <w:vAlign w:val="center"/>
          </w:tcPr>
          <w:p w14:paraId="7AE72EDB"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0.494</w:t>
            </w:r>
          </w:p>
        </w:tc>
        <w:tc>
          <w:tcPr>
            <w:tcW w:w="1046" w:type="dxa"/>
            <w:tcBorders>
              <w:top w:val="nil"/>
              <w:bottom w:val="nil"/>
              <w:right w:val="single" w:sz="4" w:space="0" w:color="000000"/>
            </w:tcBorders>
            <w:shd w:val="clear" w:color="auto" w:fill="FFFFFF"/>
            <w:vAlign w:val="center"/>
          </w:tcPr>
          <w:p w14:paraId="11FD83B8"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2.388</w:t>
            </w:r>
          </w:p>
        </w:tc>
      </w:tr>
      <w:tr w:rsidR="00B0507B" w:rsidRPr="00C041E9" w14:paraId="563413E9"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79C4A5C0" w14:textId="77777777" w:rsidR="00B0507B" w:rsidRPr="00C041E9" w:rsidRDefault="00A821BA">
            <w:pPr>
              <w:spacing w:after="0" w:line="240" w:lineRule="auto"/>
              <w:jc w:val="left"/>
              <w:rPr>
                <w:rFonts w:asciiTheme="minorHAnsi" w:hAnsiTheme="minorHAnsi"/>
                <w:sz w:val="18"/>
                <w:szCs w:val="18"/>
              </w:rPr>
            </w:pPr>
            <w:r w:rsidRPr="00C041E9">
              <w:rPr>
                <w:rFonts w:asciiTheme="minorHAnsi" w:eastAsia="Times New Roman" w:hAnsiTheme="minorHAnsi" w:cs="Times New Roman"/>
                <w:sz w:val="18"/>
                <w:szCs w:val="18"/>
              </w:rPr>
              <w:t>Asian</w:t>
            </w:r>
          </w:p>
        </w:tc>
        <w:tc>
          <w:tcPr>
            <w:tcW w:w="1176" w:type="dxa"/>
            <w:tcBorders>
              <w:top w:val="nil"/>
              <w:left w:val="single" w:sz="4" w:space="0" w:color="000000"/>
              <w:bottom w:val="nil"/>
              <w:right w:val="single" w:sz="4" w:space="0" w:color="000000"/>
            </w:tcBorders>
            <w:shd w:val="clear" w:color="auto" w:fill="FFFFFF"/>
            <w:vAlign w:val="center"/>
          </w:tcPr>
          <w:p w14:paraId="0817B95B"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1.191</w:t>
            </w:r>
          </w:p>
        </w:tc>
        <w:tc>
          <w:tcPr>
            <w:tcW w:w="1617" w:type="dxa"/>
            <w:tcBorders>
              <w:top w:val="nil"/>
              <w:left w:val="single" w:sz="4" w:space="0" w:color="000000"/>
              <w:bottom w:val="nil"/>
              <w:right w:val="single" w:sz="4" w:space="0" w:color="000000"/>
            </w:tcBorders>
            <w:shd w:val="clear" w:color="auto" w:fill="FFFFFF"/>
            <w:vAlign w:val="center"/>
          </w:tcPr>
          <w:p w14:paraId="112E7C41"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0.396</w:t>
            </w:r>
          </w:p>
        </w:tc>
        <w:tc>
          <w:tcPr>
            <w:tcW w:w="1155" w:type="dxa"/>
            <w:tcBorders>
              <w:top w:val="nil"/>
              <w:left w:val="single" w:sz="4" w:space="0" w:color="000000"/>
              <w:bottom w:val="nil"/>
            </w:tcBorders>
            <w:shd w:val="clear" w:color="auto" w:fill="FFFFFF"/>
            <w:vAlign w:val="center"/>
          </w:tcPr>
          <w:p w14:paraId="3F6172D3"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0.621</w:t>
            </w:r>
          </w:p>
        </w:tc>
        <w:tc>
          <w:tcPr>
            <w:tcW w:w="1046" w:type="dxa"/>
            <w:tcBorders>
              <w:top w:val="nil"/>
              <w:bottom w:val="nil"/>
              <w:right w:val="single" w:sz="4" w:space="0" w:color="000000"/>
            </w:tcBorders>
            <w:shd w:val="clear" w:color="auto" w:fill="FFFFFF"/>
            <w:vAlign w:val="center"/>
          </w:tcPr>
          <w:p w14:paraId="187EDEBF"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0.284</w:t>
            </w:r>
          </w:p>
        </w:tc>
      </w:tr>
      <w:tr w:rsidR="00B0507B" w:rsidRPr="00C041E9" w14:paraId="482DDD96"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26ECB946" w14:textId="77777777" w:rsidR="00B0507B" w:rsidRPr="00C041E9" w:rsidRDefault="00A821BA">
            <w:pPr>
              <w:spacing w:after="0" w:line="240" w:lineRule="auto"/>
              <w:jc w:val="left"/>
              <w:rPr>
                <w:rFonts w:asciiTheme="minorHAnsi" w:hAnsiTheme="minorHAnsi"/>
                <w:sz w:val="18"/>
                <w:szCs w:val="18"/>
              </w:rPr>
            </w:pPr>
            <w:r w:rsidRPr="00C041E9">
              <w:rPr>
                <w:rFonts w:asciiTheme="minorHAnsi" w:eastAsia="Times New Roman" w:hAnsiTheme="minorHAnsi" w:cs="Times New Roman"/>
                <w:sz w:val="18"/>
                <w:szCs w:val="18"/>
              </w:rPr>
              <w:t>Black/African American</w:t>
            </w:r>
          </w:p>
        </w:tc>
        <w:tc>
          <w:tcPr>
            <w:tcW w:w="1176" w:type="dxa"/>
            <w:tcBorders>
              <w:top w:val="nil"/>
              <w:left w:val="single" w:sz="4" w:space="0" w:color="000000"/>
              <w:bottom w:val="nil"/>
              <w:right w:val="single" w:sz="4" w:space="0" w:color="000000"/>
            </w:tcBorders>
            <w:shd w:val="clear" w:color="auto" w:fill="FFFFFF"/>
            <w:vAlign w:val="center"/>
          </w:tcPr>
          <w:p w14:paraId="628C6DEC"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1.000</w:t>
            </w:r>
          </w:p>
        </w:tc>
        <w:tc>
          <w:tcPr>
            <w:tcW w:w="1617" w:type="dxa"/>
            <w:tcBorders>
              <w:top w:val="nil"/>
              <w:left w:val="single" w:sz="4" w:space="0" w:color="000000"/>
              <w:bottom w:val="nil"/>
              <w:right w:val="single" w:sz="4" w:space="0" w:color="000000"/>
            </w:tcBorders>
            <w:shd w:val="clear" w:color="auto" w:fill="FFFFFF"/>
            <w:vAlign w:val="center"/>
          </w:tcPr>
          <w:p w14:paraId="4061D91E"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0.180</w:t>
            </w:r>
          </w:p>
        </w:tc>
        <w:tc>
          <w:tcPr>
            <w:tcW w:w="1155" w:type="dxa"/>
            <w:tcBorders>
              <w:top w:val="nil"/>
              <w:left w:val="single" w:sz="4" w:space="0" w:color="000000"/>
              <w:bottom w:val="nil"/>
            </w:tcBorders>
            <w:shd w:val="clear" w:color="auto" w:fill="FFFFFF"/>
            <w:vAlign w:val="center"/>
          </w:tcPr>
          <w:p w14:paraId="04D31A56"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0.705</w:t>
            </w:r>
          </w:p>
        </w:tc>
        <w:tc>
          <w:tcPr>
            <w:tcW w:w="1046" w:type="dxa"/>
            <w:tcBorders>
              <w:top w:val="nil"/>
              <w:bottom w:val="nil"/>
              <w:right w:val="single" w:sz="4" w:space="0" w:color="000000"/>
            </w:tcBorders>
            <w:shd w:val="clear" w:color="auto" w:fill="FFFFFF"/>
            <w:vAlign w:val="center"/>
          </w:tcPr>
          <w:p w14:paraId="31A5FED4"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1.426</w:t>
            </w:r>
          </w:p>
        </w:tc>
      </w:tr>
      <w:tr w:rsidR="00B0507B" w:rsidRPr="00C041E9" w14:paraId="492A82A6"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229AA3C7" w14:textId="77777777" w:rsidR="00B0507B" w:rsidRPr="00C041E9" w:rsidRDefault="00A821BA">
            <w:pPr>
              <w:spacing w:after="0" w:line="240" w:lineRule="auto"/>
              <w:jc w:val="left"/>
              <w:rPr>
                <w:rFonts w:asciiTheme="minorHAnsi" w:hAnsiTheme="minorHAnsi"/>
                <w:sz w:val="18"/>
                <w:szCs w:val="18"/>
              </w:rPr>
            </w:pPr>
            <w:r w:rsidRPr="00C041E9">
              <w:rPr>
                <w:rFonts w:asciiTheme="minorHAnsi" w:eastAsia="Times New Roman" w:hAnsiTheme="minorHAnsi" w:cs="Times New Roman"/>
                <w:sz w:val="18"/>
                <w:szCs w:val="18"/>
              </w:rPr>
              <w:t>Other Race</w:t>
            </w:r>
          </w:p>
        </w:tc>
        <w:tc>
          <w:tcPr>
            <w:tcW w:w="1176" w:type="dxa"/>
            <w:tcBorders>
              <w:top w:val="nil"/>
              <w:left w:val="single" w:sz="4" w:space="0" w:color="000000"/>
              <w:bottom w:val="nil"/>
              <w:right w:val="single" w:sz="4" w:space="0" w:color="000000"/>
            </w:tcBorders>
            <w:shd w:val="clear" w:color="auto" w:fill="FFFFFF"/>
            <w:vAlign w:val="center"/>
          </w:tcPr>
          <w:p w14:paraId="2189CC6E"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0.511</w:t>
            </w:r>
            <w:r w:rsidRPr="009218CA">
              <w:rPr>
                <w:rFonts w:asciiTheme="minorHAnsi" w:eastAsia="Times New Roman" w:hAnsiTheme="minorHAnsi" w:cs="Times New Roman"/>
                <w:sz w:val="20"/>
                <w:szCs w:val="18"/>
              </w:rPr>
              <w:t>*</w:t>
            </w:r>
          </w:p>
        </w:tc>
        <w:tc>
          <w:tcPr>
            <w:tcW w:w="1617" w:type="dxa"/>
            <w:tcBorders>
              <w:top w:val="nil"/>
              <w:left w:val="single" w:sz="4" w:space="0" w:color="000000"/>
              <w:bottom w:val="nil"/>
              <w:right w:val="single" w:sz="4" w:space="0" w:color="000000"/>
            </w:tcBorders>
            <w:shd w:val="clear" w:color="auto" w:fill="FFFFFF"/>
            <w:vAlign w:val="center"/>
          </w:tcPr>
          <w:p w14:paraId="3E746836"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0.172</w:t>
            </w:r>
          </w:p>
        </w:tc>
        <w:tc>
          <w:tcPr>
            <w:tcW w:w="1155" w:type="dxa"/>
            <w:tcBorders>
              <w:top w:val="nil"/>
              <w:left w:val="single" w:sz="4" w:space="0" w:color="000000"/>
              <w:bottom w:val="nil"/>
            </w:tcBorders>
            <w:shd w:val="clear" w:color="auto" w:fill="FFFFFF"/>
            <w:vAlign w:val="center"/>
          </w:tcPr>
          <w:p w14:paraId="12CEA7B4"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0.264</w:t>
            </w:r>
          </w:p>
        </w:tc>
        <w:tc>
          <w:tcPr>
            <w:tcW w:w="1046" w:type="dxa"/>
            <w:tcBorders>
              <w:top w:val="nil"/>
              <w:bottom w:val="nil"/>
              <w:right w:val="single" w:sz="4" w:space="0" w:color="000000"/>
            </w:tcBorders>
            <w:shd w:val="clear" w:color="auto" w:fill="FFFFFF"/>
            <w:vAlign w:val="center"/>
          </w:tcPr>
          <w:p w14:paraId="1D044DD4"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0.988</w:t>
            </w:r>
          </w:p>
        </w:tc>
      </w:tr>
      <w:tr w:rsidR="00B0507B" w:rsidRPr="00C041E9" w14:paraId="4BCD0153"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7EE302D3" w14:textId="77777777" w:rsidR="00B0507B" w:rsidRPr="00C041E9" w:rsidRDefault="00A821BA">
            <w:pPr>
              <w:spacing w:after="0" w:line="240" w:lineRule="auto"/>
              <w:jc w:val="left"/>
              <w:rPr>
                <w:rFonts w:asciiTheme="minorHAnsi" w:hAnsiTheme="minorHAnsi"/>
                <w:sz w:val="18"/>
                <w:szCs w:val="18"/>
              </w:rPr>
            </w:pPr>
            <w:r w:rsidRPr="00C041E9">
              <w:rPr>
                <w:rFonts w:asciiTheme="minorHAnsi" w:eastAsia="Times New Roman" w:hAnsiTheme="minorHAnsi" w:cs="Times New Roman"/>
                <w:i/>
                <w:sz w:val="18"/>
                <w:szCs w:val="18"/>
              </w:rPr>
              <w:t>Marital Status (Reference: Married)</w:t>
            </w:r>
          </w:p>
        </w:tc>
        <w:tc>
          <w:tcPr>
            <w:tcW w:w="1176" w:type="dxa"/>
            <w:tcBorders>
              <w:top w:val="nil"/>
              <w:left w:val="single" w:sz="4" w:space="0" w:color="000000"/>
              <w:bottom w:val="nil"/>
              <w:right w:val="single" w:sz="4" w:space="0" w:color="000000"/>
            </w:tcBorders>
            <w:shd w:val="clear" w:color="auto" w:fill="FFFFFF"/>
            <w:vAlign w:val="bottom"/>
          </w:tcPr>
          <w:p w14:paraId="65F067C3" w14:textId="77777777" w:rsidR="00B0507B" w:rsidRPr="00C041E9" w:rsidRDefault="00B0507B">
            <w:pPr>
              <w:spacing w:after="0" w:line="240" w:lineRule="auto"/>
              <w:jc w:val="center"/>
              <w:rPr>
                <w:rFonts w:asciiTheme="minorHAnsi" w:hAnsiTheme="minorHAnsi"/>
                <w:sz w:val="18"/>
                <w:szCs w:val="18"/>
              </w:rPr>
            </w:pPr>
          </w:p>
        </w:tc>
        <w:tc>
          <w:tcPr>
            <w:tcW w:w="1617" w:type="dxa"/>
            <w:tcBorders>
              <w:top w:val="nil"/>
              <w:left w:val="single" w:sz="4" w:space="0" w:color="000000"/>
              <w:bottom w:val="nil"/>
              <w:right w:val="single" w:sz="4" w:space="0" w:color="000000"/>
            </w:tcBorders>
            <w:shd w:val="clear" w:color="auto" w:fill="FFFFFF"/>
            <w:vAlign w:val="bottom"/>
          </w:tcPr>
          <w:p w14:paraId="52C9A1A5" w14:textId="77777777" w:rsidR="00B0507B" w:rsidRPr="00C041E9" w:rsidRDefault="00B0507B">
            <w:pPr>
              <w:spacing w:after="0" w:line="240" w:lineRule="auto"/>
              <w:jc w:val="center"/>
              <w:rPr>
                <w:rFonts w:asciiTheme="minorHAnsi" w:hAnsiTheme="minorHAnsi"/>
                <w:sz w:val="18"/>
                <w:szCs w:val="18"/>
              </w:rPr>
            </w:pPr>
          </w:p>
        </w:tc>
        <w:tc>
          <w:tcPr>
            <w:tcW w:w="1155" w:type="dxa"/>
            <w:tcBorders>
              <w:top w:val="nil"/>
              <w:left w:val="single" w:sz="4" w:space="0" w:color="000000"/>
              <w:bottom w:val="nil"/>
            </w:tcBorders>
            <w:shd w:val="clear" w:color="auto" w:fill="FFFFFF"/>
            <w:vAlign w:val="bottom"/>
          </w:tcPr>
          <w:p w14:paraId="1C4B0FCF" w14:textId="77777777" w:rsidR="00B0507B" w:rsidRPr="00C041E9" w:rsidRDefault="00B0507B">
            <w:pPr>
              <w:spacing w:after="0" w:line="240" w:lineRule="auto"/>
              <w:jc w:val="center"/>
              <w:rPr>
                <w:rFonts w:asciiTheme="minorHAnsi" w:hAnsiTheme="minorHAnsi"/>
                <w:sz w:val="18"/>
                <w:szCs w:val="18"/>
              </w:rPr>
            </w:pPr>
          </w:p>
        </w:tc>
        <w:tc>
          <w:tcPr>
            <w:tcW w:w="1046" w:type="dxa"/>
            <w:tcBorders>
              <w:top w:val="nil"/>
              <w:bottom w:val="nil"/>
              <w:right w:val="single" w:sz="4" w:space="0" w:color="000000"/>
            </w:tcBorders>
            <w:shd w:val="clear" w:color="auto" w:fill="FFFFFF"/>
            <w:vAlign w:val="bottom"/>
          </w:tcPr>
          <w:p w14:paraId="06AA3C03" w14:textId="77777777" w:rsidR="00B0507B" w:rsidRPr="00C041E9" w:rsidRDefault="00B0507B">
            <w:pPr>
              <w:spacing w:after="0" w:line="240" w:lineRule="auto"/>
              <w:jc w:val="center"/>
              <w:rPr>
                <w:rFonts w:asciiTheme="minorHAnsi" w:hAnsiTheme="minorHAnsi"/>
                <w:sz w:val="18"/>
                <w:szCs w:val="18"/>
              </w:rPr>
            </w:pPr>
          </w:p>
        </w:tc>
      </w:tr>
      <w:tr w:rsidR="00B0507B" w:rsidRPr="00C041E9" w14:paraId="603966D5"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12B8BCE0" w14:textId="77777777" w:rsidR="00B0507B" w:rsidRPr="00C041E9" w:rsidRDefault="00A821BA">
            <w:pPr>
              <w:spacing w:after="0" w:line="240" w:lineRule="auto"/>
              <w:jc w:val="left"/>
              <w:rPr>
                <w:rFonts w:asciiTheme="minorHAnsi" w:hAnsiTheme="minorHAnsi"/>
                <w:sz w:val="18"/>
                <w:szCs w:val="18"/>
              </w:rPr>
            </w:pPr>
            <w:r w:rsidRPr="00C041E9">
              <w:rPr>
                <w:rFonts w:asciiTheme="minorHAnsi" w:eastAsia="Times New Roman" w:hAnsiTheme="minorHAnsi" w:cs="Times New Roman"/>
                <w:sz w:val="18"/>
                <w:szCs w:val="18"/>
              </w:rPr>
              <w:t>Living with Partner</w:t>
            </w:r>
          </w:p>
        </w:tc>
        <w:tc>
          <w:tcPr>
            <w:tcW w:w="1176" w:type="dxa"/>
            <w:tcBorders>
              <w:top w:val="nil"/>
              <w:left w:val="single" w:sz="4" w:space="0" w:color="000000"/>
              <w:bottom w:val="nil"/>
              <w:right w:val="single" w:sz="4" w:space="0" w:color="000000"/>
            </w:tcBorders>
            <w:shd w:val="clear" w:color="auto" w:fill="FFFFFF"/>
            <w:vAlign w:val="center"/>
          </w:tcPr>
          <w:p w14:paraId="54328A2E"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1.134</w:t>
            </w:r>
          </w:p>
        </w:tc>
        <w:tc>
          <w:tcPr>
            <w:tcW w:w="1617" w:type="dxa"/>
            <w:tcBorders>
              <w:top w:val="nil"/>
              <w:left w:val="single" w:sz="4" w:space="0" w:color="000000"/>
              <w:bottom w:val="nil"/>
              <w:right w:val="single" w:sz="4" w:space="0" w:color="000000"/>
            </w:tcBorders>
            <w:shd w:val="clear" w:color="auto" w:fill="FFFFFF"/>
            <w:vAlign w:val="center"/>
          </w:tcPr>
          <w:p w14:paraId="31EBF861"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0.286</w:t>
            </w:r>
          </w:p>
        </w:tc>
        <w:tc>
          <w:tcPr>
            <w:tcW w:w="1155" w:type="dxa"/>
            <w:tcBorders>
              <w:top w:val="nil"/>
              <w:left w:val="single" w:sz="4" w:space="0" w:color="000000"/>
              <w:bottom w:val="nil"/>
            </w:tcBorders>
            <w:shd w:val="clear" w:color="auto" w:fill="FFFFFF"/>
            <w:vAlign w:val="center"/>
          </w:tcPr>
          <w:p w14:paraId="44A469C5"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0.692</w:t>
            </w:r>
          </w:p>
        </w:tc>
        <w:tc>
          <w:tcPr>
            <w:tcW w:w="1046" w:type="dxa"/>
            <w:tcBorders>
              <w:top w:val="nil"/>
              <w:bottom w:val="nil"/>
              <w:right w:val="single" w:sz="4" w:space="0" w:color="000000"/>
            </w:tcBorders>
            <w:shd w:val="clear" w:color="auto" w:fill="FFFFFF"/>
            <w:vAlign w:val="center"/>
          </w:tcPr>
          <w:p w14:paraId="727A7DCF"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1.858</w:t>
            </w:r>
          </w:p>
        </w:tc>
      </w:tr>
      <w:tr w:rsidR="00B0507B" w:rsidRPr="00C041E9" w14:paraId="2C423685" w14:textId="77777777" w:rsidTr="00567FA7">
        <w:trPr>
          <w:trHeight w:val="280"/>
          <w:jc w:val="center"/>
        </w:trPr>
        <w:tc>
          <w:tcPr>
            <w:tcW w:w="5482" w:type="dxa"/>
            <w:tcBorders>
              <w:top w:val="nil"/>
              <w:left w:val="single" w:sz="4" w:space="0" w:color="000000"/>
              <w:right w:val="single" w:sz="4" w:space="0" w:color="000000"/>
            </w:tcBorders>
            <w:shd w:val="clear" w:color="auto" w:fill="FFFFFF"/>
            <w:vAlign w:val="center"/>
          </w:tcPr>
          <w:p w14:paraId="152AE44E" w14:textId="77777777" w:rsidR="00B0507B" w:rsidRPr="00C041E9" w:rsidRDefault="00A821BA">
            <w:pPr>
              <w:spacing w:after="0" w:line="240" w:lineRule="auto"/>
              <w:jc w:val="left"/>
              <w:rPr>
                <w:rFonts w:asciiTheme="minorHAnsi" w:hAnsiTheme="minorHAnsi"/>
                <w:sz w:val="18"/>
                <w:szCs w:val="18"/>
              </w:rPr>
            </w:pPr>
            <w:r w:rsidRPr="00C041E9">
              <w:rPr>
                <w:rFonts w:asciiTheme="minorHAnsi" w:eastAsia="Times New Roman" w:hAnsiTheme="minorHAnsi" w:cs="Times New Roman"/>
                <w:sz w:val="18"/>
                <w:szCs w:val="18"/>
              </w:rPr>
              <w:t>Separated</w:t>
            </w:r>
          </w:p>
        </w:tc>
        <w:tc>
          <w:tcPr>
            <w:tcW w:w="1176" w:type="dxa"/>
            <w:tcBorders>
              <w:top w:val="nil"/>
              <w:left w:val="single" w:sz="4" w:space="0" w:color="000000"/>
              <w:right w:val="single" w:sz="4" w:space="0" w:color="000000"/>
            </w:tcBorders>
            <w:shd w:val="clear" w:color="auto" w:fill="FFFFFF"/>
            <w:vAlign w:val="center"/>
          </w:tcPr>
          <w:p w14:paraId="29853F88"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1.942</w:t>
            </w:r>
          </w:p>
        </w:tc>
        <w:tc>
          <w:tcPr>
            <w:tcW w:w="1617" w:type="dxa"/>
            <w:tcBorders>
              <w:top w:val="nil"/>
              <w:left w:val="single" w:sz="4" w:space="0" w:color="000000"/>
              <w:right w:val="single" w:sz="4" w:space="0" w:color="000000"/>
            </w:tcBorders>
            <w:shd w:val="clear" w:color="auto" w:fill="FFFFFF"/>
            <w:vAlign w:val="center"/>
          </w:tcPr>
          <w:p w14:paraId="77E30AE9"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0.819</w:t>
            </w:r>
          </w:p>
        </w:tc>
        <w:tc>
          <w:tcPr>
            <w:tcW w:w="1155" w:type="dxa"/>
            <w:tcBorders>
              <w:top w:val="nil"/>
              <w:left w:val="single" w:sz="4" w:space="0" w:color="000000"/>
            </w:tcBorders>
            <w:shd w:val="clear" w:color="auto" w:fill="FFFFFF"/>
            <w:vAlign w:val="center"/>
          </w:tcPr>
          <w:p w14:paraId="5C2689EC"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0.850</w:t>
            </w:r>
          </w:p>
        </w:tc>
        <w:tc>
          <w:tcPr>
            <w:tcW w:w="1046" w:type="dxa"/>
            <w:tcBorders>
              <w:top w:val="nil"/>
              <w:right w:val="single" w:sz="4" w:space="0" w:color="000000"/>
            </w:tcBorders>
            <w:shd w:val="clear" w:color="auto" w:fill="FFFFFF"/>
            <w:vAlign w:val="center"/>
          </w:tcPr>
          <w:p w14:paraId="4D86178C"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4.441</w:t>
            </w:r>
          </w:p>
        </w:tc>
      </w:tr>
      <w:tr w:rsidR="00B0507B" w:rsidRPr="00C041E9" w14:paraId="2FDB6B37" w14:textId="77777777" w:rsidTr="00567FA7">
        <w:trPr>
          <w:trHeight w:val="280"/>
          <w:jc w:val="center"/>
        </w:trPr>
        <w:tc>
          <w:tcPr>
            <w:tcW w:w="5482" w:type="dxa"/>
            <w:tcBorders>
              <w:top w:val="nil"/>
              <w:left w:val="single" w:sz="4" w:space="0" w:color="000000"/>
              <w:bottom w:val="single" w:sz="4" w:space="0" w:color="auto"/>
              <w:right w:val="single" w:sz="4" w:space="0" w:color="000000"/>
            </w:tcBorders>
            <w:shd w:val="clear" w:color="auto" w:fill="FFFFFF"/>
            <w:vAlign w:val="center"/>
          </w:tcPr>
          <w:p w14:paraId="03324BEF" w14:textId="77777777" w:rsidR="00B0507B" w:rsidRPr="00C041E9" w:rsidRDefault="00A821BA">
            <w:pPr>
              <w:spacing w:after="0" w:line="240" w:lineRule="auto"/>
              <w:jc w:val="left"/>
              <w:rPr>
                <w:rFonts w:asciiTheme="minorHAnsi" w:hAnsiTheme="minorHAnsi"/>
                <w:sz w:val="18"/>
                <w:szCs w:val="18"/>
              </w:rPr>
            </w:pPr>
            <w:r w:rsidRPr="00C041E9">
              <w:rPr>
                <w:rFonts w:asciiTheme="minorHAnsi" w:eastAsia="Times New Roman" w:hAnsiTheme="minorHAnsi" w:cs="Times New Roman"/>
                <w:sz w:val="18"/>
                <w:szCs w:val="18"/>
              </w:rPr>
              <w:t>Divorced</w:t>
            </w:r>
          </w:p>
        </w:tc>
        <w:tc>
          <w:tcPr>
            <w:tcW w:w="1176" w:type="dxa"/>
            <w:tcBorders>
              <w:top w:val="nil"/>
              <w:left w:val="single" w:sz="4" w:space="0" w:color="000000"/>
              <w:bottom w:val="single" w:sz="4" w:space="0" w:color="auto"/>
              <w:right w:val="single" w:sz="4" w:space="0" w:color="000000"/>
            </w:tcBorders>
            <w:shd w:val="clear" w:color="auto" w:fill="FFFFFF"/>
            <w:vAlign w:val="center"/>
          </w:tcPr>
          <w:p w14:paraId="3B97CB78"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1.090</w:t>
            </w:r>
          </w:p>
        </w:tc>
        <w:tc>
          <w:tcPr>
            <w:tcW w:w="1617" w:type="dxa"/>
            <w:tcBorders>
              <w:top w:val="nil"/>
              <w:left w:val="single" w:sz="4" w:space="0" w:color="000000"/>
              <w:bottom w:val="single" w:sz="4" w:space="0" w:color="auto"/>
              <w:right w:val="single" w:sz="4" w:space="0" w:color="000000"/>
            </w:tcBorders>
            <w:shd w:val="clear" w:color="auto" w:fill="FFFFFF"/>
            <w:vAlign w:val="center"/>
          </w:tcPr>
          <w:p w14:paraId="4965848D"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0.204</w:t>
            </w:r>
          </w:p>
        </w:tc>
        <w:tc>
          <w:tcPr>
            <w:tcW w:w="1155" w:type="dxa"/>
            <w:tcBorders>
              <w:top w:val="nil"/>
              <w:left w:val="single" w:sz="4" w:space="0" w:color="000000"/>
              <w:bottom w:val="single" w:sz="4" w:space="0" w:color="auto"/>
            </w:tcBorders>
            <w:shd w:val="clear" w:color="auto" w:fill="FFFFFF"/>
            <w:vAlign w:val="center"/>
          </w:tcPr>
          <w:p w14:paraId="569AEA6A"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0.755</w:t>
            </w:r>
          </w:p>
        </w:tc>
        <w:tc>
          <w:tcPr>
            <w:tcW w:w="1046" w:type="dxa"/>
            <w:tcBorders>
              <w:top w:val="nil"/>
              <w:bottom w:val="single" w:sz="4" w:space="0" w:color="auto"/>
              <w:right w:val="single" w:sz="4" w:space="0" w:color="000000"/>
            </w:tcBorders>
            <w:shd w:val="clear" w:color="auto" w:fill="FFFFFF"/>
            <w:vAlign w:val="center"/>
          </w:tcPr>
          <w:p w14:paraId="101FD281"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1.574</w:t>
            </w:r>
          </w:p>
        </w:tc>
      </w:tr>
    </w:tbl>
    <w:p w14:paraId="0FACFA58" w14:textId="77777777" w:rsidR="00764D76" w:rsidRDefault="00764D76">
      <w:r>
        <w:br w:type="page"/>
      </w:r>
    </w:p>
    <w:tbl>
      <w:tblPr>
        <w:tblStyle w:val="a"/>
        <w:tblW w:w="10476" w:type="dxa"/>
        <w:jc w:val="center"/>
        <w:tblLayout w:type="fixed"/>
        <w:tblLook w:val="0400" w:firstRow="0" w:lastRow="0" w:firstColumn="0" w:lastColumn="0" w:noHBand="0" w:noVBand="1"/>
      </w:tblPr>
      <w:tblGrid>
        <w:gridCol w:w="5482"/>
        <w:gridCol w:w="1176"/>
        <w:gridCol w:w="1617"/>
        <w:gridCol w:w="1155"/>
        <w:gridCol w:w="1046"/>
      </w:tblGrid>
      <w:tr w:rsidR="00A03BD1" w:rsidRPr="00C041E9" w14:paraId="682B0A03"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820024"/>
            <w:vAlign w:val="center"/>
          </w:tcPr>
          <w:p w14:paraId="7A0CC1E1" w14:textId="77777777" w:rsidR="00A03BD1" w:rsidRPr="00C041E9" w:rsidRDefault="00A03BD1">
            <w:pPr>
              <w:spacing w:after="0" w:line="240" w:lineRule="auto"/>
              <w:jc w:val="left"/>
              <w:rPr>
                <w:rFonts w:asciiTheme="minorHAnsi" w:eastAsia="Times New Roman" w:hAnsiTheme="minorHAnsi" w:cs="Times New Roman"/>
                <w:sz w:val="18"/>
                <w:szCs w:val="18"/>
              </w:rPr>
            </w:pPr>
          </w:p>
        </w:tc>
        <w:tc>
          <w:tcPr>
            <w:tcW w:w="1176" w:type="dxa"/>
            <w:tcBorders>
              <w:top w:val="nil"/>
              <w:left w:val="single" w:sz="4" w:space="0" w:color="000000"/>
              <w:bottom w:val="nil"/>
              <w:right w:val="single" w:sz="4" w:space="0" w:color="000000"/>
            </w:tcBorders>
            <w:shd w:val="clear" w:color="auto" w:fill="820024"/>
            <w:vAlign w:val="center"/>
          </w:tcPr>
          <w:p w14:paraId="5676D29E" w14:textId="77777777" w:rsidR="00A03BD1" w:rsidRPr="00C041E9" w:rsidRDefault="00A03BD1">
            <w:pPr>
              <w:spacing w:after="0" w:line="240" w:lineRule="auto"/>
              <w:jc w:val="center"/>
              <w:rPr>
                <w:rFonts w:asciiTheme="minorHAnsi" w:eastAsia="Times New Roman" w:hAnsiTheme="minorHAnsi" w:cs="Times New Roman"/>
                <w:sz w:val="18"/>
                <w:szCs w:val="18"/>
              </w:rPr>
            </w:pPr>
            <w:r w:rsidRPr="00C041E9">
              <w:rPr>
                <w:rFonts w:asciiTheme="minorHAnsi" w:eastAsia="Times New Roman" w:hAnsiTheme="minorHAnsi" w:cs="Times New Roman"/>
                <w:b/>
                <w:color w:val="FFFFFF"/>
                <w:sz w:val="18"/>
                <w:szCs w:val="18"/>
              </w:rPr>
              <w:t>Odds Ratio</w:t>
            </w:r>
          </w:p>
        </w:tc>
        <w:tc>
          <w:tcPr>
            <w:tcW w:w="1617" w:type="dxa"/>
            <w:tcBorders>
              <w:top w:val="nil"/>
              <w:left w:val="single" w:sz="4" w:space="0" w:color="000000"/>
              <w:bottom w:val="nil"/>
              <w:right w:val="single" w:sz="4" w:space="0" w:color="000000"/>
            </w:tcBorders>
            <w:shd w:val="clear" w:color="auto" w:fill="820024"/>
            <w:vAlign w:val="center"/>
          </w:tcPr>
          <w:p w14:paraId="277AD73C" w14:textId="77777777" w:rsidR="00A03BD1" w:rsidRPr="00C041E9" w:rsidRDefault="00A03BD1">
            <w:pPr>
              <w:spacing w:after="0" w:line="240" w:lineRule="auto"/>
              <w:jc w:val="center"/>
              <w:rPr>
                <w:rFonts w:asciiTheme="minorHAnsi" w:eastAsia="Times New Roman" w:hAnsiTheme="minorHAnsi" w:cs="Times New Roman"/>
                <w:sz w:val="18"/>
                <w:szCs w:val="18"/>
              </w:rPr>
            </w:pPr>
            <w:r w:rsidRPr="00C041E9">
              <w:rPr>
                <w:rFonts w:asciiTheme="minorHAnsi" w:eastAsia="Times New Roman" w:hAnsiTheme="minorHAnsi" w:cs="Times New Roman"/>
                <w:b/>
                <w:color w:val="FFFFFF"/>
                <w:sz w:val="18"/>
                <w:szCs w:val="18"/>
              </w:rPr>
              <w:t>Robust Std. Err.</w:t>
            </w:r>
          </w:p>
        </w:tc>
        <w:tc>
          <w:tcPr>
            <w:tcW w:w="2201" w:type="dxa"/>
            <w:gridSpan w:val="2"/>
            <w:tcBorders>
              <w:top w:val="nil"/>
              <w:left w:val="single" w:sz="4" w:space="0" w:color="000000"/>
              <w:right w:val="single" w:sz="4" w:space="0" w:color="000000"/>
            </w:tcBorders>
            <w:shd w:val="clear" w:color="auto" w:fill="820024"/>
            <w:vAlign w:val="center"/>
          </w:tcPr>
          <w:p w14:paraId="2E9FD87D" w14:textId="77777777" w:rsidR="00A03BD1" w:rsidRPr="00C041E9" w:rsidRDefault="00A03BD1" w:rsidP="00A03BD1">
            <w:pPr>
              <w:spacing w:after="0" w:line="240" w:lineRule="auto"/>
              <w:jc w:val="center"/>
              <w:rPr>
                <w:rFonts w:asciiTheme="minorHAnsi" w:hAnsiTheme="minorHAnsi"/>
                <w:sz w:val="18"/>
                <w:szCs w:val="18"/>
              </w:rPr>
            </w:pPr>
            <w:r w:rsidRPr="00C041E9">
              <w:rPr>
                <w:rFonts w:asciiTheme="minorHAnsi" w:eastAsia="Times New Roman" w:hAnsiTheme="minorHAnsi" w:cs="Times New Roman"/>
                <w:b/>
                <w:color w:val="FFFFFF"/>
                <w:sz w:val="18"/>
                <w:szCs w:val="18"/>
              </w:rPr>
              <w:t>[95% Conf.</w:t>
            </w:r>
          </w:p>
          <w:p w14:paraId="4540F605" w14:textId="77777777" w:rsidR="00A03BD1" w:rsidRPr="00C041E9" w:rsidRDefault="00A03BD1" w:rsidP="00A03BD1">
            <w:pPr>
              <w:spacing w:after="0" w:line="240" w:lineRule="auto"/>
              <w:jc w:val="center"/>
              <w:rPr>
                <w:rFonts w:asciiTheme="minorHAnsi" w:eastAsia="Times New Roman" w:hAnsiTheme="minorHAnsi" w:cs="Times New Roman"/>
                <w:sz w:val="18"/>
                <w:szCs w:val="18"/>
              </w:rPr>
            </w:pPr>
            <w:r w:rsidRPr="00C041E9">
              <w:rPr>
                <w:rFonts w:asciiTheme="minorHAnsi" w:eastAsia="Times New Roman" w:hAnsiTheme="minorHAnsi" w:cs="Times New Roman"/>
                <w:b/>
                <w:color w:val="FFFFFF"/>
                <w:sz w:val="18"/>
                <w:szCs w:val="18"/>
              </w:rPr>
              <w:t>Interval]</w:t>
            </w:r>
          </w:p>
        </w:tc>
      </w:tr>
      <w:tr w:rsidR="00B0507B" w:rsidRPr="00C041E9" w14:paraId="04A80763"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562BFA04" w14:textId="77777777" w:rsidR="00B0507B" w:rsidRPr="00C041E9" w:rsidRDefault="00A821BA">
            <w:pPr>
              <w:spacing w:after="0" w:line="240" w:lineRule="auto"/>
              <w:jc w:val="left"/>
              <w:rPr>
                <w:rFonts w:asciiTheme="minorHAnsi" w:hAnsiTheme="minorHAnsi"/>
                <w:sz w:val="18"/>
                <w:szCs w:val="18"/>
              </w:rPr>
            </w:pPr>
            <w:r w:rsidRPr="00C041E9">
              <w:rPr>
                <w:rFonts w:asciiTheme="minorHAnsi" w:eastAsia="Times New Roman" w:hAnsiTheme="minorHAnsi" w:cs="Times New Roman"/>
                <w:sz w:val="18"/>
                <w:szCs w:val="18"/>
              </w:rPr>
              <w:t>Widowed</w:t>
            </w:r>
          </w:p>
        </w:tc>
        <w:tc>
          <w:tcPr>
            <w:tcW w:w="1176" w:type="dxa"/>
            <w:tcBorders>
              <w:top w:val="nil"/>
              <w:left w:val="single" w:sz="4" w:space="0" w:color="000000"/>
              <w:bottom w:val="nil"/>
              <w:right w:val="single" w:sz="4" w:space="0" w:color="000000"/>
            </w:tcBorders>
            <w:shd w:val="clear" w:color="auto" w:fill="FFFFFF"/>
            <w:vAlign w:val="center"/>
          </w:tcPr>
          <w:p w14:paraId="70235EFD"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1.230</w:t>
            </w:r>
          </w:p>
        </w:tc>
        <w:tc>
          <w:tcPr>
            <w:tcW w:w="1617" w:type="dxa"/>
            <w:tcBorders>
              <w:top w:val="nil"/>
              <w:left w:val="single" w:sz="4" w:space="0" w:color="000000"/>
              <w:bottom w:val="nil"/>
              <w:right w:val="single" w:sz="4" w:space="0" w:color="000000"/>
            </w:tcBorders>
            <w:shd w:val="clear" w:color="auto" w:fill="FFFFFF"/>
            <w:vAlign w:val="center"/>
          </w:tcPr>
          <w:p w14:paraId="18001390"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0.420</w:t>
            </w:r>
          </w:p>
        </w:tc>
        <w:tc>
          <w:tcPr>
            <w:tcW w:w="1155" w:type="dxa"/>
            <w:tcBorders>
              <w:top w:val="nil"/>
              <w:left w:val="single" w:sz="4" w:space="0" w:color="000000"/>
              <w:bottom w:val="nil"/>
            </w:tcBorders>
            <w:shd w:val="clear" w:color="auto" w:fill="FFFFFF"/>
            <w:vAlign w:val="center"/>
          </w:tcPr>
          <w:p w14:paraId="55FB3455"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0.630</w:t>
            </w:r>
          </w:p>
        </w:tc>
        <w:tc>
          <w:tcPr>
            <w:tcW w:w="1046" w:type="dxa"/>
            <w:tcBorders>
              <w:top w:val="nil"/>
              <w:bottom w:val="nil"/>
              <w:right w:val="single" w:sz="4" w:space="0" w:color="000000"/>
            </w:tcBorders>
            <w:shd w:val="clear" w:color="auto" w:fill="FFFFFF"/>
            <w:vAlign w:val="center"/>
          </w:tcPr>
          <w:p w14:paraId="2113837D"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2.401</w:t>
            </w:r>
          </w:p>
        </w:tc>
      </w:tr>
      <w:tr w:rsidR="00B0507B" w:rsidRPr="00C041E9" w14:paraId="3594EE60"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3D30248D" w14:textId="77777777" w:rsidR="00B0507B" w:rsidRPr="00C041E9" w:rsidRDefault="00A821BA">
            <w:pPr>
              <w:spacing w:after="0" w:line="240" w:lineRule="auto"/>
              <w:jc w:val="left"/>
              <w:rPr>
                <w:rFonts w:asciiTheme="minorHAnsi" w:hAnsiTheme="minorHAnsi"/>
                <w:sz w:val="18"/>
                <w:szCs w:val="18"/>
              </w:rPr>
            </w:pPr>
            <w:r w:rsidRPr="00C041E9">
              <w:rPr>
                <w:rFonts w:asciiTheme="minorHAnsi" w:eastAsia="Times New Roman" w:hAnsiTheme="minorHAnsi" w:cs="Times New Roman"/>
                <w:sz w:val="18"/>
                <w:szCs w:val="18"/>
              </w:rPr>
              <w:t>Never Married</w:t>
            </w:r>
          </w:p>
        </w:tc>
        <w:tc>
          <w:tcPr>
            <w:tcW w:w="1176" w:type="dxa"/>
            <w:tcBorders>
              <w:top w:val="nil"/>
              <w:left w:val="single" w:sz="4" w:space="0" w:color="000000"/>
              <w:bottom w:val="nil"/>
              <w:right w:val="single" w:sz="4" w:space="0" w:color="000000"/>
            </w:tcBorders>
            <w:shd w:val="clear" w:color="auto" w:fill="FFFFFF"/>
            <w:vAlign w:val="center"/>
          </w:tcPr>
          <w:p w14:paraId="7AF708EA"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0.867</w:t>
            </w:r>
          </w:p>
        </w:tc>
        <w:tc>
          <w:tcPr>
            <w:tcW w:w="1617" w:type="dxa"/>
            <w:tcBorders>
              <w:top w:val="nil"/>
              <w:left w:val="single" w:sz="4" w:space="0" w:color="000000"/>
              <w:bottom w:val="nil"/>
              <w:right w:val="single" w:sz="4" w:space="0" w:color="000000"/>
            </w:tcBorders>
            <w:shd w:val="clear" w:color="auto" w:fill="FFFFFF"/>
            <w:vAlign w:val="center"/>
          </w:tcPr>
          <w:p w14:paraId="721DF516"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0.166</w:t>
            </w:r>
          </w:p>
        </w:tc>
        <w:tc>
          <w:tcPr>
            <w:tcW w:w="1155" w:type="dxa"/>
            <w:tcBorders>
              <w:top w:val="nil"/>
              <w:left w:val="single" w:sz="4" w:space="0" w:color="000000"/>
              <w:bottom w:val="nil"/>
            </w:tcBorders>
            <w:shd w:val="clear" w:color="auto" w:fill="FFFFFF"/>
            <w:vAlign w:val="center"/>
          </w:tcPr>
          <w:p w14:paraId="02504568"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0.596</w:t>
            </w:r>
          </w:p>
        </w:tc>
        <w:tc>
          <w:tcPr>
            <w:tcW w:w="1046" w:type="dxa"/>
            <w:tcBorders>
              <w:top w:val="nil"/>
              <w:bottom w:val="nil"/>
              <w:right w:val="single" w:sz="4" w:space="0" w:color="000000"/>
            </w:tcBorders>
            <w:shd w:val="clear" w:color="auto" w:fill="FFFFFF"/>
            <w:vAlign w:val="center"/>
          </w:tcPr>
          <w:p w14:paraId="5C83565C"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1.262</w:t>
            </w:r>
          </w:p>
        </w:tc>
      </w:tr>
      <w:tr w:rsidR="00B0507B" w:rsidRPr="00C041E9" w14:paraId="4006EEF8"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2D89B962" w14:textId="77777777" w:rsidR="00B0507B" w:rsidRPr="00C041E9" w:rsidRDefault="00A821BA">
            <w:pPr>
              <w:spacing w:after="0" w:line="240" w:lineRule="auto"/>
              <w:jc w:val="left"/>
              <w:rPr>
                <w:rFonts w:asciiTheme="minorHAnsi" w:hAnsiTheme="minorHAnsi"/>
                <w:sz w:val="18"/>
                <w:szCs w:val="18"/>
              </w:rPr>
            </w:pPr>
            <w:r w:rsidRPr="00C041E9">
              <w:rPr>
                <w:rFonts w:asciiTheme="minorHAnsi" w:eastAsia="Times New Roman" w:hAnsiTheme="minorHAnsi" w:cs="Times New Roman"/>
                <w:i/>
                <w:sz w:val="18"/>
                <w:szCs w:val="18"/>
              </w:rPr>
              <w:t>Female</w:t>
            </w:r>
          </w:p>
        </w:tc>
        <w:tc>
          <w:tcPr>
            <w:tcW w:w="1176" w:type="dxa"/>
            <w:tcBorders>
              <w:top w:val="nil"/>
              <w:left w:val="single" w:sz="4" w:space="0" w:color="000000"/>
              <w:bottom w:val="nil"/>
              <w:right w:val="single" w:sz="4" w:space="0" w:color="000000"/>
            </w:tcBorders>
            <w:shd w:val="clear" w:color="auto" w:fill="FFFFFF"/>
            <w:vAlign w:val="center"/>
          </w:tcPr>
          <w:p w14:paraId="1799BCA5"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1.268</w:t>
            </w:r>
            <w:r w:rsidRPr="009218CA">
              <w:rPr>
                <w:rFonts w:asciiTheme="minorHAnsi" w:eastAsia="Times New Roman" w:hAnsiTheme="minorHAnsi" w:cs="Times New Roman"/>
                <w:sz w:val="20"/>
                <w:szCs w:val="18"/>
              </w:rPr>
              <w:t>*</w:t>
            </w:r>
          </w:p>
        </w:tc>
        <w:tc>
          <w:tcPr>
            <w:tcW w:w="1617" w:type="dxa"/>
            <w:tcBorders>
              <w:top w:val="nil"/>
              <w:left w:val="single" w:sz="4" w:space="0" w:color="000000"/>
              <w:bottom w:val="nil"/>
              <w:right w:val="single" w:sz="4" w:space="0" w:color="000000"/>
            </w:tcBorders>
            <w:shd w:val="clear" w:color="auto" w:fill="FFFFFF"/>
            <w:vAlign w:val="center"/>
          </w:tcPr>
          <w:p w14:paraId="7FE6C9D3"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0.147</w:t>
            </w:r>
          </w:p>
        </w:tc>
        <w:tc>
          <w:tcPr>
            <w:tcW w:w="1155" w:type="dxa"/>
            <w:tcBorders>
              <w:top w:val="nil"/>
              <w:left w:val="single" w:sz="4" w:space="0" w:color="000000"/>
              <w:bottom w:val="nil"/>
            </w:tcBorders>
            <w:shd w:val="clear" w:color="auto" w:fill="FFFFFF"/>
            <w:vAlign w:val="center"/>
          </w:tcPr>
          <w:p w14:paraId="53D99338"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1.010</w:t>
            </w:r>
          </w:p>
        </w:tc>
        <w:tc>
          <w:tcPr>
            <w:tcW w:w="1046" w:type="dxa"/>
            <w:tcBorders>
              <w:top w:val="nil"/>
              <w:bottom w:val="nil"/>
              <w:right w:val="single" w:sz="4" w:space="0" w:color="000000"/>
            </w:tcBorders>
            <w:shd w:val="clear" w:color="auto" w:fill="FFFFFF"/>
            <w:vAlign w:val="center"/>
          </w:tcPr>
          <w:p w14:paraId="5CF1B704"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1.590</w:t>
            </w:r>
          </w:p>
        </w:tc>
      </w:tr>
      <w:tr w:rsidR="00B0507B" w:rsidRPr="00C041E9" w14:paraId="72CEFEF5" w14:textId="77777777" w:rsidTr="00567FA7">
        <w:trPr>
          <w:trHeight w:val="280"/>
          <w:jc w:val="center"/>
        </w:trPr>
        <w:tc>
          <w:tcPr>
            <w:tcW w:w="5482" w:type="dxa"/>
            <w:tcBorders>
              <w:top w:val="nil"/>
              <w:left w:val="single" w:sz="4" w:space="0" w:color="000000"/>
              <w:right w:val="single" w:sz="4" w:space="0" w:color="000000"/>
            </w:tcBorders>
            <w:shd w:val="clear" w:color="auto" w:fill="FFFFFF"/>
            <w:vAlign w:val="center"/>
          </w:tcPr>
          <w:p w14:paraId="650A63C1" w14:textId="77777777" w:rsidR="00B0507B" w:rsidRPr="00C041E9" w:rsidRDefault="00A821BA">
            <w:pPr>
              <w:spacing w:after="0" w:line="240" w:lineRule="auto"/>
              <w:jc w:val="left"/>
              <w:rPr>
                <w:rFonts w:asciiTheme="minorHAnsi" w:hAnsiTheme="minorHAnsi"/>
                <w:sz w:val="18"/>
                <w:szCs w:val="18"/>
              </w:rPr>
            </w:pPr>
            <w:r w:rsidRPr="00C041E9">
              <w:rPr>
                <w:rFonts w:asciiTheme="minorHAnsi" w:eastAsia="Times New Roman" w:hAnsiTheme="minorHAnsi" w:cs="Times New Roman"/>
                <w:i/>
                <w:sz w:val="18"/>
                <w:szCs w:val="18"/>
              </w:rPr>
              <w:t>Parenthood</w:t>
            </w:r>
          </w:p>
        </w:tc>
        <w:tc>
          <w:tcPr>
            <w:tcW w:w="1176" w:type="dxa"/>
            <w:tcBorders>
              <w:top w:val="nil"/>
              <w:left w:val="single" w:sz="4" w:space="0" w:color="000000"/>
              <w:right w:val="single" w:sz="4" w:space="0" w:color="000000"/>
            </w:tcBorders>
            <w:shd w:val="clear" w:color="auto" w:fill="FFFFFF"/>
            <w:vAlign w:val="center"/>
          </w:tcPr>
          <w:p w14:paraId="5AA1BDC6"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1.576</w:t>
            </w:r>
            <w:r w:rsidRPr="009218CA">
              <w:rPr>
                <w:rFonts w:asciiTheme="minorHAnsi" w:eastAsia="Times New Roman" w:hAnsiTheme="minorHAnsi" w:cs="Times New Roman"/>
                <w:sz w:val="20"/>
                <w:szCs w:val="18"/>
              </w:rPr>
              <w:t>**</w:t>
            </w:r>
          </w:p>
        </w:tc>
        <w:tc>
          <w:tcPr>
            <w:tcW w:w="1617" w:type="dxa"/>
            <w:tcBorders>
              <w:top w:val="nil"/>
              <w:left w:val="single" w:sz="4" w:space="0" w:color="000000"/>
              <w:right w:val="single" w:sz="4" w:space="0" w:color="000000"/>
            </w:tcBorders>
            <w:shd w:val="clear" w:color="auto" w:fill="FFFFFF"/>
            <w:vAlign w:val="center"/>
          </w:tcPr>
          <w:p w14:paraId="09FA4CE5"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0.232</w:t>
            </w:r>
          </w:p>
        </w:tc>
        <w:tc>
          <w:tcPr>
            <w:tcW w:w="1155" w:type="dxa"/>
            <w:tcBorders>
              <w:top w:val="nil"/>
              <w:left w:val="single" w:sz="4" w:space="0" w:color="000000"/>
            </w:tcBorders>
            <w:shd w:val="clear" w:color="auto" w:fill="FFFFFF"/>
            <w:vAlign w:val="center"/>
          </w:tcPr>
          <w:p w14:paraId="6264993F"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1.181</w:t>
            </w:r>
          </w:p>
        </w:tc>
        <w:tc>
          <w:tcPr>
            <w:tcW w:w="1046" w:type="dxa"/>
            <w:tcBorders>
              <w:top w:val="nil"/>
              <w:right w:val="single" w:sz="4" w:space="0" w:color="000000"/>
            </w:tcBorders>
            <w:shd w:val="clear" w:color="auto" w:fill="FFFFFF"/>
            <w:vAlign w:val="center"/>
          </w:tcPr>
          <w:p w14:paraId="4857FE99"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2.103</w:t>
            </w:r>
          </w:p>
        </w:tc>
      </w:tr>
      <w:tr w:rsidR="00B0507B" w:rsidRPr="00C041E9" w14:paraId="620DF138" w14:textId="77777777" w:rsidTr="00567FA7">
        <w:trPr>
          <w:trHeight w:val="280"/>
          <w:jc w:val="center"/>
        </w:trPr>
        <w:tc>
          <w:tcPr>
            <w:tcW w:w="5482" w:type="dxa"/>
            <w:tcBorders>
              <w:top w:val="nil"/>
              <w:left w:val="single" w:sz="4" w:space="0" w:color="000000"/>
              <w:right w:val="single" w:sz="4" w:space="0" w:color="000000"/>
            </w:tcBorders>
            <w:shd w:val="clear" w:color="auto" w:fill="FFFFFF"/>
            <w:vAlign w:val="center"/>
          </w:tcPr>
          <w:p w14:paraId="0A17F2DF" w14:textId="77777777" w:rsidR="00B0507B" w:rsidRPr="00C041E9" w:rsidRDefault="00A821BA">
            <w:pPr>
              <w:spacing w:after="0" w:line="240" w:lineRule="auto"/>
              <w:jc w:val="left"/>
              <w:rPr>
                <w:rFonts w:asciiTheme="minorHAnsi" w:hAnsiTheme="minorHAnsi"/>
                <w:sz w:val="18"/>
                <w:szCs w:val="18"/>
              </w:rPr>
            </w:pPr>
            <w:r w:rsidRPr="00C041E9">
              <w:rPr>
                <w:rFonts w:asciiTheme="minorHAnsi" w:eastAsia="Times New Roman" w:hAnsiTheme="minorHAnsi" w:cs="Times New Roman"/>
                <w:i/>
                <w:sz w:val="18"/>
                <w:szCs w:val="18"/>
              </w:rPr>
              <w:t>Labor Union Member</w:t>
            </w:r>
          </w:p>
        </w:tc>
        <w:tc>
          <w:tcPr>
            <w:tcW w:w="1176" w:type="dxa"/>
            <w:tcBorders>
              <w:top w:val="nil"/>
              <w:left w:val="single" w:sz="4" w:space="0" w:color="000000"/>
              <w:right w:val="single" w:sz="4" w:space="0" w:color="000000"/>
            </w:tcBorders>
            <w:shd w:val="clear" w:color="auto" w:fill="FFFFFF"/>
            <w:vAlign w:val="center"/>
          </w:tcPr>
          <w:p w14:paraId="53CCFDD9"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1.259</w:t>
            </w:r>
          </w:p>
        </w:tc>
        <w:tc>
          <w:tcPr>
            <w:tcW w:w="1617" w:type="dxa"/>
            <w:tcBorders>
              <w:top w:val="nil"/>
              <w:left w:val="single" w:sz="4" w:space="0" w:color="000000"/>
              <w:right w:val="single" w:sz="4" w:space="0" w:color="000000"/>
            </w:tcBorders>
            <w:shd w:val="clear" w:color="auto" w:fill="FFFFFF"/>
            <w:vAlign w:val="center"/>
          </w:tcPr>
          <w:p w14:paraId="7A334771"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0.183</w:t>
            </w:r>
          </w:p>
        </w:tc>
        <w:tc>
          <w:tcPr>
            <w:tcW w:w="1155" w:type="dxa"/>
            <w:tcBorders>
              <w:top w:val="nil"/>
              <w:left w:val="single" w:sz="4" w:space="0" w:color="000000"/>
            </w:tcBorders>
            <w:shd w:val="clear" w:color="auto" w:fill="FFFFFF"/>
            <w:vAlign w:val="center"/>
          </w:tcPr>
          <w:p w14:paraId="1C48C38C"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0.947</w:t>
            </w:r>
          </w:p>
        </w:tc>
        <w:tc>
          <w:tcPr>
            <w:tcW w:w="1046" w:type="dxa"/>
            <w:tcBorders>
              <w:top w:val="nil"/>
              <w:right w:val="single" w:sz="4" w:space="0" w:color="000000"/>
            </w:tcBorders>
            <w:shd w:val="clear" w:color="auto" w:fill="FFFFFF"/>
            <w:vAlign w:val="center"/>
          </w:tcPr>
          <w:p w14:paraId="2E829153"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1.674</w:t>
            </w:r>
          </w:p>
        </w:tc>
      </w:tr>
      <w:tr w:rsidR="00B0507B" w:rsidRPr="00C041E9" w14:paraId="4C96BB3B" w14:textId="77777777" w:rsidTr="00567FA7">
        <w:trPr>
          <w:trHeight w:val="280"/>
          <w:jc w:val="center"/>
        </w:trPr>
        <w:tc>
          <w:tcPr>
            <w:tcW w:w="5482" w:type="dxa"/>
            <w:tcBorders>
              <w:top w:val="nil"/>
              <w:left w:val="single" w:sz="4" w:space="0" w:color="000000"/>
              <w:right w:val="single" w:sz="4" w:space="0" w:color="000000"/>
            </w:tcBorders>
            <w:shd w:val="clear" w:color="auto" w:fill="FFFFFF"/>
            <w:vAlign w:val="center"/>
          </w:tcPr>
          <w:p w14:paraId="4BEBE9E7" w14:textId="77777777" w:rsidR="00B0507B" w:rsidRPr="00C041E9" w:rsidRDefault="00A821BA">
            <w:pPr>
              <w:spacing w:after="0" w:line="240" w:lineRule="auto"/>
              <w:jc w:val="left"/>
              <w:rPr>
                <w:rFonts w:asciiTheme="minorHAnsi" w:hAnsiTheme="minorHAnsi"/>
                <w:sz w:val="18"/>
                <w:szCs w:val="18"/>
              </w:rPr>
            </w:pPr>
            <w:r w:rsidRPr="00C041E9">
              <w:rPr>
                <w:rFonts w:asciiTheme="minorHAnsi" w:eastAsia="Times New Roman" w:hAnsiTheme="minorHAnsi" w:cs="Times New Roman"/>
                <w:i/>
                <w:sz w:val="18"/>
                <w:szCs w:val="18"/>
              </w:rPr>
              <w:t>Government Worker</w:t>
            </w:r>
          </w:p>
        </w:tc>
        <w:tc>
          <w:tcPr>
            <w:tcW w:w="1176" w:type="dxa"/>
            <w:tcBorders>
              <w:top w:val="nil"/>
              <w:left w:val="single" w:sz="4" w:space="0" w:color="000000"/>
              <w:right w:val="single" w:sz="4" w:space="0" w:color="000000"/>
            </w:tcBorders>
            <w:shd w:val="clear" w:color="auto" w:fill="FFFFFF"/>
            <w:vAlign w:val="center"/>
          </w:tcPr>
          <w:p w14:paraId="347926B9"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1.417</w:t>
            </w:r>
            <w:r w:rsidRPr="009218CA">
              <w:rPr>
                <w:rFonts w:asciiTheme="minorHAnsi" w:eastAsia="Times New Roman" w:hAnsiTheme="minorHAnsi" w:cs="Times New Roman"/>
                <w:sz w:val="20"/>
                <w:szCs w:val="18"/>
              </w:rPr>
              <w:t>*</w:t>
            </w:r>
          </w:p>
        </w:tc>
        <w:tc>
          <w:tcPr>
            <w:tcW w:w="1617" w:type="dxa"/>
            <w:tcBorders>
              <w:top w:val="nil"/>
              <w:left w:val="single" w:sz="4" w:space="0" w:color="000000"/>
              <w:right w:val="single" w:sz="4" w:space="0" w:color="000000"/>
            </w:tcBorders>
            <w:shd w:val="clear" w:color="auto" w:fill="FFFFFF"/>
            <w:vAlign w:val="center"/>
          </w:tcPr>
          <w:p w14:paraId="26CF5EF3"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0.197</w:t>
            </w:r>
          </w:p>
        </w:tc>
        <w:tc>
          <w:tcPr>
            <w:tcW w:w="1155" w:type="dxa"/>
            <w:tcBorders>
              <w:top w:val="nil"/>
              <w:left w:val="single" w:sz="4" w:space="0" w:color="000000"/>
            </w:tcBorders>
            <w:shd w:val="clear" w:color="auto" w:fill="FFFFFF"/>
            <w:vAlign w:val="center"/>
          </w:tcPr>
          <w:p w14:paraId="7C7A5EA6"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1.079</w:t>
            </w:r>
          </w:p>
        </w:tc>
        <w:tc>
          <w:tcPr>
            <w:tcW w:w="1046" w:type="dxa"/>
            <w:tcBorders>
              <w:top w:val="nil"/>
              <w:right w:val="single" w:sz="4" w:space="0" w:color="000000"/>
            </w:tcBorders>
            <w:shd w:val="clear" w:color="auto" w:fill="FFFFFF"/>
            <w:vAlign w:val="center"/>
          </w:tcPr>
          <w:p w14:paraId="7D8E065B"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1.862</w:t>
            </w:r>
          </w:p>
        </w:tc>
      </w:tr>
      <w:tr w:rsidR="00B0507B" w:rsidRPr="00C041E9" w14:paraId="3AFA3D07"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4D99AF1C" w14:textId="77777777" w:rsidR="00B0507B" w:rsidRPr="00C041E9" w:rsidRDefault="00A821BA">
            <w:pPr>
              <w:spacing w:after="0" w:line="240" w:lineRule="auto"/>
              <w:jc w:val="left"/>
              <w:rPr>
                <w:rFonts w:asciiTheme="minorHAnsi" w:hAnsiTheme="minorHAnsi"/>
                <w:sz w:val="18"/>
                <w:szCs w:val="18"/>
              </w:rPr>
            </w:pPr>
            <w:r w:rsidRPr="00C041E9">
              <w:rPr>
                <w:rFonts w:asciiTheme="minorHAnsi" w:eastAsia="Times New Roman" w:hAnsiTheme="minorHAnsi" w:cs="Times New Roman"/>
                <w:i/>
                <w:sz w:val="18"/>
                <w:szCs w:val="18"/>
              </w:rPr>
              <w:t>Pay Type (Reference: Piecework/Commission/Combination)</w:t>
            </w:r>
          </w:p>
        </w:tc>
        <w:tc>
          <w:tcPr>
            <w:tcW w:w="1176" w:type="dxa"/>
            <w:tcBorders>
              <w:top w:val="nil"/>
              <w:left w:val="single" w:sz="4" w:space="0" w:color="000000"/>
              <w:bottom w:val="nil"/>
              <w:right w:val="single" w:sz="4" w:space="0" w:color="000000"/>
            </w:tcBorders>
            <w:shd w:val="clear" w:color="auto" w:fill="FFFFFF"/>
            <w:vAlign w:val="center"/>
          </w:tcPr>
          <w:p w14:paraId="1BDF957F" w14:textId="77777777" w:rsidR="00B0507B" w:rsidRPr="00C041E9" w:rsidRDefault="00B0507B">
            <w:pPr>
              <w:spacing w:after="0" w:line="240" w:lineRule="auto"/>
              <w:jc w:val="center"/>
              <w:rPr>
                <w:rFonts w:asciiTheme="minorHAnsi" w:hAnsiTheme="minorHAnsi"/>
                <w:sz w:val="18"/>
                <w:szCs w:val="18"/>
              </w:rPr>
            </w:pPr>
          </w:p>
        </w:tc>
        <w:tc>
          <w:tcPr>
            <w:tcW w:w="1617" w:type="dxa"/>
            <w:tcBorders>
              <w:top w:val="nil"/>
              <w:left w:val="single" w:sz="4" w:space="0" w:color="000000"/>
              <w:bottom w:val="nil"/>
              <w:right w:val="single" w:sz="4" w:space="0" w:color="000000"/>
            </w:tcBorders>
            <w:shd w:val="clear" w:color="auto" w:fill="FFFFFF"/>
            <w:vAlign w:val="center"/>
          </w:tcPr>
          <w:p w14:paraId="6B76F82F" w14:textId="77777777" w:rsidR="00B0507B" w:rsidRPr="00C041E9" w:rsidRDefault="00B0507B">
            <w:pPr>
              <w:spacing w:after="0" w:line="240" w:lineRule="auto"/>
              <w:jc w:val="center"/>
              <w:rPr>
                <w:rFonts w:asciiTheme="minorHAnsi" w:hAnsiTheme="minorHAnsi"/>
                <w:sz w:val="18"/>
                <w:szCs w:val="18"/>
              </w:rPr>
            </w:pPr>
          </w:p>
        </w:tc>
        <w:tc>
          <w:tcPr>
            <w:tcW w:w="1155" w:type="dxa"/>
            <w:tcBorders>
              <w:top w:val="nil"/>
              <w:left w:val="single" w:sz="4" w:space="0" w:color="000000"/>
              <w:bottom w:val="nil"/>
            </w:tcBorders>
            <w:shd w:val="clear" w:color="auto" w:fill="FFFFFF"/>
            <w:vAlign w:val="center"/>
          </w:tcPr>
          <w:p w14:paraId="4E1C151D" w14:textId="77777777" w:rsidR="00B0507B" w:rsidRPr="00C041E9" w:rsidRDefault="00B0507B">
            <w:pPr>
              <w:spacing w:after="0" w:line="240" w:lineRule="auto"/>
              <w:jc w:val="center"/>
              <w:rPr>
                <w:rFonts w:asciiTheme="minorHAnsi" w:hAnsiTheme="minorHAnsi"/>
                <w:sz w:val="18"/>
                <w:szCs w:val="18"/>
              </w:rPr>
            </w:pPr>
          </w:p>
        </w:tc>
        <w:tc>
          <w:tcPr>
            <w:tcW w:w="1046" w:type="dxa"/>
            <w:tcBorders>
              <w:top w:val="nil"/>
              <w:bottom w:val="nil"/>
              <w:right w:val="single" w:sz="4" w:space="0" w:color="000000"/>
            </w:tcBorders>
            <w:shd w:val="clear" w:color="auto" w:fill="FFFFFF"/>
            <w:vAlign w:val="center"/>
          </w:tcPr>
          <w:p w14:paraId="2662E50F" w14:textId="77777777" w:rsidR="00B0507B" w:rsidRPr="00C041E9" w:rsidRDefault="00B0507B">
            <w:pPr>
              <w:spacing w:after="0" w:line="240" w:lineRule="auto"/>
              <w:jc w:val="center"/>
              <w:rPr>
                <w:rFonts w:asciiTheme="minorHAnsi" w:hAnsiTheme="minorHAnsi"/>
                <w:sz w:val="18"/>
                <w:szCs w:val="18"/>
              </w:rPr>
            </w:pPr>
          </w:p>
        </w:tc>
      </w:tr>
      <w:tr w:rsidR="00B0507B" w:rsidRPr="00C041E9" w14:paraId="41BF4DE0"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2D040172" w14:textId="77777777" w:rsidR="00B0507B" w:rsidRPr="00C041E9" w:rsidRDefault="00A821BA">
            <w:pPr>
              <w:spacing w:after="0" w:line="240" w:lineRule="auto"/>
              <w:jc w:val="left"/>
              <w:rPr>
                <w:rFonts w:asciiTheme="minorHAnsi" w:hAnsiTheme="minorHAnsi"/>
                <w:sz w:val="18"/>
                <w:szCs w:val="18"/>
              </w:rPr>
            </w:pPr>
            <w:r w:rsidRPr="00C041E9">
              <w:rPr>
                <w:rFonts w:asciiTheme="minorHAnsi" w:eastAsia="Times New Roman" w:hAnsiTheme="minorHAnsi" w:cs="Times New Roman"/>
                <w:sz w:val="18"/>
                <w:szCs w:val="18"/>
              </w:rPr>
              <w:t>Salaried</w:t>
            </w:r>
          </w:p>
        </w:tc>
        <w:tc>
          <w:tcPr>
            <w:tcW w:w="1176" w:type="dxa"/>
            <w:tcBorders>
              <w:top w:val="nil"/>
              <w:left w:val="single" w:sz="4" w:space="0" w:color="000000"/>
              <w:bottom w:val="nil"/>
              <w:right w:val="single" w:sz="4" w:space="0" w:color="000000"/>
            </w:tcBorders>
            <w:shd w:val="clear" w:color="auto" w:fill="FFFFFF"/>
            <w:vAlign w:val="center"/>
          </w:tcPr>
          <w:p w14:paraId="0DB84C55"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0.884</w:t>
            </w:r>
          </w:p>
        </w:tc>
        <w:tc>
          <w:tcPr>
            <w:tcW w:w="1617" w:type="dxa"/>
            <w:tcBorders>
              <w:top w:val="nil"/>
              <w:left w:val="single" w:sz="4" w:space="0" w:color="000000"/>
              <w:bottom w:val="nil"/>
              <w:right w:val="single" w:sz="4" w:space="0" w:color="000000"/>
            </w:tcBorders>
            <w:shd w:val="clear" w:color="auto" w:fill="FFFFFF"/>
            <w:vAlign w:val="center"/>
          </w:tcPr>
          <w:p w14:paraId="72550B27"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0.320</w:t>
            </w:r>
          </w:p>
        </w:tc>
        <w:tc>
          <w:tcPr>
            <w:tcW w:w="1155" w:type="dxa"/>
            <w:tcBorders>
              <w:top w:val="nil"/>
              <w:left w:val="single" w:sz="4" w:space="0" w:color="000000"/>
              <w:bottom w:val="nil"/>
            </w:tcBorders>
            <w:shd w:val="clear" w:color="auto" w:fill="FFFFFF"/>
            <w:vAlign w:val="center"/>
          </w:tcPr>
          <w:p w14:paraId="4399D2CD"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0.435</w:t>
            </w:r>
          </w:p>
        </w:tc>
        <w:tc>
          <w:tcPr>
            <w:tcW w:w="1046" w:type="dxa"/>
            <w:tcBorders>
              <w:top w:val="nil"/>
              <w:bottom w:val="nil"/>
              <w:right w:val="single" w:sz="4" w:space="0" w:color="000000"/>
            </w:tcBorders>
            <w:shd w:val="clear" w:color="auto" w:fill="FFFFFF"/>
            <w:vAlign w:val="center"/>
          </w:tcPr>
          <w:p w14:paraId="7F38D138"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1.797</w:t>
            </w:r>
          </w:p>
        </w:tc>
      </w:tr>
      <w:tr w:rsidR="00B0507B" w:rsidRPr="00C041E9" w14:paraId="79537D29"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631B6004" w14:textId="77777777" w:rsidR="00B0507B" w:rsidRPr="00C041E9" w:rsidRDefault="00A821BA">
            <w:pPr>
              <w:spacing w:after="0" w:line="240" w:lineRule="auto"/>
              <w:jc w:val="left"/>
              <w:rPr>
                <w:rFonts w:asciiTheme="minorHAnsi" w:hAnsiTheme="minorHAnsi"/>
                <w:sz w:val="18"/>
                <w:szCs w:val="18"/>
              </w:rPr>
            </w:pPr>
            <w:r w:rsidRPr="00C041E9">
              <w:rPr>
                <w:rFonts w:asciiTheme="minorHAnsi" w:eastAsia="Times New Roman" w:hAnsiTheme="minorHAnsi" w:cs="Times New Roman"/>
                <w:sz w:val="18"/>
                <w:szCs w:val="18"/>
              </w:rPr>
              <w:t>Hourly</w:t>
            </w:r>
          </w:p>
        </w:tc>
        <w:tc>
          <w:tcPr>
            <w:tcW w:w="1176" w:type="dxa"/>
            <w:tcBorders>
              <w:top w:val="nil"/>
              <w:left w:val="single" w:sz="4" w:space="0" w:color="000000"/>
              <w:bottom w:val="nil"/>
              <w:right w:val="single" w:sz="4" w:space="0" w:color="000000"/>
            </w:tcBorders>
            <w:shd w:val="clear" w:color="auto" w:fill="FFFFFF"/>
            <w:vAlign w:val="center"/>
          </w:tcPr>
          <w:p w14:paraId="2C3F6AE5"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1.124</w:t>
            </w:r>
          </w:p>
        </w:tc>
        <w:tc>
          <w:tcPr>
            <w:tcW w:w="1617" w:type="dxa"/>
            <w:tcBorders>
              <w:top w:val="nil"/>
              <w:left w:val="single" w:sz="4" w:space="0" w:color="000000"/>
              <w:bottom w:val="nil"/>
              <w:right w:val="single" w:sz="4" w:space="0" w:color="000000"/>
            </w:tcBorders>
            <w:shd w:val="clear" w:color="auto" w:fill="FFFFFF"/>
            <w:vAlign w:val="center"/>
          </w:tcPr>
          <w:p w14:paraId="17F4AD2F"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0.406</w:t>
            </w:r>
          </w:p>
        </w:tc>
        <w:tc>
          <w:tcPr>
            <w:tcW w:w="1155" w:type="dxa"/>
            <w:tcBorders>
              <w:top w:val="nil"/>
              <w:left w:val="single" w:sz="4" w:space="0" w:color="000000"/>
              <w:bottom w:val="nil"/>
            </w:tcBorders>
            <w:shd w:val="clear" w:color="auto" w:fill="FFFFFF"/>
            <w:vAlign w:val="center"/>
          </w:tcPr>
          <w:p w14:paraId="20A49D52"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0.553</w:t>
            </w:r>
          </w:p>
        </w:tc>
        <w:tc>
          <w:tcPr>
            <w:tcW w:w="1046" w:type="dxa"/>
            <w:tcBorders>
              <w:top w:val="nil"/>
              <w:bottom w:val="nil"/>
              <w:right w:val="single" w:sz="4" w:space="0" w:color="000000"/>
            </w:tcBorders>
            <w:shd w:val="clear" w:color="auto" w:fill="FFFFFF"/>
            <w:vAlign w:val="center"/>
          </w:tcPr>
          <w:p w14:paraId="663423EF"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2.283</w:t>
            </w:r>
          </w:p>
        </w:tc>
      </w:tr>
      <w:tr w:rsidR="00B0507B" w:rsidRPr="00C041E9" w14:paraId="730401E6"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12F578F8" w14:textId="77777777" w:rsidR="00B0507B" w:rsidRPr="00C041E9" w:rsidRDefault="00A821BA">
            <w:pPr>
              <w:spacing w:after="0" w:line="240" w:lineRule="auto"/>
              <w:jc w:val="left"/>
              <w:rPr>
                <w:rFonts w:asciiTheme="minorHAnsi" w:hAnsiTheme="minorHAnsi"/>
                <w:sz w:val="18"/>
                <w:szCs w:val="18"/>
              </w:rPr>
            </w:pPr>
            <w:r w:rsidRPr="00C041E9">
              <w:rPr>
                <w:rFonts w:asciiTheme="minorHAnsi" w:eastAsia="Times New Roman" w:hAnsiTheme="minorHAnsi" w:cs="Times New Roman"/>
                <w:i/>
                <w:sz w:val="18"/>
                <w:szCs w:val="18"/>
              </w:rPr>
              <w:t>Access to Paid Leave</w:t>
            </w:r>
          </w:p>
        </w:tc>
        <w:tc>
          <w:tcPr>
            <w:tcW w:w="1176" w:type="dxa"/>
            <w:tcBorders>
              <w:top w:val="nil"/>
              <w:left w:val="single" w:sz="4" w:space="0" w:color="000000"/>
              <w:bottom w:val="nil"/>
              <w:right w:val="single" w:sz="4" w:space="0" w:color="000000"/>
            </w:tcBorders>
            <w:shd w:val="clear" w:color="auto" w:fill="FFFFFF"/>
            <w:vAlign w:val="center"/>
          </w:tcPr>
          <w:p w14:paraId="6E2E8B4C"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0.891</w:t>
            </w:r>
          </w:p>
        </w:tc>
        <w:tc>
          <w:tcPr>
            <w:tcW w:w="1617" w:type="dxa"/>
            <w:tcBorders>
              <w:top w:val="nil"/>
              <w:left w:val="single" w:sz="4" w:space="0" w:color="000000"/>
              <w:bottom w:val="nil"/>
              <w:right w:val="single" w:sz="4" w:space="0" w:color="000000"/>
            </w:tcBorders>
            <w:shd w:val="clear" w:color="auto" w:fill="FFFFFF"/>
            <w:vAlign w:val="center"/>
          </w:tcPr>
          <w:p w14:paraId="0AA2CE36"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0.095</w:t>
            </w:r>
          </w:p>
        </w:tc>
        <w:tc>
          <w:tcPr>
            <w:tcW w:w="1155" w:type="dxa"/>
            <w:tcBorders>
              <w:top w:val="nil"/>
              <w:left w:val="single" w:sz="4" w:space="0" w:color="000000"/>
              <w:bottom w:val="nil"/>
            </w:tcBorders>
            <w:shd w:val="clear" w:color="auto" w:fill="FFFFFF"/>
            <w:vAlign w:val="center"/>
          </w:tcPr>
          <w:p w14:paraId="22CD9ACD"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0.722</w:t>
            </w:r>
          </w:p>
        </w:tc>
        <w:tc>
          <w:tcPr>
            <w:tcW w:w="1046" w:type="dxa"/>
            <w:tcBorders>
              <w:top w:val="nil"/>
              <w:bottom w:val="nil"/>
              <w:right w:val="single" w:sz="4" w:space="0" w:color="000000"/>
            </w:tcBorders>
            <w:shd w:val="clear" w:color="auto" w:fill="FFFFFF"/>
            <w:vAlign w:val="center"/>
          </w:tcPr>
          <w:p w14:paraId="44B87241"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1.098</w:t>
            </w:r>
          </w:p>
        </w:tc>
      </w:tr>
      <w:tr w:rsidR="00B0507B" w:rsidRPr="00C041E9" w14:paraId="3F77FD72" w14:textId="77777777" w:rsidTr="00567FA7">
        <w:trPr>
          <w:trHeight w:val="280"/>
          <w:jc w:val="center"/>
        </w:trPr>
        <w:tc>
          <w:tcPr>
            <w:tcW w:w="5482" w:type="dxa"/>
            <w:tcBorders>
              <w:top w:val="nil"/>
              <w:left w:val="single" w:sz="4" w:space="0" w:color="000000"/>
              <w:bottom w:val="nil"/>
              <w:right w:val="single" w:sz="4" w:space="0" w:color="000000"/>
            </w:tcBorders>
            <w:shd w:val="clear" w:color="auto" w:fill="FFFFFF"/>
            <w:vAlign w:val="center"/>
          </w:tcPr>
          <w:p w14:paraId="7BC9D008" w14:textId="77777777" w:rsidR="00B0507B" w:rsidRPr="00C041E9" w:rsidRDefault="00A821BA">
            <w:pPr>
              <w:spacing w:after="0" w:line="240" w:lineRule="auto"/>
              <w:jc w:val="left"/>
              <w:rPr>
                <w:rFonts w:asciiTheme="minorHAnsi" w:hAnsiTheme="minorHAnsi"/>
                <w:sz w:val="18"/>
                <w:szCs w:val="18"/>
              </w:rPr>
            </w:pPr>
            <w:r w:rsidRPr="00C041E9">
              <w:rPr>
                <w:rFonts w:asciiTheme="minorHAnsi" w:eastAsia="Times New Roman" w:hAnsiTheme="minorHAnsi" w:cs="Times New Roman"/>
                <w:i/>
                <w:sz w:val="18"/>
                <w:szCs w:val="18"/>
              </w:rPr>
              <w:t>Constant</w:t>
            </w:r>
          </w:p>
        </w:tc>
        <w:tc>
          <w:tcPr>
            <w:tcW w:w="1176" w:type="dxa"/>
            <w:tcBorders>
              <w:top w:val="nil"/>
              <w:left w:val="single" w:sz="4" w:space="0" w:color="000000"/>
              <w:bottom w:val="nil"/>
              <w:right w:val="single" w:sz="4" w:space="0" w:color="000000"/>
            </w:tcBorders>
            <w:shd w:val="clear" w:color="auto" w:fill="FFFFFF"/>
            <w:vAlign w:val="center"/>
          </w:tcPr>
          <w:p w14:paraId="083ED04D"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0.696</w:t>
            </w:r>
          </w:p>
        </w:tc>
        <w:tc>
          <w:tcPr>
            <w:tcW w:w="1617" w:type="dxa"/>
            <w:tcBorders>
              <w:top w:val="nil"/>
              <w:left w:val="single" w:sz="4" w:space="0" w:color="000000"/>
              <w:bottom w:val="nil"/>
              <w:right w:val="single" w:sz="4" w:space="0" w:color="000000"/>
            </w:tcBorders>
            <w:shd w:val="clear" w:color="auto" w:fill="FFFFFF"/>
            <w:vAlign w:val="center"/>
          </w:tcPr>
          <w:p w14:paraId="6CC9C428"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0.500</w:t>
            </w:r>
          </w:p>
        </w:tc>
        <w:tc>
          <w:tcPr>
            <w:tcW w:w="1155" w:type="dxa"/>
            <w:tcBorders>
              <w:top w:val="nil"/>
              <w:left w:val="single" w:sz="4" w:space="0" w:color="000000"/>
              <w:bottom w:val="nil"/>
            </w:tcBorders>
            <w:shd w:val="clear" w:color="auto" w:fill="FFFFFF"/>
            <w:vAlign w:val="center"/>
          </w:tcPr>
          <w:p w14:paraId="1377167D"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0.170</w:t>
            </w:r>
          </w:p>
        </w:tc>
        <w:tc>
          <w:tcPr>
            <w:tcW w:w="1046" w:type="dxa"/>
            <w:tcBorders>
              <w:top w:val="nil"/>
              <w:bottom w:val="nil"/>
              <w:right w:val="single" w:sz="4" w:space="0" w:color="000000"/>
            </w:tcBorders>
            <w:shd w:val="clear" w:color="auto" w:fill="FFFFFF"/>
            <w:vAlign w:val="center"/>
          </w:tcPr>
          <w:p w14:paraId="5AA678E0"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2.847</w:t>
            </w:r>
          </w:p>
        </w:tc>
      </w:tr>
      <w:tr w:rsidR="00B0507B" w:rsidRPr="00C041E9" w14:paraId="5B7D3CB9" w14:textId="77777777" w:rsidTr="00567FA7">
        <w:trPr>
          <w:trHeight w:val="280"/>
          <w:jc w:val="center"/>
        </w:trPr>
        <w:tc>
          <w:tcPr>
            <w:tcW w:w="5482" w:type="dxa"/>
            <w:tcBorders>
              <w:top w:val="nil"/>
              <w:left w:val="single" w:sz="4" w:space="0" w:color="000000"/>
              <w:bottom w:val="single" w:sz="4" w:space="0" w:color="000000"/>
              <w:right w:val="single" w:sz="4" w:space="0" w:color="000000"/>
            </w:tcBorders>
            <w:shd w:val="clear" w:color="auto" w:fill="FFFFFF"/>
            <w:vAlign w:val="center"/>
          </w:tcPr>
          <w:p w14:paraId="7942D09B" w14:textId="77777777" w:rsidR="00B0507B" w:rsidRPr="00C041E9" w:rsidRDefault="00A821BA">
            <w:pPr>
              <w:spacing w:after="0" w:line="240" w:lineRule="auto"/>
              <w:jc w:val="left"/>
              <w:rPr>
                <w:rFonts w:asciiTheme="minorHAnsi" w:hAnsiTheme="minorHAnsi"/>
                <w:sz w:val="18"/>
                <w:szCs w:val="18"/>
              </w:rPr>
            </w:pPr>
            <w:r w:rsidRPr="00C041E9">
              <w:rPr>
                <w:rFonts w:asciiTheme="minorHAnsi" w:eastAsia="Times New Roman" w:hAnsiTheme="minorHAnsi" w:cs="Times New Roman"/>
                <w:sz w:val="18"/>
                <w:szCs w:val="18"/>
              </w:rPr>
              <w:t>Observations</w:t>
            </w:r>
          </w:p>
        </w:tc>
        <w:tc>
          <w:tcPr>
            <w:tcW w:w="1176" w:type="dxa"/>
            <w:tcBorders>
              <w:top w:val="nil"/>
              <w:left w:val="single" w:sz="4" w:space="0" w:color="000000"/>
              <w:bottom w:val="single" w:sz="4" w:space="0" w:color="000000"/>
              <w:right w:val="single" w:sz="4" w:space="0" w:color="000000"/>
            </w:tcBorders>
            <w:shd w:val="clear" w:color="auto" w:fill="FFFFFF"/>
            <w:vAlign w:val="center"/>
          </w:tcPr>
          <w:p w14:paraId="1349D47B" w14:textId="77777777" w:rsidR="00B0507B" w:rsidRPr="00C041E9" w:rsidRDefault="00A821BA">
            <w:pPr>
              <w:spacing w:after="0" w:line="240" w:lineRule="auto"/>
              <w:jc w:val="center"/>
              <w:rPr>
                <w:rFonts w:asciiTheme="minorHAnsi" w:hAnsiTheme="minorHAnsi"/>
                <w:sz w:val="18"/>
                <w:szCs w:val="18"/>
              </w:rPr>
            </w:pPr>
            <w:r w:rsidRPr="00C041E9">
              <w:rPr>
                <w:rFonts w:asciiTheme="minorHAnsi" w:eastAsia="Times New Roman" w:hAnsiTheme="minorHAnsi" w:cs="Times New Roman"/>
                <w:sz w:val="18"/>
                <w:szCs w:val="18"/>
              </w:rPr>
              <w:t>1,359</w:t>
            </w:r>
          </w:p>
        </w:tc>
        <w:tc>
          <w:tcPr>
            <w:tcW w:w="1617" w:type="dxa"/>
            <w:tcBorders>
              <w:top w:val="nil"/>
              <w:left w:val="single" w:sz="4" w:space="0" w:color="000000"/>
              <w:bottom w:val="single" w:sz="4" w:space="0" w:color="000000"/>
              <w:right w:val="single" w:sz="4" w:space="0" w:color="000000"/>
            </w:tcBorders>
            <w:shd w:val="clear" w:color="auto" w:fill="FFFFFF"/>
            <w:vAlign w:val="bottom"/>
          </w:tcPr>
          <w:p w14:paraId="12692410" w14:textId="77777777" w:rsidR="00B0507B" w:rsidRPr="00C041E9" w:rsidRDefault="00B0507B">
            <w:pPr>
              <w:spacing w:after="0" w:line="240" w:lineRule="auto"/>
              <w:jc w:val="center"/>
              <w:rPr>
                <w:rFonts w:asciiTheme="minorHAnsi" w:hAnsiTheme="minorHAnsi"/>
                <w:sz w:val="18"/>
                <w:szCs w:val="18"/>
              </w:rPr>
            </w:pPr>
          </w:p>
        </w:tc>
        <w:tc>
          <w:tcPr>
            <w:tcW w:w="1155" w:type="dxa"/>
            <w:tcBorders>
              <w:top w:val="nil"/>
              <w:left w:val="single" w:sz="4" w:space="0" w:color="000000"/>
              <w:bottom w:val="single" w:sz="4" w:space="0" w:color="000000"/>
            </w:tcBorders>
            <w:shd w:val="clear" w:color="auto" w:fill="FFFFFF"/>
            <w:vAlign w:val="bottom"/>
          </w:tcPr>
          <w:p w14:paraId="6699482F" w14:textId="77777777" w:rsidR="00B0507B" w:rsidRPr="00C041E9" w:rsidRDefault="00B0507B">
            <w:pPr>
              <w:spacing w:after="0" w:line="240" w:lineRule="auto"/>
              <w:jc w:val="center"/>
              <w:rPr>
                <w:rFonts w:asciiTheme="minorHAnsi" w:hAnsiTheme="minorHAnsi"/>
                <w:sz w:val="18"/>
                <w:szCs w:val="18"/>
              </w:rPr>
            </w:pPr>
          </w:p>
        </w:tc>
        <w:tc>
          <w:tcPr>
            <w:tcW w:w="1046" w:type="dxa"/>
            <w:tcBorders>
              <w:top w:val="nil"/>
              <w:bottom w:val="single" w:sz="4" w:space="0" w:color="000000"/>
              <w:right w:val="single" w:sz="4" w:space="0" w:color="000000"/>
            </w:tcBorders>
            <w:shd w:val="clear" w:color="auto" w:fill="FFFFFF"/>
            <w:vAlign w:val="center"/>
          </w:tcPr>
          <w:p w14:paraId="21733321" w14:textId="77777777" w:rsidR="00B0507B" w:rsidRPr="00C041E9" w:rsidRDefault="00B0507B">
            <w:pPr>
              <w:spacing w:after="0" w:line="240" w:lineRule="auto"/>
              <w:jc w:val="center"/>
              <w:rPr>
                <w:rFonts w:asciiTheme="minorHAnsi" w:hAnsiTheme="minorHAnsi"/>
                <w:sz w:val="18"/>
                <w:szCs w:val="18"/>
              </w:rPr>
            </w:pPr>
          </w:p>
        </w:tc>
      </w:tr>
    </w:tbl>
    <w:p w14:paraId="6E8F66D6" w14:textId="77777777" w:rsidR="00B0507B" w:rsidRDefault="00B0507B">
      <w:pPr>
        <w:spacing w:after="0" w:line="240" w:lineRule="auto"/>
        <w:jc w:val="left"/>
      </w:pPr>
    </w:p>
    <w:sectPr w:rsidR="00B0507B" w:rsidSect="00702D2C">
      <w:type w:val="continuous"/>
      <w:pgSz w:w="12240" w:h="15840"/>
      <w:pgMar w:top="691" w:right="720" w:bottom="691" w:left="806"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3E4697" w14:textId="77777777" w:rsidR="00F249AE" w:rsidRDefault="00F249AE">
      <w:pPr>
        <w:spacing w:after="0" w:line="240" w:lineRule="auto"/>
      </w:pPr>
      <w:r>
        <w:separator/>
      </w:r>
    </w:p>
  </w:endnote>
  <w:endnote w:type="continuationSeparator" w:id="0">
    <w:p w14:paraId="4FAC1506" w14:textId="77777777" w:rsidR="00F249AE" w:rsidRDefault="00F249AE">
      <w:pPr>
        <w:spacing w:after="0" w:line="240" w:lineRule="auto"/>
      </w:pPr>
      <w:r>
        <w:continuationSeparator/>
      </w:r>
    </w:p>
  </w:endnote>
  <w:endnote w:id="1">
    <w:p w14:paraId="64C1396E" w14:textId="77777777" w:rsidR="003C1D0E" w:rsidRPr="00527C2E" w:rsidRDefault="003C1D0E">
      <w:pPr>
        <w:spacing w:after="0" w:line="240" w:lineRule="auto"/>
        <w:jc w:val="left"/>
        <w:rPr>
          <w:rFonts w:ascii="Times New Roman" w:hAnsi="Times New Roman" w:cs="Times New Roman"/>
          <w:sz w:val="18"/>
          <w:szCs w:val="18"/>
        </w:rPr>
      </w:pPr>
      <w:r w:rsidRPr="00527C2E">
        <w:rPr>
          <w:rFonts w:ascii="Times New Roman" w:hAnsi="Times New Roman" w:cs="Times New Roman"/>
          <w:sz w:val="18"/>
          <w:szCs w:val="18"/>
          <w:vertAlign w:val="superscript"/>
        </w:rPr>
        <w:endnoteRef/>
      </w:r>
      <w:r w:rsidRPr="00527C2E">
        <w:rPr>
          <w:rFonts w:ascii="Times New Roman" w:eastAsia="Times New Roman" w:hAnsi="Times New Roman" w:cs="Times New Roman"/>
          <w:sz w:val="18"/>
          <w:szCs w:val="18"/>
        </w:rPr>
        <w:t xml:space="preserve"> </w:t>
      </w:r>
      <w:proofErr w:type="spellStart"/>
      <w:r w:rsidRPr="00527C2E">
        <w:rPr>
          <w:rFonts w:ascii="Times New Roman" w:eastAsia="Times New Roman" w:hAnsi="Times New Roman" w:cs="Times New Roman"/>
          <w:sz w:val="18"/>
          <w:szCs w:val="18"/>
        </w:rPr>
        <w:t>Waldfogel</w:t>
      </w:r>
      <w:proofErr w:type="spellEnd"/>
      <w:r w:rsidRPr="00527C2E">
        <w:rPr>
          <w:rFonts w:ascii="Times New Roman" w:eastAsia="Times New Roman" w:hAnsi="Times New Roman" w:cs="Times New Roman"/>
          <w:sz w:val="18"/>
          <w:szCs w:val="18"/>
        </w:rPr>
        <w:t>, J. (1999). The impact of the family and medical leave act. </w:t>
      </w:r>
      <w:r w:rsidRPr="00527C2E">
        <w:rPr>
          <w:rFonts w:ascii="Times New Roman" w:eastAsia="Times New Roman" w:hAnsi="Times New Roman" w:cs="Times New Roman"/>
          <w:i/>
          <w:sz w:val="18"/>
          <w:szCs w:val="18"/>
        </w:rPr>
        <w:t>Journal of Policy Analysis and Management</w:t>
      </w:r>
      <w:r w:rsidRPr="00527C2E">
        <w:rPr>
          <w:rFonts w:ascii="Times New Roman" w:eastAsia="Times New Roman" w:hAnsi="Times New Roman" w:cs="Times New Roman"/>
          <w:sz w:val="18"/>
          <w:szCs w:val="18"/>
        </w:rPr>
        <w:t>, </w:t>
      </w:r>
      <w:r w:rsidRPr="00527C2E">
        <w:rPr>
          <w:rFonts w:ascii="Times New Roman" w:eastAsia="Times New Roman" w:hAnsi="Times New Roman" w:cs="Times New Roman"/>
          <w:i/>
          <w:sz w:val="18"/>
          <w:szCs w:val="18"/>
        </w:rPr>
        <w:t>18</w:t>
      </w:r>
      <w:r w:rsidRPr="00527C2E">
        <w:rPr>
          <w:rFonts w:ascii="Times New Roman" w:eastAsia="Times New Roman" w:hAnsi="Times New Roman" w:cs="Times New Roman"/>
          <w:sz w:val="18"/>
          <w:szCs w:val="18"/>
        </w:rPr>
        <w:t>(2), 281-302.</w:t>
      </w:r>
    </w:p>
  </w:endnote>
  <w:endnote w:id="2">
    <w:p w14:paraId="63C52506" w14:textId="77777777" w:rsidR="003C1D0E" w:rsidRPr="00527C2E" w:rsidRDefault="003C1D0E">
      <w:pPr>
        <w:spacing w:after="0" w:line="240" w:lineRule="auto"/>
        <w:jc w:val="left"/>
        <w:rPr>
          <w:rFonts w:ascii="Times New Roman" w:hAnsi="Times New Roman" w:cs="Times New Roman"/>
          <w:sz w:val="18"/>
          <w:szCs w:val="18"/>
        </w:rPr>
      </w:pPr>
      <w:r w:rsidRPr="00527C2E">
        <w:rPr>
          <w:rFonts w:ascii="Times New Roman" w:hAnsi="Times New Roman" w:cs="Times New Roman"/>
          <w:sz w:val="18"/>
          <w:szCs w:val="18"/>
          <w:vertAlign w:val="superscript"/>
        </w:rPr>
        <w:endnoteRef/>
      </w:r>
      <w:r w:rsidRPr="00527C2E">
        <w:rPr>
          <w:rFonts w:ascii="Times New Roman" w:eastAsia="Times New Roman" w:hAnsi="Times New Roman" w:cs="Times New Roman"/>
          <w:sz w:val="18"/>
          <w:szCs w:val="18"/>
        </w:rPr>
        <w:t xml:space="preserve"> Jorgensen, H., and </w:t>
      </w:r>
      <w:proofErr w:type="spellStart"/>
      <w:r w:rsidRPr="00527C2E">
        <w:rPr>
          <w:rFonts w:ascii="Times New Roman" w:eastAsia="Times New Roman" w:hAnsi="Times New Roman" w:cs="Times New Roman"/>
          <w:sz w:val="18"/>
          <w:szCs w:val="18"/>
        </w:rPr>
        <w:t>Appelbaum</w:t>
      </w:r>
      <w:proofErr w:type="spellEnd"/>
      <w:r w:rsidRPr="00527C2E">
        <w:rPr>
          <w:rFonts w:ascii="Times New Roman" w:eastAsia="Times New Roman" w:hAnsi="Times New Roman" w:cs="Times New Roman"/>
          <w:sz w:val="18"/>
          <w:szCs w:val="18"/>
        </w:rPr>
        <w:t>, E. (2014). </w:t>
      </w:r>
      <w:r w:rsidRPr="00527C2E">
        <w:rPr>
          <w:rFonts w:ascii="Times New Roman" w:eastAsia="Times New Roman" w:hAnsi="Times New Roman" w:cs="Times New Roman"/>
          <w:i/>
          <w:sz w:val="18"/>
          <w:szCs w:val="18"/>
        </w:rPr>
        <w:t>Expanding Federal Family and Medical Leave Coverage: Who Benefits from Changes in Eligibility Requirements?</w:t>
      </w:r>
      <w:r w:rsidRPr="00527C2E">
        <w:rPr>
          <w:rFonts w:ascii="Times New Roman" w:eastAsia="Times New Roman" w:hAnsi="Times New Roman" w:cs="Times New Roman"/>
          <w:sz w:val="18"/>
          <w:szCs w:val="18"/>
        </w:rPr>
        <w:t xml:space="preserve"> (No. 2014-02). Center for Economic and Policy Research (CEPR). </w:t>
      </w:r>
    </w:p>
    <w:p w14:paraId="1D2A3EE2" w14:textId="77777777" w:rsidR="003C1D0E" w:rsidRPr="00527C2E" w:rsidRDefault="003C1D0E">
      <w:pPr>
        <w:spacing w:after="0" w:line="240" w:lineRule="auto"/>
        <w:jc w:val="left"/>
        <w:rPr>
          <w:rFonts w:ascii="Times New Roman" w:hAnsi="Times New Roman" w:cs="Times New Roman"/>
          <w:sz w:val="18"/>
          <w:szCs w:val="18"/>
        </w:rPr>
      </w:pPr>
      <w:proofErr w:type="spellStart"/>
      <w:r w:rsidRPr="00527C2E">
        <w:rPr>
          <w:rFonts w:ascii="Times New Roman" w:eastAsia="Times New Roman" w:hAnsi="Times New Roman" w:cs="Times New Roman"/>
          <w:sz w:val="18"/>
          <w:szCs w:val="18"/>
        </w:rPr>
        <w:t>Klerman</w:t>
      </w:r>
      <w:proofErr w:type="spellEnd"/>
      <w:r w:rsidRPr="00527C2E">
        <w:rPr>
          <w:rFonts w:ascii="Times New Roman" w:eastAsia="Times New Roman" w:hAnsi="Times New Roman" w:cs="Times New Roman"/>
          <w:sz w:val="18"/>
          <w:szCs w:val="18"/>
        </w:rPr>
        <w:t xml:space="preserve">, J. A., Daley, K., and </w:t>
      </w:r>
      <w:proofErr w:type="spellStart"/>
      <w:r w:rsidRPr="00527C2E">
        <w:rPr>
          <w:rFonts w:ascii="Times New Roman" w:eastAsia="Times New Roman" w:hAnsi="Times New Roman" w:cs="Times New Roman"/>
          <w:sz w:val="18"/>
          <w:szCs w:val="18"/>
        </w:rPr>
        <w:t>Pozniak</w:t>
      </w:r>
      <w:proofErr w:type="spellEnd"/>
      <w:r w:rsidRPr="00527C2E">
        <w:rPr>
          <w:rFonts w:ascii="Times New Roman" w:eastAsia="Times New Roman" w:hAnsi="Times New Roman" w:cs="Times New Roman"/>
          <w:sz w:val="18"/>
          <w:szCs w:val="18"/>
        </w:rPr>
        <w:t>, A. (2012). Family and medical leave in 2012: Technical report. </w:t>
      </w:r>
      <w:r w:rsidRPr="00527C2E">
        <w:rPr>
          <w:rFonts w:ascii="Times New Roman" w:eastAsia="Times New Roman" w:hAnsi="Times New Roman" w:cs="Times New Roman"/>
          <w:i/>
          <w:sz w:val="18"/>
          <w:szCs w:val="18"/>
        </w:rPr>
        <w:t xml:space="preserve">Cambridge, MA: </w:t>
      </w:r>
      <w:proofErr w:type="spellStart"/>
      <w:r w:rsidRPr="00527C2E">
        <w:rPr>
          <w:rFonts w:ascii="Times New Roman" w:eastAsia="Times New Roman" w:hAnsi="Times New Roman" w:cs="Times New Roman"/>
          <w:i/>
          <w:sz w:val="18"/>
          <w:szCs w:val="18"/>
        </w:rPr>
        <w:t>Abt</w:t>
      </w:r>
      <w:proofErr w:type="spellEnd"/>
      <w:r w:rsidRPr="00527C2E">
        <w:rPr>
          <w:rFonts w:ascii="Times New Roman" w:eastAsia="Times New Roman" w:hAnsi="Times New Roman" w:cs="Times New Roman"/>
          <w:i/>
          <w:sz w:val="18"/>
          <w:szCs w:val="18"/>
        </w:rPr>
        <w:t xml:space="preserve"> Associates Inc</w:t>
      </w:r>
      <w:r w:rsidRPr="00527C2E">
        <w:rPr>
          <w:rFonts w:ascii="Times New Roman" w:eastAsia="Times New Roman" w:hAnsi="Times New Roman" w:cs="Times New Roman"/>
          <w:sz w:val="18"/>
          <w:szCs w:val="18"/>
        </w:rPr>
        <w:t>.</w:t>
      </w:r>
    </w:p>
  </w:endnote>
  <w:endnote w:id="3">
    <w:p w14:paraId="78BB268F" w14:textId="77777777" w:rsidR="003C1D0E" w:rsidRPr="00527C2E" w:rsidRDefault="003C1D0E">
      <w:pPr>
        <w:spacing w:after="0" w:line="240" w:lineRule="auto"/>
        <w:jc w:val="left"/>
        <w:rPr>
          <w:rFonts w:ascii="Times New Roman" w:hAnsi="Times New Roman" w:cs="Times New Roman"/>
          <w:sz w:val="18"/>
          <w:szCs w:val="18"/>
        </w:rPr>
      </w:pPr>
      <w:r w:rsidRPr="00527C2E">
        <w:rPr>
          <w:rFonts w:ascii="Times New Roman" w:hAnsi="Times New Roman" w:cs="Times New Roman"/>
          <w:sz w:val="18"/>
          <w:szCs w:val="18"/>
          <w:vertAlign w:val="superscript"/>
        </w:rPr>
        <w:endnoteRef/>
      </w:r>
      <w:r w:rsidRPr="00527C2E">
        <w:rPr>
          <w:rFonts w:ascii="Times New Roman" w:eastAsia="Times New Roman" w:hAnsi="Times New Roman" w:cs="Times New Roman"/>
          <w:sz w:val="18"/>
          <w:szCs w:val="18"/>
        </w:rPr>
        <w:t xml:space="preserve"> Jorgensen, H., and </w:t>
      </w:r>
      <w:proofErr w:type="spellStart"/>
      <w:r w:rsidRPr="00527C2E">
        <w:rPr>
          <w:rFonts w:ascii="Times New Roman" w:eastAsia="Times New Roman" w:hAnsi="Times New Roman" w:cs="Times New Roman"/>
          <w:sz w:val="18"/>
          <w:szCs w:val="18"/>
        </w:rPr>
        <w:t>Appelbaum</w:t>
      </w:r>
      <w:proofErr w:type="spellEnd"/>
      <w:r w:rsidRPr="00527C2E">
        <w:rPr>
          <w:rFonts w:ascii="Times New Roman" w:eastAsia="Times New Roman" w:hAnsi="Times New Roman" w:cs="Times New Roman"/>
          <w:sz w:val="18"/>
          <w:szCs w:val="18"/>
        </w:rPr>
        <w:t xml:space="preserve">, E. (2014). </w:t>
      </w:r>
      <w:proofErr w:type="spellStart"/>
      <w:r w:rsidRPr="00527C2E">
        <w:rPr>
          <w:rFonts w:ascii="Times New Roman" w:eastAsia="Times New Roman" w:hAnsi="Times New Roman" w:cs="Times New Roman"/>
          <w:sz w:val="18"/>
          <w:szCs w:val="18"/>
        </w:rPr>
        <w:t>Klerman</w:t>
      </w:r>
      <w:proofErr w:type="spellEnd"/>
      <w:r w:rsidRPr="00527C2E">
        <w:rPr>
          <w:rFonts w:ascii="Times New Roman" w:eastAsia="Times New Roman" w:hAnsi="Times New Roman" w:cs="Times New Roman"/>
          <w:sz w:val="18"/>
          <w:szCs w:val="18"/>
        </w:rPr>
        <w:t xml:space="preserve">, J. A., Daley, K., and </w:t>
      </w:r>
      <w:proofErr w:type="spellStart"/>
      <w:r w:rsidRPr="00527C2E">
        <w:rPr>
          <w:rFonts w:ascii="Times New Roman" w:eastAsia="Times New Roman" w:hAnsi="Times New Roman" w:cs="Times New Roman"/>
          <w:sz w:val="18"/>
          <w:szCs w:val="18"/>
        </w:rPr>
        <w:t>Pozniak</w:t>
      </w:r>
      <w:proofErr w:type="spellEnd"/>
      <w:r w:rsidRPr="00527C2E">
        <w:rPr>
          <w:rFonts w:ascii="Times New Roman" w:eastAsia="Times New Roman" w:hAnsi="Times New Roman" w:cs="Times New Roman"/>
          <w:sz w:val="18"/>
          <w:szCs w:val="18"/>
        </w:rPr>
        <w:t xml:space="preserve">, A. (2012). </w:t>
      </w:r>
    </w:p>
    <w:p w14:paraId="3EC34093" w14:textId="77777777" w:rsidR="003C1D0E" w:rsidRPr="00527C2E" w:rsidRDefault="003C1D0E">
      <w:pPr>
        <w:spacing w:after="0" w:line="240" w:lineRule="auto"/>
        <w:jc w:val="left"/>
        <w:rPr>
          <w:rFonts w:ascii="Times New Roman" w:hAnsi="Times New Roman" w:cs="Times New Roman"/>
          <w:sz w:val="18"/>
          <w:szCs w:val="18"/>
        </w:rPr>
      </w:pPr>
      <w:proofErr w:type="spellStart"/>
      <w:r w:rsidRPr="00527C2E">
        <w:rPr>
          <w:rFonts w:ascii="Times New Roman" w:eastAsia="Times New Roman" w:hAnsi="Times New Roman" w:cs="Times New Roman"/>
          <w:sz w:val="18"/>
          <w:szCs w:val="18"/>
        </w:rPr>
        <w:t>Laharnar</w:t>
      </w:r>
      <w:proofErr w:type="spellEnd"/>
      <w:r w:rsidRPr="00527C2E">
        <w:rPr>
          <w:rFonts w:ascii="Times New Roman" w:eastAsia="Times New Roman" w:hAnsi="Times New Roman" w:cs="Times New Roman"/>
          <w:sz w:val="18"/>
          <w:szCs w:val="18"/>
        </w:rPr>
        <w:t>, N., Glass, N., Perrin, N., Hanson, G., &amp; Anger, W. K. (2013). A training intervention for supervisors to support a work-life policy implementation. </w:t>
      </w:r>
      <w:r w:rsidRPr="00527C2E">
        <w:rPr>
          <w:rFonts w:ascii="Times New Roman" w:eastAsia="Times New Roman" w:hAnsi="Times New Roman" w:cs="Times New Roman"/>
          <w:i/>
          <w:sz w:val="18"/>
          <w:szCs w:val="18"/>
        </w:rPr>
        <w:t>Safety and health at work</w:t>
      </w:r>
      <w:r w:rsidRPr="00527C2E">
        <w:rPr>
          <w:rFonts w:ascii="Times New Roman" w:eastAsia="Times New Roman" w:hAnsi="Times New Roman" w:cs="Times New Roman"/>
          <w:sz w:val="18"/>
          <w:szCs w:val="18"/>
        </w:rPr>
        <w:t>, </w:t>
      </w:r>
      <w:r w:rsidRPr="00527C2E">
        <w:rPr>
          <w:rFonts w:ascii="Times New Roman" w:eastAsia="Times New Roman" w:hAnsi="Times New Roman" w:cs="Times New Roman"/>
          <w:i/>
          <w:sz w:val="18"/>
          <w:szCs w:val="18"/>
        </w:rPr>
        <w:t>4</w:t>
      </w:r>
      <w:r w:rsidRPr="00527C2E">
        <w:rPr>
          <w:rFonts w:ascii="Times New Roman" w:eastAsia="Times New Roman" w:hAnsi="Times New Roman" w:cs="Times New Roman"/>
          <w:sz w:val="18"/>
          <w:szCs w:val="18"/>
        </w:rPr>
        <w:t>(3), 166-176.</w:t>
      </w:r>
    </w:p>
  </w:endnote>
  <w:endnote w:id="4">
    <w:p w14:paraId="63910E5C" w14:textId="77777777" w:rsidR="003C1D0E" w:rsidRPr="00527C2E" w:rsidRDefault="003C1D0E">
      <w:pPr>
        <w:spacing w:after="0" w:line="240" w:lineRule="auto"/>
        <w:jc w:val="left"/>
        <w:rPr>
          <w:rFonts w:ascii="Times New Roman" w:hAnsi="Times New Roman" w:cs="Times New Roman"/>
          <w:sz w:val="18"/>
          <w:szCs w:val="18"/>
        </w:rPr>
      </w:pPr>
      <w:r w:rsidRPr="00527C2E">
        <w:rPr>
          <w:rFonts w:ascii="Times New Roman" w:hAnsi="Times New Roman" w:cs="Times New Roman"/>
          <w:sz w:val="18"/>
          <w:szCs w:val="18"/>
          <w:vertAlign w:val="superscript"/>
        </w:rPr>
        <w:endnoteRef/>
      </w:r>
      <w:r w:rsidRPr="00527C2E">
        <w:rPr>
          <w:rFonts w:ascii="Times New Roman" w:eastAsia="Times New Roman" w:hAnsi="Times New Roman" w:cs="Times New Roman"/>
          <w:sz w:val="18"/>
          <w:szCs w:val="18"/>
        </w:rPr>
        <w:t xml:space="preserve"> </w:t>
      </w:r>
      <w:proofErr w:type="spellStart"/>
      <w:r w:rsidRPr="00527C2E">
        <w:rPr>
          <w:rFonts w:ascii="Times New Roman" w:eastAsia="Times New Roman" w:hAnsi="Times New Roman" w:cs="Times New Roman"/>
          <w:sz w:val="18"/>
          <w:szCs w:val="18"/>
        </w:rPr>
        <w:t>Waldfogel</w:t>
      </w:r>
      <w:proofErr w:type="spellEnd"/>
      <w:r w:rsidRPr="00527C2E">
        <w:rPr>
          <w:rFonts w:ascii="Times New Roman" w:eastAsia="Times New Roman" w:hAnsi="Times New Roman" w:cs="Times New Roman"/>
          <w:sz w:val="18"/>
          <w:szCs w:val="18"/>
        </w:rPr>
        <w:t>, J. (2001). Family and medical leave: Evidence from the 2000 surveys. </w:t>
      </w:r>
      <w:r w:rsidRPr="00527C2E">
        <w:rPr>
          <w:rFonts w:ascii="Times New Roman" w:eastAsia="Times New Roman" w:hAnsi="Times New Roman" w:cs="Times New Roman"/>
          <w:i/>
          <w:sz w:val="18"/>
          <w:szCs w:val="18"/>
        </w:rPr>
        <w:t>Monthly Lab. Rev.</w:t>
      </w:r>
      <w:r w:rsidRPr="00527C2E">
        <w:rPr>
          <w:rFonts w:ascii="Times New Roman" w:eastAsia="Times New Roman" w:hAnsi="Times New Roman" w:cs="Times New Roman"/>
          <w:sz w:val="18"/>
          <w:szCs w:val="18"/>
        </w:rPr>
        <w:t>, </w:t>
      </w:r>
      <w:r w:rsidRPr="00527C2E">
        <w:rPr>
          <w:rFonts w:ascii="Times New Roman" w:eastAsia="Times New Roman" w:hAnsi="Times New Roman" w:cs="Times New Roman"/>
          <w:i/>
          <w:sz w:val="18"/>
          <w:szCs w:val="18"/>
        </w:rPr>
        <w:t>124</w:t>
      </w:r>
      <w:r w:rsidRPr="00527C2E">
        <w:rPr>
          <w:rFonts w:ascii="Times New Roman" w:eastAsia="Times New Roman" w:hAnsi="Times New Roman" w:cs="Times New Roman"/>
          <w:sz w:val="18"/>
          <w:szCs w:val="18"/>
        </w:rPr>
        <w:t>, 17.</w:t>
      </w:r>
    </w:p>
  </w:endnote>
  <w:endnote w:id="5">
    <w:p w14:paraId="4EE0B9C9" w14:textId="77777777" w:rsidR="003C1D0E" w:rsidRPr="00527C2E" w:rsidRDefault="003C1D0E">
      <w:pPr>
        <w:spacing w:after="0" w:line="240" w:lineRule="auto"/>
        <w:jc w:val="left"/>
        <w:rPr>
          <w:rFonts w:ascii="Times New Roman" w:hAnsi="Times New Roman" w:cs="Times New Roman"/>
          <w:sz w:val="18"/>
          <w:szCs w:val="18"/>
        </w:rPr>
      </w:pPr>
      <w:r w:rsidRPr="00527C2E">
        <w:rPr>
          <w:rFonts w:ascii="Times New Roman" w:hAnsi="Times New Roman" w:cs="Times New Roman"/>
          <w:sz w:val="18"/>
          <w:szCs w:val="18"/>
          <w:vertAlign w:val="superscript"/>
        </w:rPr>
        <w:endnoteRef/>
      </w:r>
      <w:r w:rsidRPr="00527C2E">
        <w:rPr>
          <w:rFonts w:ascii="Times New Roman" w:eastAsia="Times New Roman" w:hAnsi="Times New Roman" w:cs="Times New Roman"/>
          <w:sz w:val="18"/>
          <w:szCs w:val="18"/>
        </w:rPr>
        <w:t xml:space="preserve"> </w:t>
      </w:r>
      <w:proofErr w:type="spellStart"/>
      <w:r w:rsidRPr="00527C2E">
        <w:rPr>
          <w:rFonts w:ascii="Times New Roman" w:eastAsia="Times New Roman" w:hAnsi="Times New Roman" w:cs="Times New Roman"/>
          <w:sz w:val="18"/>
          <w:szCs w:val="18"/>
        </w:rPr>
        <w:t>Klerman</w:t>
      </w:r>
      <w:proofErr w:type="spellEnd"/>
      <w:r w:rsidRPr="00527C2E">
        <w:rPr>
          <w:rFonts w:ascii="Times New Roman" w:eastAsia="Times New Roman" w:hAnsi="Times New Roman" w:cs="Times New Roman"/>
          <w:sz w:val="18"/>
          <w:szCs w:val="18"/>
        </w:rPr>
        <w:t xml:space="preserve">, J. A., Daley, K., and </w:t>
      </w:r>
      <w:proofErr w:type="spellStart"/>
      <w:r w:rsidRPr="00527C2E">
        <w:rPr>
          <w:rFonts w:ascii="Times New Roman" w:eastAsia="Times New Roman" w:hAnsi="Times New Roman" w:cs="Times New Roman"/>
          <w:sz w:val="18"/>
          <w:szCs w:val="18"/>
        </w:rPr>
        <w:t>Pozniak</w:t>
      </w:r>
      <w:proofErr w:type="spellEnd"/>
      <w:r w:rsidRPr="00527C2E">
        <w:rPr>
          <w:rFonts w:ascii="Times New Roman" w:eastAsia="Times New Roman" w:hAnsi="Times New Roman" w:cs="Times New Roman"/>
          <w:sz w:val="18"/>
          <w:szCs w:val="18"/>
        </w:rPr>
        <w:t>, A. (2012). Family and medical leave in 2012: Technical report. </w:t>
      </w:r>
      <w:r w:rsidRPr="00527C2E">
        <w:rPr>
          <w:rFonts w:ascii="Times New Roman" w:eastAsia="Times New Roman" w:hAnsi="Times New Roman" w:cs="Times New Roman"/>
          <w:i/>
          <w:sz w:val="18"/>
          <w:szCs w:val="18"/>
        </w:rPr>
        <w:t xml:space="preserve">Cambridge, MA: </w:t>
      </w:r>
      <w:proofErr w:type="spellStart"/>
      <w:r w:rsidRPr="00527C2E">
        <w:rPr>
          <w:rFonts w:ascii="Times New Roman" w:eastAsia="Times New Roman" w:hAnsi="Times New Roman" w:cs="Times New Roman"/>
          <w:i/>
          <w:sz w:val="18"/>
          <w:szCs w:val="18"/>
        </w:rPr>
        <w:t>Abt</w:t>
      </w:r>
      <w:proofErr w:type="spellEnd"/>
      <w:r w:rsidRPr="00527C2E">
        <w:rPr>
          <w:rFonts w:ascii="Times New Roman" w:eastAsia="Times New Roman" w:hAnsi="Times New Roman" w:cs="Times New Roman"/>
          <w:i/>
          <w:sz w:val="18"/>
          <w:szCs w:val="18"/>
        </w:rPr>
        <w:t xml:space="preserve"> Associates Inc</w:t>
      </w:r>
      <w:r w:rsidRPr="00527C2E">
        <w:rPr>
          <w:rFonts w:ascii="Times New Roman" w:eastAsia="Times New Roman" w:hAnsi="Times New Roman" w:cs="Times New Roman"/>
          <w:sz w:val="18"/>
          <w:szCs w:val="18"/>
        </w:rPr>
        <w:t>.</w:t>
      </w:r>
    </w:p>
  </w:endnote>
  <w:endnote w:id="6">
    <w:p w14:paraId="1E44301C" w14:textId="30E62777" w:rsidR="003C1D0E" w:rsidRDefault="003C1D0E">
      <w:pPr>
        <w:spacing w:after="0" w:line="240" w:lineRule="auto"/>
        <w:jc w:val="left"/>
      </w:pPr>
      <w:r w:rsidRPr="00527C2E">
        <w:rPr>
          <w:rFonts w:ascii="Times New Roman" w:hAnsi="Times New Roman" w:cs="Times New Roman"/>
          <w:sz w:val="18"/>
          <w:szCs w:val="18"/>
          <w:vertAlign w:val="superscript"/>
        </w:rPr>
        <w:endnoteRef/>
      </w:r>
      <w:r w:rsidRPr="00527C2E">
        <w:rPr>
          <w:rFonts w:ascii="Times New Roman" w:eastAsia="Times New Roman" w:hAnsi="Times New Roman" w:cs="Times New Roman"/>
          <w:sz w:val="18"/>
          <w:szCs w:val="18"/>
        </w:rPr>
        <w:t xml:space="preserve"> </w:t>
      </w:r>
      <w:proofErr w:type="spellStart"/>
      <w:r w:rsidRPr="00527C2E">
        <w:rPr>
          <w:rFonts w:ascii="Times New Roman" w:eastAsia="Times New Roman" w:hAnsi="Times New Roman" w:cs="Times New Roman"/>
          <w:sz w:val="18"/>
          <w:szCs w:val="18"/>
        </w:rPr>
        <w:t>Klerman</w:t>
      </w:r>
      <w:proofErr w:type="spellEnd"/>
      <w:r>
        <w:rPr>
          <w:rFonts w:ascii="Times New Roman" w:eastAsia="Times New Roman" w:hAnsi="Times New Roman" w:cs="Times New Roman"/>
          <w:sz w:val="16"/>
          <w:szCs w:val="16"/>
        </w:rPr>
        <w:t xml:space="preserve">, J. A., Daley, K., and </w:t>
      </w:r>
      <w:proofErr w:type="spellStart"/>
      <w:r>
        <w:rPr>
          <w:rFonts w:ascii="Times New Roman" w:eastAsia="Times New Roman" w:hAnsi="Times New Roman" w:cs="Times New Roman"/>
          <w:sz w:val="16"/>
          <w:szCs w:val="16"/>
        </w:rPr>
        <w:t>Pozniak</w:t>
      </w:r>
      <w:proofErr w:type="spellEnd"/>
      <w:r>
        <w:rPr>
          <w:rFonts w:ascii="Times New Roman" w:eastAsia="Times New Roman" w:hAnsi="Times New Roman" w:cs="Times New Roman"/>
          <w:sz w:val="16"/>
          <w:szCs w:val="16"/>
        </w:rPr>
        <w:t>, A. (2012). Family and medical leave in 2012: Technical report. </w:t>
      </w:r>
      <w:r>
        <w:rPr>
          <w:rFonts w:ascii="Times New Roman" w:eastAsia="Times New Roman" w:hAnsi="Times New Roman" w:cs="Times New Roman"/>
          <w:i/>
          <w:sz w:val="16"/>
          <w:szCs w:val="16"/>
        </w:rPr>
        <w:t xml:space="preserve">Cambridge, MA: </w:t>
      </w:r>
      <w:proofErr w:type="spellStart"/>
      <w:r>
        <w:rPr>
          <w:rFonts w:ascii="Times New Roman" w:eastAsia="Times New Roman" w:hAnsi="Times New Roman" w:cs="Times New Roman"/>
          <w:i/>
          <w:sz w:val="16"/>
          <w:szCs w:val="16"/>
        </w:rPr>
        <w:t>Abt</w:t>
      </w:r>
      <w:proofErr w:type="spellEnd"/>
      <w:r>
        <w:rPr>
          <w:rFonts w:ascii="Times New Roman" w:eastAsia="Times New Roman" w:hAnsi="Times New Roman" w:cs="Times New Roman"/>
          <w:i/>
          <w:sz w:val="16"/>
          <w:szCs w:val="16"/>
        </w:rPr>
        <w:t xml:space="preserve"> A</w:t>
      </w:r>
      <w:bookmarkStart w:id="0" w:name="_GoBack"/>
      <w:bookmarkEnd w:id="0"/>
      <w:r>
        <w:rPr>
          <w:rFonts w:ascii="Times New Roman" w:eastAsia="Times New Roman" w:hAnsi="Times New Roman" w:cs="Times New Roman"/>
          <w:i/>
          <w:sz w:val="16"/>
          <w:szCs w:val="16"/>
        </w:rPr>
        <w:t>ssociates Inc</w:t>
      </w:r>
      <w:r>
        <w:rPr>
          <w:rFonts w:ascii="Times New Roman" w:eastAsia="Times New Roman" w:hAnsi="Times New Roman" w:cs="Times New Roman"/>
          <w:sz w:val="16"/>
          <w:szCs w:val="16"/>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useo Sans 500">
    <w:altName w:val="Museo Sans 500"/>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68986" w14:textId="61CAA37A" w:rsidR="00B0507B" w:rsidRPr="00FC6724" w:rsidRDefault="00C26E2C" w:rsidP="00702D2C">
    <w:pPr>
      <w:tabs>
        <w:tab w:val="center" w:pos="4680"/>
        <w:tab w:val="right" w:pos="9360"/>
      </w:tabs>
      <w:spacing w:after="720" w:line="240" w:lineRule="auto"/>
      <w:jc w:val="right"/>
      <w:rPr>
        <w:rFonts w:asciiTheme="minorHAnsi" w:hAnsiTheme="minorHAnsi"/>
        <w:sz w:val="18"/>
        <w:szCs w:val="18"/>
      </w:rPr>
    </w:pPr>
    <w:r>
      <w:rPr>
        <w:rFonts w:asciiTheme="minorHAnsi" w:hAnsiTheme="minorHAnsi"/>
        <w:sz w:val="18"/>
        <w:szCs w:val="18"/>
      </w:rPr>
      <w:tab/>
    </w:r>
    <w:r w:rsidR="00A821BA" w:rsidRPr="00FC6724">
      <w:rPr>
        <w:rFonts w:asciiTheme="minorHAnsi" w:hAnsiTheme="minorHAnsi"/>
        <w:sz w:val="18"/>
        <w:szCs w:val="18"/>
      </w:rPr>
      <w:fldChar w:fldCharType="begin"/>
    </w:r>
    <w:r w:rsidR="00A821BA" w:rsidRPr="00FC6724">
      <w:rPr>
        <w:rFonts w:asciiTheme="minorHAnsi" w:hAnsiTheme="minorHAnsi"/>
        <w:sz w:val="18"/>
        <w:szCs w:val="18"/>
      </w:rPr>
      <w:instrText>PAGE</w:instrText>
    </w:r>
    <w:r w:rsidR="00A821BA" w:rsidRPr="00FC6724">
      <w:rPr>
        <w:rFonts w:asciiTheme="minorHAnsi" w:hAnsiTheme="minorHAnsi"/>
        <w:sz w:val="18"/>
        <w:szCs w:val="18"/>
      </w:rPr>
      <w:fldChar w:fldCharType="separate"/>
    </w:r>
    <w:r w:rsidR="00702D2C">
      <w:rPr>
        <w:rFonts w:asciiTheme="minorHAnsi" w:hAnsiTheme="minorHAnsi"/>
        <w:noProof/>
        <w:sz w:val="18"/>
        <w:szCs w:val="18"/>
      </w:rPr>
      <w:t>6</w:t>
    </w:r>
    <w:r w:rsidR="00A821BA" w:rsidRPr="00FC6724">
      <w:rPr>
        <w:rFonts w:asciiTheme="minorHAnsi" w:hAnsiTheme="minorHAns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8A72BA" w14:textId="77777777" w:rsidR="00F249AE" w:rsidRDefault="00F249AE">
      <w:pPr>
        <w:spacing w:after="0" w:line="240" w:lineRule="auto"/>
      </w:pPr>
      <w:r>
        <w:separator/>
      </w:r>
    </w:p>
  </w:footnote>
  <w:footnote w:type="continuationSeparator" w:id="0">
    <w:p w14:paraId="74A7A659" w14:textId="77777777" w:rsidR="00F249AE" w:rsidRDefault="00F249AE">
      <w:pPr>
        <w:spacing w:after="0" w:line="240" w:lineRule="auto"/>
      </w:pPr>
      <w:r>
        <w:continuationSeparator/>
      </w:r>
    </w:p>
  </w:footnote>
  <w:footnote w:id="1">
    <w:p w14:paraId="1673DFD8" w14:textId="68AEC2EE" w:rsidR="00155EC3" w:rsidRDefault="00155EC3">
      <w:pPr>
        <w:pStyle w:val="FootnoteText"/>
      </w:pPr>
      <w:r>
        <w:rPr>
          <w:rStyle w:val="FootnoteReference"/>
        </w:rPr>
        <w:footnoteRef/>
      </w:r>
      <w:r>
        <w:t xml:space="preserve"> </w:t>
      </w:r>
      <w:r w:rsidRPr="00B7335A">
        <w:rPr>
          <w:rFonts w:ascii="Times New Roman" w:hAnsi="Times New Roman"/>
          <w:i/>
          <w:sz w:val="16"/>
          <w:szCs w:val="16"/>
        </w:rPr>
        <w:t>This project was funded, either wholly or in part, with Federal funds from the U.S. Department of Labor’s Chief Evaluation Office under Contract # DOL-OPS-14-U-00040. The contents of this publication do not represent the views or policies of the Department.</w:t>
      </w:r>
    </w:p>
  </w:footnote>
  <w:footnote w:id="2">
    <w:p w14:paraId="4095F7BA" w14:textId="14D81A79" w:rsidR="00240A57" w:rsidRDefault="00240A57">
      <w:pPr>
        <w:pStyle w:val="FootnoteText"/>
      </w:pPr>
      <w:r>
        <w:rPr>
          <w:rStyle w:val="FootnoteReference"/>
        </w:rPr>
        <w:footnoteRef/>
      </w:r>
      <w:r>
        <w:t xml:space="preserve"> </w:t>
      </w:r>
      <w:r w:rsidRPr="00240A57">
        <w:rPr>
          <w:rFonts w:ascii="Times New Roman" w:hAnsi="Times New Roman"/>
          <w:sz w:val="16"/>
          <w:szCs w:val="16"/>
        </w:rPr>
        <w:t>Family and medical leave is defined in the FMLA survey as leave for one’s own serious health condition; caregiving for a serious health condition of a parent, spouse, relative, or child; for a new child; or to respond to the military deployment of a family member.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8DC7B" w14:textId="3619D9A4" w:rsidR="00B0507B" w:rsidRPr="00C35148" w:rsidRDefault="00C35148" w:rsidP="00C35148">
    <w:r w:rsidRPr="00C35148">
      <w:rPr>
        <w:noProof/>
        <w:lang w:eastAsia="zh-CN"/>
      </w:rPr>
      <w:drawing>
        <wp:anchor distT="0" distB="0" distL="114300" distR="114300" simplePos="0" relativeHeight="251659264" behindDoc="0" locked="0" layoutInCell="0" hidden="0" allowOverlap="1" wp14:anchorId="41BE855B" wp14:editId="1F8C240A">
          <wp:simplePos x="0" y="0"/>
          <wp:positionH relativeFrom="margin">
            <wp:posOffset>4286250</wp:posOffset>
          </wp:positionH>
          <wp:positionV relativeFrom="paragraph">
            <wp:posOffset>0</wp:posOffset>
          </wp:positionV>
          <wp:extent cx="2059643" cy="764448"/>
          <wp:effectExtent l="0" t="0" r="0" b="0"/>
          <wp:wrapNone/>
          <wp:docPr id="5" name="image08.png" descr="/Users/pmartires/Desktop/Unknown.png"/>
          <wp:cNvGraphicFramePr/>
          <a:graphic xmlns:a="http://schemas.openxmlformats.org/drawingml/2006/main">
            <a:graphicData uri="http://schemas.openxmlformats.org/drawingml/2006/picture">
              <pic:pic xmlns:pic="http://schemas.openxmlformats.org/drawingml/2006/picture">
                <pic:nvPicPr>
                  <pic:cNvPr id="0" name="image08.png" descr="/Users/pmartires/Desktop/Unknown.png"/>
                  <pic:cNvPicPr preferRelativeResize="0"/>
                </pic:nvPicPr>
                <pic:blipFill>
                  <a:blip r:embed="rId1"/>
                  <a:srcRect/>
                  <a:stretch>
                    <a:fillRect/>
                  </a:stretch>
                </pic:blipFill>
                <pic:spPr>
                  <a:xfrm>
                    <a:off x="0" y="0"/>
                    <a:ext cx="2059643" cy="764448"/>
                  </a:xfrm>
                  <a:prstGeom prst="rect">
                    <a:avLst/>
                  </a:prstGeom>
                  <a:ln/>
                </pic:spPr>
              </pic:pic>
            </a:graphicData>
          </a:graphic>
        </wp:anchor>
      </w:drawing>
    </w:r>
    <w:r w:rsidR="00A821BA" w:rsidRPr="00C35148">
      <w:rPr>
        <w:noProof/>
        <w:lang w:eastAsia="zh-CN"/>
      </w:rPr>
      <w:drawing>
        <wp:inline distT="152400" distB="152400" distL="152400" distR="152400" wp14:anchorId="1A16F536" wp14:editId="731513DF">
          <wp:extent cx="2277110" cy="755015"/>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
                  <a:srcRect/>
                  <a:stretch>
                    <a:fillRect/>
                  </a:stretch>
                </pic:blipFill>
                <pic:spPr>
                  <a:xfrm>
                    <a:off x="0" y="0"/>
                    <a:ext cx="2277110" cy="755015"/>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F77D0" w14:textId="0A0159A1" w:rsidR="00E03069" w:rsidRPr="00C35148" w:rsidRDefault="00E03069" w:rsidP="00C3514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47536"/>
    <w:multiLevelType w:val="multilevel"/>
    <w:tmpl w:val="25185462"/>
    <w:lvl w:ilvl="0">
      <w:start w:val="1"/>
      <w:numFmt w:val="bullet"/>
      <w:lvlText w:val=""/>
      <w:lvlJc w:val="left"/>
      <w:pPr>
        <w:ind w:left="360" w:firstLine="0"/>
      </w:pPr>
      <w:rPr>
        <w:rFonts w:ascii="Wingdings" w:hAnsi="Wingdings" w:hint="default"/>
        <w:color w:val="auto"/>
        <w:sz w:val="20"/>
        <w:szCs w:val="16"/>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07B"/>
    <w:rsid w:val="00012977"/>
    <w:rsid w:val="000A1D00"/>
    <w:rsid w:val="000D34E6"/>
    <w:rsid w:val="000F58ED"/>
    <w:rsid w:val="00152CC0"/>
    <w:rsid w:val="00155EC3"/>
    <w:rsid w:val="00240A57"/>
    <w:rsid w:val="002567A9"/>
    <w:rsid w:val="00286B48"/>
    <w:rsid w:val="002B0C61"/>
    <w:rsid w:val="002F002A"/>
    <w:rsid w:val="002F6282"/>
    <w:rsid w:val="0038268F"/>
    <w:rsid w:val="0038750F"/>
    <w:rsid w:val="003C1D0E"/>
    <w:rsid w:val="003D45A4"/>
    <w:rsid w:val="003D4CBF"/>
    <w:rsid w:val="003E068A"/>
    <w:rsid w:val="00413D87"/>
    <w:rsid w:val="0041683C"/>
    <w:rsid w:val="00465152"/>
    <w:rsid w:val="004C2F66"/>
    <w:rsid w:val="004E3335"/>
    <w:rsid w:val="004E61C8"/>
    <w:rsid w:val="004F7709"/>
    <w:rsid w:val="00527C2E"/>
    <w:rsid w:val="005500F6"/>
    <w:rsid w:val="00567FA7"/>
    <w:rsid w:val="005A6BD4"/>
    <w:rsid w:val="005F277B"/>
    <w:rsid w:val="00630484"/>
    <w:rsid w:val="0063743A"/>
    <w:rsid w:val="006D1B2A"/>
    <w:rsid w:val="006E36DF"/>
    <w:rsid w:val="00702D2C"/>
    <w:rsid w:val="00735EF2"/>
    <w:rsid w:val="00764D76"/>
    <w:rsid w:val="00774B61"/>
    <w:rsid w:val="007A0B54"/>
    <w:rsid w:val="007B729F"/>
    <w:rsid w:val="00824D0E"/>
    <w:rsid w:val="008308FF"/>
    <w:rsid w:val="008722C3"/>
    <w:rsid w:val="009218CA"/>
    <w:rsid w:val="00953D9F"/>
    <w:rsid w:val="00A03BD1"/>
    <w:rsid w:val="00A2542C"/>
    <w:rsid w:val="00A821BA"/>
    <w:rsid w:val="00AA0341"/>
    <w:rsid w:val="00B0507B"/>
    <w:rsid w:val="00B34C96"/>
    <w:rsid w:val="00B647CD"/>
    <w:rsid w:val="00BB521F"/>
    <w:rsid w:val="00C041E9"/>
    <w:rsid w:val="00C26E2C"/>
    <w:rsid w:val="00C3153B"/>
    <w:rsid w:val="00C35148"/>
    <w:rsid w:val="00C93455"/>
    <w:rsid w:val="00CA57F7"/>
    <w:rsid w:val="00CB5C42"/>
    <w:rsid w:val="00CB6F59"/>
    <w:rsid w:val="00CE23EC"/>
    <w:rsid w:val="00D030C5"/>
    <w:rsid w:val="00D51AF1"/>
    <w:rsid w:val="00D51F0B"/>
    <w:rsid w:val="00D5500A"/>
    <w:rsid w:val="00D612AD"/>
    <w:rsid w:val="00D75F59"/>
    <w:rsid w:val="00DA454B"/>
    <w:rsid w:val="00E03069"/>
    <w:rsid w:val="00E8154C"/>
    <w:rsid w:val="00F249AE"/>
    <w:rsid w:val="00F71225"/>
    <w:rsid w:val="00F83C1B"/>
    <w:rsid w:val="00FC6724"/>
    <w:rsid w:val="00FD5D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B6266"/>
  <w15:docId w15:val="{5850F8FD-590A-4158-A060-3EE8E4A04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Neue" w:eastAsia="Helvetica Neue" w:hAnsi="Helvetica Neue" w:cs="Helvetica Neue"/>
        <w:color w:val="000000"/>
        <w:sz w:val="22"/>
        <w:szCs w:val="22"/>
        <w:lang w:val="en-US" w:eastAsia="en-US" w:bidi="ar-SA"/>
      </w:rPr>
    </w:rPrDefault>
    <w:pPrDefault>
      <w:pPr>
        <w:tabs>
          <w:tab w:val="left" w:pos="1890"/>
          <w:tab w:val="left" w:pos="2340"/>
        </w:tabs>
        <w:spacing w:after="240" w:line="288"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after="0" w:line="240" w:lineRule="auto"/>
      <w:outlineLvl w:val="0"/>
    </w:pPr>
    <w:rPr>
      <w:color w:val="B2A97E"/>
      <w:sz w:val="24"/>
      <w:szCs w:val="24"/>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821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1BA"/>
    <w:rPr>
      <w:rFonts w:ascii="Tahoma" w:hAnsi="Tahoma" w:cs="Tahoma"/>
      <w:sz w:val="16"/>
      <w:szCs w:val="16"/>
    </w:rPr>
  </w:style>
  <w:style w:type="paragraph" w:styleId="Header">
    <w:name w:val="header"/>
    <w:basedOn w:val="Normal"/>
    <w:link w:val="HeaderChar"/>
    <w:uiPriority w:val="99"/>
    <w:unhideWhenUsed/>
    <w:rsid w:val="00D030C5"/>
    <w:pPr>
      <w:tabs>
        <w:tab w:val="clear" w:pos="1890"/>
        <w:tab w:val="clear" w:pos="2340"/>
        <w:tab w:val="center" w:pos="4680"/>
        <w:tab w:val="right" w:pos="9360"/>
      </w:tabs>
      <w:spacing w:after="0" w:line="240" w:lineRule="auto"/>
    </w:pPr>
  </w:style>
  <w:style w:type="character" w:customStyle="1" w:styleId="HeaderChar">
    <w:name w:val="Header Char"/>
    <w:basedOn w:val="DefaultParagraphFont"/>
    <w:link w:val="Header"/>
    <w:uiPriority w:val="99"/>
    <w:rsid w:val="00D030C5"/>
  </w:style>
  <w:style w:type="paragraph" w:styleId="Footer">
    <w:name w:val="footer"/>
    <w:basedOn w:val="Normal"/>
    <w:link w:val="FooterChar"/>
    <w:uiPriority w:val="99"/>
    <w:unhideWhenUsed/>
    <w:rsid w:val="00D030C5"/>
    <w:pPr>
      <w:tabs>
        <w:tab w:val="clear" w:pos="1890"/>
        <w:tab w:val="clear" w:pos="2340"/>
        <w:tab w:val="center" w:pos="4680"/>
        <w:tab w:val="right" w:pos="9360"/>
      </w:tabs>
      <w:spacing w:after="0" w:line="240" w:lineRule="auto"/>
    </w:pPr>
  </w:style>
  <w:style w:type="character" w:customStyle="1" w:styleId="FooterChar">
    <w:name w:val="Footer Char"/>
    <w:basedOn w:val="DefaultParagraphFont"/>
    <w:link w:val="Footer"/>
    <w:uiPriority w:val="99"/>
    <w:rsid w:val="00D030C5"/>
  </w:style>
  <w:style w:type="paragraph" w:customStyle="1" w:styleId="Body">
    <w:name w:val="Body"/>
    <w:rsid w:val="00152CC0"/>
    <w:pPr>
      <w:pBdr>
        <w:top w:val="nil"/>
        <w:left w:val="nil"/>
        <w:bottom w:val="nil"/>
        <w:right w:val="nil"/>
        <w:between w:val="nil"/>
        <w:bar w:val="nil"/>
      </w:pBdr>
      <w:tabs>
        <w:tab w:val="clear" w:pos="1890"/>
        <w:tab w:val="clear" w:pos="2340"/>
      </w:tabs>
      <w:spacing w:after="0" w:line="240" w:lineRule="auto"/>
      <w:jc w:val="left"/>
    </w:pPr>
    <w:rPr>
      <w:rFonts w:ascii="Helvetica" w:eastAsia="Arial Unicode MS" w:hAnsi="Arial Unicode MS" w:cs="Arial Unicode MS"/>
      <w:bdr w:val="nil"/>
    </w:rPr>
  </w:style>
  <w:style w:type="paragraph" w:styleId="EndnoteText">
    <w:name w:val="endnote text"/>
    <w:basedOn w:val="Normal"/>
    <w:link w:val="EndnoteTextChar"/>
    <w:uiPriority w:val="99"/>
    <w:semiHidden/>
    <w:unhideWhenUsed/>
    <w:rsid w:val="003C1D0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C1D0E"/>
    <w:rPr>
      <w:sz w:val="20"/>
      <w:szCs w:val="20"/>
    </w:rPr>
  </w:style>
  <w:style w:type="paragraph" w:styleId="FootnoteText">
    <w:name w:val="footnote text"/>
    <w:basedOn w:val="Normal"/>
    <w:link w:val="FootnoteTextChar"/>
    <w:uiPriority w:val="99"/>
    <w:semiHidden/>
    <w:unhideWhenUsed/>
    <w:rsid w:val="003C1D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1D0E"/>
    <w:rPr>
      <w:sz w:val="20"/>
      <w:szCs w:val="20"/>
    </w:rPr>
  </w:style>
  <w:style w:type="character" w:styleId="EndnoteReference">
    <w:name w:val="endnote reference"/>
    <w:basedOn w:val="DefaultParagraphFont"/>
    <w:uiPriority w:val="99"/>
    <w:semiHidden/>
    <w:unhideWhenUsed/>
    <w:rsid w:val="003C1D0E"/>
    <w:rPr>
      <w:vertAlign w:val="superscript"/>
    </w:rPr>
  </w:style>
  <w:style w:type="character" w:styleId="FootnoteReference">
    <w:name w:val="footnote reference"/>
    <w:basedOn w:val="DefaultParagraphFont"/>
    <w:uiPriority w:val="99"/>
    <w:semiHidden/>
    <w:unhideWhenUsed/>
    <w:rsid w:val="003C1D0E"/>
    <w:rPr>
      <w:vertAlign w:val="superscript"/>
    </w:rPr>
  </w:style>
  <w:style w:type="character" w:styleId="CommentReference">
    <w:name w:val="annotation reference"/>
    <w:basedOn w:val="DefaultParagraphFont"/>
    <w:uiPriority w:val="99"/>
    <w:semiHidden/>
    <w:unhideWhenUsed/>
    <w:rsid w:val="00CB5C42"/>
    <w:rPr>
      <w:sz w:val="16"/>
      <w:szCs w:val="16"/>
    </w:rPr>
  </w:style>
  <w:style w:type="paragraph" w:styleId="CommentText">
    <w:name w:val="annotation text"/>
    <w:basedOn w:val="Normal"/>
    <w:link w:val="CommentTextChar"/>
    <w:uiPriority w:val="99"/>
    <w:semiHidden/>
    <w:unhideWhenUsed/>
    <w:rsid w:val="00CB5C42"/>
    <w:pPr>
      <w:spacing w:line="240" w:lineRule="auto"/>
    </w:pPr>
    <w:rPr>
      <w:sz w:val="20"/>
      <w:szCs w:val="20"/>
    </w:rPr>
  </w:style>
  <w:style w:type="character" w:customStyle="1" w:styleId="CommentTextChar">
    <w:name w:val="Comment Text Char"/>
    <w:basedOn w:val="DefaultParagraphFont"/>
    <w:link w:val="CommentText"/>
    <w:uiPriority w:val="99"/>
    <w:semiHidden/>
    <w:rsid w:val="00CB5C42"/>
    <w:rPr>
      <w:sz w:val="20"/>
      <w:szCs w:val="20"/>
    </w:rPr>
  </w:style>
  <w:style w:type="paragraph" w:styleId="CommentSubject">
    <w:name w:val="annotation subject"/>
    <w:basedOn w:val="CommentText"/>
    <w:next w:val="CommentText"/>
    <w:link w:val="CommentSubjectChar"/>
    <w:uiPriority w:val="99"/>
    <w:semiHidden/>
    <w:unhideWhenUsed/>
    <w:rsid w:val="00CB5C42"/>
    <w:rPr>
      <w:b/>
      <w:bCs/>
    </w:rPr>
  </w:style>
  <w:style w:type="character" w:customStyle="1" w:styleId="CommentSubjectChar">
    <w:name w:val="Comment Subject Char"/>
    <w:basedOn w:val="CommentTextChar"/>
    <w:link w:val="CommentSubject"/>
    <w:uiPriority w:val="99"/>
    <w:semiHidden/>
    <w:rsid w:val="00CB5C42"/>
    <w:rPr>
      <w:b/>
      <w:bCs/>
      <w:sz w:val="20"/>
      <w:szCs w:val="20"/>
    </w:rPr>
  </w:style>
  <w:style w:type="character" w:customStyle="1" w:styleId="A6">
    <w:name w:val="A6"/>
    <w:uiPriority w:val="99"/>
    <w:rsid w:val="005F277B"/>
    <w:rPr>
      <w:rFonts w:cs="Museo Sans 500"/>
      <w:sz w:val="16"/>
      <w:szCs w:val="16"/>
    </w:rPr>
  </w:style>
  <w:style w:type="paragraph" w:styleId="Revision">
    <w:name w:val="Revision"/>
    <w:hidden/>
    <w:uiPriority w:val="99"/>
    <w:semiHidden/>
    <w:rsid w:val="00D612AD"/>
    <w:pPr>
      <w:tabs>
        <w:tab w:val="clear" w:pos="1890"/>
        <w:tab w:val="clear" w:pos="2340"/>
      </w:tabs>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507044">
      <w:bodyDiv w:val="1"/>
      <w:marLeft w:val="0"/>
      <w:marRight w:val="0"/>
      <w:marTop w:val="0"/>
      <w:marBottom w:val="0"/>
      <w:divBdr>
        <w:top w:val="none" w:sz="0" w:space="0" w:color="auto"/>
        <w:left w:val="none" w:sz="0" w:space="0" w:color="auto"/>
        <w:bottom w:val="none" w:sz="0" w:space="0" w:color="auto"/>
        <w:right w:val="none" w:sz="0" w:space="0" w:color="auto"/>
      </w:divBdr>
    </w:div>
    <w:div w:id="398134872">
      <w:bodyDiv w:val="1"/>
      <w:marLeft w:val="0"/>
      <w:marRight w:val="0"/>
      <w:marTop w:val="0"/>
      <w:marBottom w:val="0"/>
      <w:divBdr>
        <w:top w:val="none" w:sz="0" w:space="0" w:color="auto"/>
        <w:left w:val="none" w:sz="0" w:space="0" w:color="auto"/>
        <w:bottom w:val="none" w:sz="0" w:space="0" w:color="auto"/>
        <w:right w:val="none" w:sz="0" w:space="0" w:color="auto"/>
      </w:divBdr>
    </w:div>
    <w:div w:id="710306877">
      <w:bodyDiv w:val="1"/>
      <w:marLeft w:val="0"/>
      <w:marRight w:val="0"/>
      <w:marTop w:val="0"/>
      <w:marBottom w:val="0"/>
      <w:divBdr>
        <w:top w:val="none" w:sz="0" w:space="0" w:color="auto"/>
        <w:left w:val="none" w:sz="0" w:space="0" w:color="auto"/>
        <w:bottom w:val="none" w:sz="0" w:space="0" w:color="auto"/>
        <w:right w:val="none" w:sz="0" w:space="0" w:color="auto"/>
      </w:divBdr>
    </w:div>
    <w:div w:id="1989282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afsv03\Research\Labor%20Division%20Master\Active%20Project\2400%20-%20Worker%20Leave%20Analysis\Technical\Tasks\Task%206%20-%20Dissemination%20Activities\Issue%20Brief%20Topics\Topic%20%234%20-%20Changes%20in%20Leave-Taking%20Behaviors\FMLATables_1118.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Percentage</c:v>
                </c:pt>
              </c:strCache>
            </c:strRef>
          </c:tx>
          <c:spPr>
            <a:solidFill>
              <a:srgbClr val="82002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Sheet1!$A$2:$A$9</c:f>
              <c:strCache>
                <c:ptCount val="8"/>
                <c:pt idx="0">
                  <c:v>Union-Provided Information</c:v>
                </c:pt>
                <c:pt idx="1">
                  <c:v>Friend or Neighbor</c:v>
                </c:pt>
                <c:pt idx="2">
                  <c:v>Co-Workers</c:v>
                </c:pt>
                <c:pt idx="3">
                  <c:v>FMLA Posters</c:v>
                </c:pt>
                <c:pt idx="4">
                  <c:v>Family Members</c:v>
                </c:pt>
                <c:pt idx="5">
                  <c:v>Media (TV, Newspapers, Internet)</c:v>
                </c:pt>
                <c:pt idx="6">
                  <c:v>Other</c:v>
                </c:pt>
                <c:pt idx="7">
                  <c:v>Employer or Human Resource Office</c:v>
                </c:pt>
              </c:strCache>
            </c:strRef>
          </c:cat>
          <c:val>
            <c:numRef>
              <c:f>Sheet1!$B$2:$B$9</c:f>
              <c:numCache>
                <c:formatCode>0.0%</c:formatCode>
                <c:ptCount val="8"/>
                <c:pt idx="0">
                  <c:v>0.02</c:v>
                </c:pt>
                <c:pt idx="1">
                  <c:v>2.1999999999999999E-2</c:v>
                </c:pt>
                <c:pt idx="2">
                  <c:v>3.5999999999999997E-2</c:v>
                </c:pt>
                <c:pt idx="3">
                  <c:v>3.6999999999999998E-2</c:v>
                </c:pt>
                <c:pt idx="4">
                  <c:v>4.2999999999999997E-2</c:v>
                </c:pt>
                <c:pt idx="5">
                  <c:v>0.11</c:v>
                </c:pt>
                <c:pt idx="6">
                  <c:v>0.16600000000000001</c:v>
                </c:pt>
                <c:pt idx="7">
                  <c:v>0.56599999999999995</c:v>
                </c:pt>
              </c:numCache>
            </c:numRef>
          </c:val>
        </c:ser>
        <c:dLbls>
          <c:showLegendKey val="0"/>
          <c:showVal val="0"/>
          <c:showCatName val="0"/>
          <c:showSerName val="0"/>
          <c:showPercent val="0"/>
          <c:showBubbleSize val="0"/>
        </c:dLbls>
        <c:gapWidth val="219"/>
        <c:axId val="292185632"/>
        <c:axId val="388362976"/>
      </c:barChart>
      <c:catAx>
        <c:axId val="2921856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388362976"/>
        <c:crosses val="autoZero"/>
        <c:auto val="1"/>
        <c:lblAlgn val="l"/>
        <c:lblOffset val="100"/>
        <c:noMultiLvlLbl val="0"/>
      </c:catAx>
      <c:valAx>
        <c:axId val="388362976"/>
        <c:scaling>
          <c:orientation val="minMax"/>
        </c:scaling>
        <c:delete val="0"/>
        <c:axPos val="b"/>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921856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FB9EB-30FD-4E81-8065-B0E4F06DB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1438</Words>
  <Characters>8201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9620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Yancey, Christina L - ASP</dc:creator>
  <cp:lastModifiedBy>Ye Zhang</cp:lastModifiedBy>
  <cp:revision>3</cp:revision>
  <cp:lastPrinted>2017-01-11T20:54:00Z</cp:lastPrinted>
  <dcterms:created xsi:type="dcterms:W3CDTF">2017-01-12T03:38:00Z</dcterms:created>
  <dcterms:modified xsi:type="dcterms:W3CDTF">2017-01-12T03:44:00Z</dcterms:modified>
</cp:coreProperties>
</file>