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489E" w14:textId="2D547CAB" w:rsidR="001A2EB4" w:rsidRPr="00DC17F5" w:rsidRDefault="001719A4" w:rsidP="00DC17F5">
      <w:r>
        <w:rPr>
          <w:b/>
          <w:noProof/>
        </w:rPr>
        <w:drawing>
          <wp:anchor distT="0" distB="0" distL="114300" distR="114300" simplePos="0" relativeHeight="251658240" behindDoc="0" locked="0" layoutInCell="1" allowOverlap="1" wp14:anchorId="7D9DE439" wp14:editId="50F0DB1C">
            <wp:simplePos x="0" y="0"/>
            <wp:positionH relativeFrom="column">
              <wp:posOffset>-901521</wp:posOffset>
            </wp:positionH>
            <wp:positionV relativeFrom="paragraph">
              <wp:posOffset>-914400</wp:posOffset>
            </wp:positionV>
            <wp:extent cx="7782314" cy="10071279"/>
            <wp:effectExtent l="0" t="0" r="952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3609" cy="10085896"/>
                    </a:xfrm>
                    <a:prstGeom prst="rect">
                      <a:avLst/>
                    </a:prstGeom>
                  </pic:spPr>
                </pic:pic>
              </a:graphicData>
            </a:graphic>
            <wp14:sizeRelH relativeFrom="page">
              <wp14:pctWidth>0</wp14:pctWidth>
            </wp14:sizeRelH>
            <wp14:sizeRelV relativeFrom="page">
              <wp14:pctHeight>0</wp14:pctHeight>
            </wp14:sizeRelV>
          </wp:anchor>
        </w:drawing>
      </w:r>
      <w:r w:rsidR="00C64FB4">
        <w:rPr>
          <w:b/>
        </w:rPr>
        <w:t xml:space="preserve"> </w:t>
      </w:r>
    </w:p>
    <w:p w14:paraId="338DC2B8" w14:textId="77777777" w:rsidR="001A2EB4" w:rsidRDefault="001A2EB4" w:rsidP="00AA4C10">
      <w:pPr>
        <w:pStyle w:val="BodyText"/>
        <w:sectPr w:rsidR="001A2EB4" w:rsidSect="000B61A7">
          <w:headerReference w:type="even" r:id="rId9"/>
          <w:headerReference w:type="default" r:id="rId10"/>
          <w:headerReference w:type="first" r:id="rId11"/>
          <w:pgSz w:w="12240" w:h="15840" w:code="1"/>
          <w:pgMar w:top="1440" w:right="1440" w:bottom="1440" w:left="1440" w:header="720" w:footer="720" w:gutter="0"/>
          <w:pgNumType w:start="1" w:chapStyle="1"/>
          <w:cols w:space="720"/>
          <w:docGrid w:linePitch="299"/>
        </w:sectPr>
      </w:pPr>
    </w:p>
    <w:p w14:paraId="7ACEDD5C" w14:textId="77777777" w:rsidR="00351257" w:rsidRDefault="00351257" w:rsidP="00351257">
      <w:pPr>
        <w:pStyle w:val="BodyText"/>
        <w:rPr>
          <w:lang w:val="en-US"/>
        </w:rPr>
      </w:pPr>
    </w:p>
    <w:p w14:paraId="64D0C975" w14:textId="238323D8" w:rsidR="00CA31AE" w:rsidRDefault="00CA31AE" w:rsidP="00351257">
      <w:pPr>
        <w:pStyle w:val="BodyText"/>
        <w:rPr>
          <w:lang w:val="en-US"/>
        </w:rPr>
      </w:pPr>
    </w:p>
    <w:p w14:paraId="5B5D13B9" w14:textId="77777777" w:rsidR="007C715A" w:rsidRDefault="007C715A" w:rsidP="00645684">
      <w:pPr>
        <w:pStyle w:val="BodyText"/>
        <w:jc w:val="center"/>
        <w:rPr>
          <w:lang w:val="en-US"/>
        </w:rPr>
      </w:pPr>
    </w:p>
    <w:p w14:paraId="1CCA8D3B" w14:textId="77777777" w:rsidR="007C715A" w:rsidRDefault="007C715A" w:rsidP="00645684">
      <w:pPr>
        <w:pStyle w:val="BodyText"/>
        <w:jc w:val="center"/>
        <w:rPr>
          <w:lang w:val="en-US"/>
        </w:rPr>
      </w:pPr>
    </w:p>
    <w:p w14:paraId="2198CEED" w14:textId="77777777" w:rsidR="007C715A" w:rsidRDefault="007C715A" w:rsidP="00645684">
      <w:pPr>
        <w:pStyle w:val="BodyText"/>
        <w:jc w:val="center"/>
        <w:rPr>
          <w:lang w:val="en-US"/>
        </w:rPr>
      </w:pPr>
    </w:p>
    <w:p w14:paraId="7E47204D" w14:textId="77777777" w:rsidR="007C715A" w:rsidRDefault="007C715A" w:rsidP="00645684">
      <w:pPr>
        <w:pStyle w:val="BodyText"/>
        <w:jc w:val="center"/>
        <w:rPr>
          <w:lang w:val="en-US"/>
        </w:rPr>
      </w:pPr>
    </w:p>
    <w:p w14:paraId="09AF31BF" w14:textId="77777777" w:rsidR="007C715A" w:rsidRDefault="007C715A" w:rsidP="00645684">
      <w:pPr>
        <w:pStyle w:val="BodyText"/>
        <w:jc w:val="center"/>
        <w:rPr>
          <w:lang w:val="en-US"/>
        </w:rPr>
      </w:pPr>
    </w:p>
    <w:p w14:paraId="211424F6" w14:textId="77777777" w:rsidR="007C715A" w:rsidRDefault="007C715A" w:rsidP="00645684">
      <w:pPr>
        <w:pStyle w:val="BodyText"/>
        <w:jc w:val="center"/>
        <w:rPr>
          <w:lang w:val="en-US"/>
        </w:rPr>
      </w:pPr>
    </w:p>
    <w:p w14:paraId="1CDAAA2A" w14:textId="77777777" w:rsidR="007C715A" w:rsidRDefault="007C715A" w:rsidP="00645684">
      <w:pPr>
        <w:pStyle w:val="BodyText"/>
        <w:jc w:val="center"/>
        <w:rPr>
          <w:lang w:val="en-US"/>
        </w:rPr>
      </w:pPr>
    </w:p>
    <w:p w14:paraId="0BBEDAF6" w14:textId="77777777" w:rsidR="007C715A" w:rsidRDefault="007C715A" w:rsidP="00645684">
      <w:pPr>
        <w:pStyle w:val="BodyText"/>
        <w:jc w:val="center"/>
        <w:rPr>
          <w:lang w:val="en-US"/>
        </w:rPr>
      </w:pPr>
    </w:p>
    <w:p w14:paraId="33E2D0B5" w14:textId="77777777" w:rsidR="007C715A" w:rsidRDefault="007C715A" w:rsidP="00645684">
      <w:pPr>
        <w:pStyle w:val="BodyText"/>
        <w:jc w:val="center"/>
        <w:rPr>
          <w:lang w:val="en-US"/>
        </w:rPr>
      </w:pPr>
    </w:p>
    <w:p w14:paraId="1F6D7238" w14:textId="77777777" w:rsidR="007C715A" w:rsidRDefault="007C715A" w:rsidP="00645684">
      <w:pPr>
        <w:pStyle w:val="BodyText"/>
        <w:jc w:val="center"/>
        <w:rPr>
          <w:lang w:val="en-US"/>
        </w:rPr>
      </w:pPr>
    </w:p>
    <w:p w14:paraId="44C3863E" w14:textId="77777777" w:rsidR="007C715A" w:rsidRDefault="007C715A" w:rsidP="00645684">
      <w:pPr>
        <w:pStyle w:val="BodyText"/>
        <w:jc w:val="center"/>
        <w:rPr>
          <w:lang w:val="en-US"/>
        </w:rPr>
      </w:pPr>
    </w:p>
    <w:p w14:paraId="1C01BF55" w14:textId="77777777" w:rsidR="007C715A" w:rsidRDefault="007C715A" w:rsidP="00645684">
      <w:pPr>
        <w:pStyle w:val="BodyText"/>
        <w:jc w:val="center"/>
        <w:rPr>
          <w:lang w:val="en-US"/>
        </w:rPr>
      </w:pPr>
    </w:p>
    <w:p w14:paraId="0A15EC4F" w14:textId="77777777" w:rsidR="007C715A" w:rsidRDefault="007C715A" w:rsidP="00645684">
      <w:pPr>
        <w:pStyle w:val="BodyText"/>
        <w:jc w:val="center"/>
        <w:rPr>
          <w:lang w:val="en-US"/>
        </w:rPr>
      </w:pPr>
    </w:p>
    <w:p w14:paraId="061750AB" w14:textId="77777777" w:rsidR="007C715A" w:rsidRDefault="007C715A" w:rsidP="00645684">
      <w:pPr>
        <w:pStyle w:val="BodyText"/>
        <w:jc w:val="center"/>
        <w:rPr>
          <w:lang w:val="en-US"/>
        </w:rPr>
      </w:pPr>
    </w:p>
    <w:p w14:paraId="477E6BEA" w14:textId="77777777" w:rsidR="007C715A" w:rsidRDefault="007C715A" w:rsidP="00645684">
      <w:pPr>
        <w:pStyle w:val="BodyText"/>
        <w:jc w:val="center"/>
        <w:rPr>
          <w:lang w:val="en-US"/>
        </w:rPr>
      </w:pPr>
    </w:p>
    <w:p w14:paraId="57FEC7E6" w14:textId="77777777" w:rsidR="007C715A" w:rsidRDefault="007C715A" w:rsidP="00645684">
      <w:pPr>
        <w:pStyle w:val="BodyText"/>
        <w:jc w:val="center"/>
        <w:rPr>
          <w:lang w:val="en-US"/>
        </w:rPr>
      </w:pPr>
    </w:p>
    <w:p w14:paraId="64479EDD" w14:textId="77777777" w:rsidR="007C715A" w:rsidRDefault="007C715A" w:rsidP="00645684">
      <w:pPr>
        <w:pStyle w:val="BodyText"/>
        <w:jc w:val="center"/>
        <w:rPr>
          <w:lang w:val="en-US"/>
        </w:rPr>
      </w:pPr>
    </w:p>
    <w:p w14:paraId="2AA67C19" w14:textId="77777777" w:rsidR="007C715A" w:rsidRDefault="007C715A" w:rsidP="00645684">
      <w:pPr>
        <w:pStyle w:val="BodyText"/>
        <w:jc w:val="center"/>
        <w:rPr>
          <w:lang w:val="en-US"/>
        </w:rPr>
      </w:pPr>
    </w:p>
    <w:p w14:paraId="4FF38F91" w14:textId="77777777" w:rsidR="007C715A" w:rsidRDefault="007C715A" w:rsidP="00645684">
      <w:pPr>
        <w:pStyle w:val="BodyText"/>
        <w:jc w:val="center"/>
        <w:rPr>
          <w:lang w:val="en-US"/>
        </w:rPr>
      </w:pPr>
    </w:p>
    <w:p w14:paraId="4DD78843" w14:textId="77777777" w:rsidR="007C715A" w:rsidRDefault="007C715A" w:rsidP="00645684">
      <w:pPr>
        <w:pStyle w:val="BodyText"/>
        <w:jc w:val="center"/>
        <w:rPr>
          <w:lang w:val="en-US"/>
        </w:rPr>
      </w:pPr>
    </w:p>
    <w:p w14:paraId="6D0F006A" w14:textId="77777777" w:rsidR="00645684" w:rsidRDefault="00645684" w:rsidP="00645684">
      <w:pPr>
        <w:pStyle w:val="BodyText"/>
        <w:jc w:val="center"/>
        <w:rPr>
          <w:lang w:val="en-US"/>
        </w:rPr>
      </w:pPr>
      <w:bookmarkStart w:id="0" w:name="_GoBack"/>
      <w:bookmarkEnd w:id="0"/>
      <w:r>
        <w:rPr>
          <w:noProof/>
          <w:lang w:val="en-US"/>
        </w:rPr>
        <w:drawing>
          <wp:inline distT="0" distB="0" distL="0" distR="0" wp14:anchorId="23C4BD99" wp14:editId="035A460C">
            <wp:extent cx="2057400" cy="9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t_assoc_logo_tag_pms_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4421" cy="960096"/>
                    </a:xfrm>
                    <a:prstGeom prst="rect">
                      <a:avLst/>
                    </a:prstGeom>
                  </pic:spPr>
                </pic:pic>
              </a:graphicData>
            </a:graphic>
          </wp:inline>
        </w:drawing>
      </w:r>
    </w:p>
    <w:p w14:paraId="738FD538" w14:textId="77777777" w:rsidR="009C0A96" w:rsidRPr="00351257" w:rsidRDefault="009C0A96" w:rsidP="00645684">
      <w:pPr>
        <w:pStyle w:val="BodyText"/>
        <w:jc w:val="center"/>
        <w:rPr>
          <w:lang w:val="en-US"/>
        </w:rPr>
      </w:pPr>
    </w:p>
    <w:p w14:paraId="6FF3C924" w14:textId="1A3E5EDB" w:rsidR="00645684" w:rsidRDefault="00645684" w:rsidP="00645684">
      <w:pPr>
        <w:pStyle w:val="BodyText"/>
        <w:jc w:val="center"/>
        <w:rPr>
          <w:lang w:val="en-US"/>
        </w:rPr>
      </w:pPr>
      <w:r>
        <w:rPr>
          <w:lang w:val="en-US"/>
        </w:rPr>
        <w:t>Abt Associates</w:t>
      </w:r>
      <w:r w:rsidR="009F1258">
        <w:rPr>
          <w:lang w:val="en-US"/>
        </w:rPr>
        <w:t xml:space="preserve"> </w:t>
      </w:r>
      <w:r>
        <w:rPr>
          <w:lang w:val="en-US"/>
        </w:rPr>
        <w:t>|</w:t>
      </w:r>
      <w:r w:rsidR="009F1258">
        <w:rPr>
          <w:lang w:val="en-US"/>
        </w:rPr>
        <w:t xml:space="preserve"> </w:t>
      </w:r>
      <w:r>
        <w:rPr>
          <w:lang w:val="en-US"/>
        </w:rPr>
        <w:t>6130 Executive Boulevard</w:t>
      </w:r>
      <w:r w:rsidR="009F1258">
        <w:rPr>
          <w:lang w:val="en-US"/>
        </w:rPr>
        <w:t xml:space="preserve"> </w:t>
      </w:r>
      <w:r>
        <w:rPr>
          <w:lang w:val="en-US"/>
        </w:rPr>
        <w:t>|</w:t>
      </w:r>
      <w:r w:rsidR="009F1258">
        <w:rPr>
          <w:lang w:val="en-US"/>
        </w:rPr>
        <w:t xml:space="preserve"> </w:t>
      </w:r>
      <w:r>
        <w:rPr>
          <w:lang w:val="en-US"/>
        </w:rPr>
        <w:t>Rockville, MD 20852</w:t>
      </w:r>
    </w:p>
    <w:p w14:paraId="3860DEB3" w14:textId="77777777" w:rsidR="0047178D" w:rsidRPr="0047178D" w:rsidRDefault="0047178D" w:rsidP="0047178D">
      <w:pPr>
        <w:pStyle w:val="BodyText"/>
      </w:pPr>
    </w:p>
    <w:p w14:paraId="51D7744A" w14:textId="77777777" w:rsidR="0047178D" w:rsidRPr="0047178D" w:rsidRDefault="0047178D" w:rsidP="0047178D">
      <w:pPr>
        <w:pStyle w:val="BodyText"/>
      </w:pPr>
    </w:p>
    <w:p w14:paraId="519518EB" w14:textId="77777777" w:rsidR="0047178D" w:rsidRPr="00645684" w:rsidRDefault="0047178D" w:rsidP="00645684">
      <w:pPr>
        <w:pStyle w:val="BodyText"/>
        <w:jc w:val="center"/>
        <w:rPr>
          <w:lang w:val="en-US"/>
        </w:rPr>
        <w:sectPr w:rsidR="0047178D" w:rsidRPr="00645684" w:rsidSect="000B61A7">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start="1"/>
          <w:cols w:space="720"/>
          <w:docGrid w:linePitch="299"/>
        </w:sectPr>
      </w:pPr>
    </w:p>
    <w:p w14:paraId="76785765" w14:textId="77777777" w:rsidR="003453BD" w:rsidRPr="00C64FB4" w:rsidRDefault="003453BD" w:rsidP="00D57BF2">
      <w:pPr>
        <w:pStyle w:val="TOCHeader"/>
      </w:pPr>
      <w:r w:rsidRPr="00C64FB4">
        <w:lastRenderedPageBreak/>
        <w:t>CONTENTS</w:t>
      </w:r>
    </w:p>
    <w:p w14:paraId="62CE6CF6" w14:textId="77777777" w:rsidR="009E5813" w:rsidRDefault="0072434E">
      <w:pPr>
        <w:pStyle w:val="TOC1"/>
        <w:rPr>
          <w:rFonts w:asciiTheme="minorHAnsi" w:eastAsiaTheme="minorEastAsia" w:hAnsiTheme="minorHAnsi" w:cstheme="minorBidi"/>
          <w:b w:val="0"/>
          <w:szCs w:val="22"/>
        </w:rPr>
      </w:pPr>
      <w:r>
        <w:fldChar w:fldCharType="begin"/>
      </w:r>
      <w:r>
        <w:instrText xml:space="preserve"> TOC \o "1-3" \h \z \t "Heading 2 No Numbering,2" </w:instrText>
      </w:r>
      <w:r>
        <w:fldChar w:fldCharType="separate"/>
      </w:r>
      <w:hyperlink w:anchor="_Toc31877092" w:history="1">
        <w:r w:rsidR="009E5813" w:rsidRPr="001E6522">
          <w:rPr>
            <w:rStyle w:val="Hyperlink"/>
          </w:rPr>
          <w:t>Introduction</w:t>
        </w:r>
        <w:r w:rsidR="009E5813">
          <w:rPr>
            <w:webHidden/>
          </w:rPr>
          <w:tab/>
        </w:r>
        <w:r w:rsidR="009E5813">
          <w:rPr>
            <w:webHidden/>
          </w:rPr>
          <w:fldChar w:fldCharType="begin"/>
        </w:r>
        <w:r w:rsidR="009E5813">
          <w:rPr>
            <w:webHidden/>
          </w:rPr>
          <w:instrText xml:space="preserve"> PAGEREF _Toc31877092 \h </w:instrText>
        </w:r>
        <w:r w:rsidR="009E5813">
          <w:rPr>
            <w:webHidden/>
          </w:rPr>
        </w:r>
        <w:r w:rsidR="009E5813">
          <w:rPr>
            <w:webHidden/>
          </w:rPr>
          <w:fldChar w:fldCharType="separate"/>
        </w:r>
        <w:r w:rsidR="009E5813">
          <w:rPr>
            <w:webHidden/>
          </w:rPr>
          <w:t>1</w:t>
        </w:r>
        <w:r w:rsidR="009E5813">
          <w:rPr>
            <w:webHidden/>
          </w:rPr>
          <w:fldChar w:fldCharType="end"/>
        </w:r>
      </w:hyperlink>
    </w:p>
    <w:p w14:paraId="24370185" w14:textId="77777777" w:rsidR="009E5813" w:rsidRDefault="007C715A">
      <w:pPr>
        <w:pStyle w:val="TOC1"/>
        <w:rPr>
          <w:rFonts w:asciiTheme="minorHAnsi" w:eastAsiaTheme="minorEastAsia" w:hAnsiTheme="minorHAnsi" w:cstheme="minorBidi"/>
          <w:b w:val="0"/>
          <w:szCs w:val="22"/>
        </w:rPr>
      </w:pPr>
      <w:hyperlink w:anchor="_Toc31877093" w:history="1">
        <w:r w:rsidR="009E5813" w:rsidRPr="001E6522">
          <w:rPr>
            <w:rStyle w:val="Hyperlink"/>
          </w:rPr>
          <w:t>Chapter 1: 2018 FMLA Worksite Survey</w:t>
        </w:r>
        <w:r w:rsidR="009E5813">
          <w:rPr>
            <w:webHidden/>
          </w:rPr>
          <w:tab/>
        </w:r>
        <w:r w:rsidR="009E5813">
          <w:rPr>
            <w:webHidden/>
          </w:rPr>
          <w:fldChar w:fldCharType="begin"/>
        </w:r>
        <w:r w:rsidR="009E5813">
          <w:rPr>
            <w:webHidden/>
          </w:rPr>
          <w:instrText xml:space="preserve"> PAGEREF _Toc31877093 \h </w:instrText>
        </w:r>
        <w:r w:rsidR="009E5813">
          <w:rPr>
            <w:webHidden/>
          </w:rPr>
        </w:r>
        <w:r w:rsidR="009E5813">
          <w:rPr>
            <w:webHidden/>
          </w:rPr>
          <w:fldChar w:fldCharType="separate"/>
        </w:r>
        <w:r w:rsidR="009E5813">
          <w:rPr>
            <w:webHidden/>
          </w:rPr>
          <w:t>2</w:t>
        </w:r>
        <w:r w:rsidR="009E5813">
          <w:rPr>
            <w:webHidden/>
          </w:rPr>
          <w:fldChar w:fldCharType="end"/>
        </w:r>
      </w:hyperlink>
    </w:p>
    <w:p w14:paraId="6D421139" w14:textId="77777777" w:rsidR="009E5813" w:rsidRDefault="007C715A">
      <w:pPr>
        <w:pStyle w:val="TOC2"/>
        <w:rPr>
          <w:rFonts w:asciiTheme="minorHAnsi" w:eastAsiaTheme="minorEastAsia" w:hAnsiTheme="minorHAnsi" w:cstheme="minorBidi"/>
          <w:szCs w:val="22"/>
        </w:rPr>
      </w:pPr>
      <w:hyperlink w:anchor="_Toc31877094" w:history="1">
        <w:r w:rsidR="009E5813" w:rsidRPr="001E6522">
          <w:rPr>
            <w:rStyle w:val="Hyperlink"/>
          </w:rPr>
          <w:t>Section 1: Datasets and Code</w:t>
        </w:r>
        <w:r w:rsidR="009E5813">
          <w:rPr>
            <w:webHidden/>
          </w:rPr>
          <w:tab/>
        </w:r>
        <w:r w:rsidR="009E5813">
          <w:rPr>
            <w:webHidden/>
          </w:rPr>
          <w:fldChar w:fldCharType="begin"/>
        </w:r>
        <w:r w:rsidR="009E5813">
          <w:rPr>
            <w:webHidden/>
          </w:rPr>
          <w:instrText xml:space="preserve"> PAGEREF _Toc31877094 \h </w:instrText>
        </w:r>
        <w:r w:rsidR="009E5813">
          <w:rPr>
            <w:webHidden/>
          </w:rPr>
        </w:r>
        <w:r w:rsidR="009E5813">
          <w:rPr>
            <w:webHidden/>
          </w:rPr>
          <w:fldChar w:fldCharType="separate"/>
        </w:r>
        <w:r w:rsidR="009E5813">
          <w:rPr>
            <w:webHidden/>
          </w:rPr>
          <w:t>2</w:t>
        </w:r>
        <w:r w:rsidR="009E5813">
          <w:rPr>
            <w:webHidden/>
          </w:rPr>
          <w:fldChar w:fldCharType="end"/>
        </w:r>
      </w:hyperlink>
    </w:p>
    <w:p w14:paraId="1A9BA39B" w14:textId="77777777" w:rsidR="009E5813" w:rsidRDefault="007C715A">
      <w:pPr>
        <w:pStyle w:val="TOC3"/>
        <w:rPr>
          <w:rFonts w:asciiTheme="minorHAnsi" w:eastAsiaTheme="minorEastAsia" w:hAnsiTheme="minorHAnsi" w:cstheme="minorBidi"/>
          <w:szCs w:val="22"/>
        </w:rPr>
      </w:pPr>
      <w:hyperlink w:anchor="_Toc31877095" w:history="1">
        <w:r w:rsidR="009E5813" w:rsidRPr="001E6522">
          <w:rPr>
            <w:rStyle w:val="Hyperlink"/>
          </w:rPr>
          <w:t>Data Files</w:t>
        </w:r>
        <w:r w:rsidR="009E5813">
          <w:rPr>
            <w:webHidden/>
          </w:rPr>
          <w:tab/>
        </w:r>
        <w:r w:rsidR="009E5813">
          <w:rPr>
            <w:webHidden/>
          </w:rPr>
          <w:fldChar w:fldCharType="begin"/>
        </w:r>
        <w:r w:rsidR="009E5813">
          <w:rPr>
            <w:webHidden/>
          </w:rPr>
          <w:instrText xml:space="preserve"> PAGEREF _Toc31877095 \h </w:instrText>
        </w:r>
        <w:r w:rsidR="009E5813">
          <w:rPr>
            <w:webHidden/>
          </w:rPr>
        </w:r>
        <w:r w:rsidR="009E5813">
          <w:rPr>
            <w:webHidden/>
          </w:rPr>
          <w:fldChar w:fldCharType="separate"/>
        </w:r>
        <w:r w:rsidR="009E5813">
          <w:rPr>
            <w:webHidden/>
          </w:rPr>
          <w:t>2</w:t>
        </w:r>
        <w:r w:rsidR="009E5813">
          <w:rPr>
            <w:webHidden/>
          </w:rPr>
          <w:fldChar w:fldCharType="end"/>
        </w:r>
      </w:hyperlink>
    </w:p>
    <w:p w14:paraId="5FE03A5D" w14:textId="77777777" w:rsidR="009E5813" w:rsidRDefault="007C715A">
      <w:pPr>
        <w:pStyle w:val="TOC3"/>
        <w:rPr>
          <w:rFonts w:asciiTheme="minorHAnsi" w:eastAsiaTheme="minorEastAsia" w:hAnsiTheme="minorHAnsi" w:cstheme="minorBidi"/>
          <w:szCs w:val="22"/>
        </w:rPr>
      </w:pPr>
      <w:hyperlink w:anchor="_Toc31877096" w:history="1">
        <w:r w:rsidR="009E5813" w:rsidRPr="001E6522">
          <w:rPr>
            <w:rStyle w:val="Hyperlink"/>
          </w:rPr>
          <w:t>Data Analysis</w:t>
        </w:r>
        <w:r w:rsidR="009E5813">
          <w:rPr>
            <w:webHidden/>
          </w:rPr>
          <w:tab/>
        </w:r>
        <w:r w:rsidR="009E5813">
          <w:rPr>
            <w:webHidden/>
          </w:rPr>
          <w:fldChar w:fldCharType="begin"/>
        </w:r>
        <w:r w:rsidR="009E5813">
          <w:rPr>
            <w:webHidden/>
          </w:rPr>
          <w:instrText xml:space="preserve"> PAGEREF _Toc31877096 \h </w:instrText>
        </w:r>
        <w:r w:rsidR="009E5813">
          <w:rPr>
            <w:webHidden/>
          </w:rPr>
        </w:r>
        <w:r w:rsidR="009E5813">
          <w:rPr>
            <w:webHidden/>
          </w:rPr>
          <w:fldChar w:fldCharType="separate"/>
        </w:r>
        <w:r w:rsidR="009E5813">
          <w:rPr>
            <w:webHidden/>
          </w:rPr>
          <w:t>2</w:t>
        </w:r>
        <w:r w:rsidR="009E5813">
          <w:rPr>
            <w:webHidden/>
          </w:rPr>
          <w:fldChar w:fldCharType="end"/>
        </w:r>
      </w:hyperlink>
    </w:p>
    <w:p w14:paraId="673256CA" w14:textId="174F89BC" w:rsidR="004D359E" w:rsidRPr="00842995" w:rsidRDefault="0072434E" w:rsidP="00842995">
      <w:pPr>
        <w:rPr>
          <w:rFonts w:eastAsia="Calibri"/>
        </w:rPr>
      </w:pPr>
      <w:r>
        <w:rPr>
          <w:rFonts w:eastAsia="Calibri"/>
          <w:u w:color="7F7F7F" w:themeColor="text1" w:themeTint="80"/>
        </w:rPr>
        <w:fldChar w:fldCharType="end"/>
      </w:r>
    </w:p>
    <w:p w14:paraId="11CDEEFA" w14:textId="3E354133" w:rsidR="00842995" w:rsidRDefault="00842995">
      <w:pPr>
        <w:spacing w:after="0"/>
        <w:rPr>
          <w:rFonts w:eastAsia="Calibri"/>
        </w:rPr>
      </w:pPr>
      <w:r>
        <w:rPr>
          <w:rFonts w:eastAsia="Calibri"/>
        </w:rPr>
        <w:br w:type="page"/>
      </w:r>
    </w:p>
    <w:p w14:paraId="520610A1" w14:textId="77777777" w:rsidR="00D57BF2" w:rsidRPr="00842995" w:rsidRDefault="00D57BF2" w:rsidP="00D57BF2">
      <w:pPr>
        <w:pStyle w:val="BodyText"/>
        <w:rPr>
          <w:rFonts w:eastAsia="Calibri"/>
          <w:lang w:val="en-US"/>
        </w:rPr>
        <w:sectPr w:rsidR="00D57BF2" w:rsidRPr="00842995" w:rsidSect="000B61A7">
          <w:headerReference w:type="even" r:id="rId17"/>
          <w:headerReference w:type="default" r:id="rId18"/>
          <w:headerReference w:type="first" r:id="rId19"/>
          <w:pgSz w:w="12240" w:h="15840" w:code="1"/>
          <w:pgMar w:top="1440" w:right="1440" w:bottom="1440" w:left="1440" w:header="720" w:footer="720" w:gutter="0"/>
          <w:pgNumType w:fmt="lowerRoman"/>
          <w:cols w:space="720"/>
          <w:docGrid w:linePitch="299"/>
        </w:sectPr>
      </w:pPr>
    </w:p>
    <w:p w14:paraId="4DB8D0D8" w14:textId="4D0768A3" w:rsidR="00D57BF2" w:rsidRDefault="00837793" w:rsidP="00D57BF2">
      <w:pPr>
        <w:pStyle w:val="Heading1ES"/>
      </w:pPr>
      <w:bookmarkStart w:id="1" w:name="_Toc31877092"/>
      <w:r>
        <w:lastRenderedPageBreak/>
        <w:t>Introduction</w:t>
      </w:r>
      <w:bookmarkEnd w:id="1"/>
    </w:p>
    <w:p w14:paraId="60C49EA0" w14:textId="24117ED9" w:rsidR="009E5813" w:rsidRDefault="009E5813" w:rsidP="009E5813">
      <w:pPr>
        <w:pStyle w:val="BodyText"/>
        <w:rPr>
          <w:lang w:val="en-US"/>
        </w:rPr>
      </w:pPr>
      <w:r w:rsidRPr="009E5813">
        <w:rPr>
          <w:lang w:val="en-US"/>
        </w:rPr>
        <w:t>This documentation guide provides an overview of the public use file (PUF) containing data from the 2018 FMLA Worksite and Employee Surveys. The first chapter discusses the 2018 FMLA Worksite Survey. The second chapter discusses the Employee Survey. Within each chapter, Section 1 presents information on the PUF and appropriate analysis code. Section 2 provides important survey context, including information on response option experiments, identifiers, suppressed or modified variables, and key constructs. Section 3 describes other documentation for the PUF, including the codebook and survey instruments.</w:t>
      </w:r>
    </w:p>
    <w:p w14:paraId="47368C23" w14:textId="77777777" w:rsidR="009E5813" w:rsidRPr="009E5813" w:rsidRDefault="009E5813" w:rsidP="009E5813">
      <w:pPr>
        <w:pStyle w:val="BodyText"/>
        <w:rPr>
          <w:lang w:val="en-US"/>
        </w:rPr>
      </w:pPr>
    </w:p>
    <w:p w14:paraId="32C7B884" w14:textId="77777777" w:rsidR="00837793" w:rsidRDefault="00837793" w:rsidP="008A621F">
      <w:pPr>
        <w:shd w:val="clear" w:color="auto" w:fill="FFFFFF"/>
        <w:rPr>
          <w:color w:val="000000"/>
        </w:rPr>
        <w:sectPr w:rsidR="00837793" w:rsidSect="00837793">
          <w:headerReference w:type="default" r:id="rId20"/>
          <w:footerReference w:type="default" r:id="rId21"/>
          <w:type w:val="continuous"/>
          <w:pgSz w:w="12240" w:h="15840" w:code="1"/>
          <w:pgMar w:top="1440" w:right="1440" w:bottom="1440" w:left="1440" w:header="720" w:footer="720" w:gutter="0"/>
          <w:pgNumType w:start="1"/>
          <w:cols w:space="720"/>
          <w:docGrid w:linePitch="299"/>
        </w:sectPr>
      </w:pPr>
    </w:p>
    <w:p w14:paraId="75206CAB" w14:textId="2E9861DF" w:rsidR="00D977C7" w:rsidRDefault="009E5813" w:rsidP="009E5813">
      <w:pPr>
        <w:pStyle w:val="Heading1ES"/>
      </w:pPr>
      <w:bookmarkStart w:id="2" w:name="_Toc31721034"/>
      <w:bookmarkStart w:id="3" w:name="_Toc31877093"/>
      <w:r w:rsidRPr="009E5813">
        <w:lastRenderedPageBreak/>
        <w:t>Chapter 1: 2018 FMLA Worksite Survey</w:t>
      </w:r>
      <w:bookmarkEnd w:id="2"/>
      <w:bookmarkEnd w:id="3"/>
    </w:p>
    <w:p w14:paraId="2973B5EC" w14:textId="77777777" w:rsidR="009E5813" w:rsidRPr="009E5813" w:rsidRDefault="009E5813" w:rsidP="009E5813">
      <w:pPr>
        <w:shd w:val="clear" w:color="auto" w:fill="FFFFFF"/>
        <w:rPr>
          <w:color w:val="000000"/>
        </w:rPr>
      </w:pPr>
      <w:r w:rsidRPr="009E5813">
        <w:rPr>
          <w:color w:val="000000"/>
        </w:rPr>
        <w:t>This chapter provides detailed information about the data files, analysis code, survey context, identifiers and other specific variables, and other related documents for the 2018 FMLA Worksite Survey.</w:t>
      </w:r>
    </w:p>
    <w:p w14:paraId="6EDCEB44" w14:textId="1FB53E5D" w:rsidR="009E5813" w:rsidRDefault="009E5813" w:rsidP="009E5813">
      <w:pPr>
        <w:pStyle w:val="Heading2NoNumbering"/>
      </w:pPr>
      <w:bookmarkStart w:id="4" w:name="_Toc31721035"/>
      <w:bookmarkStart w:id="5" w:name="_Toc31877094"/>
      <w:r w:rsidRPr="009E5813">
        <w:t>Section 1: Datasets and Code</w:t>
      </w:r>
      <w:bookmarkEnd w:id="4"/>
      <w:bookmarkEnd w:id="5"/>
    </w:p>
    <w:p w14:paraId="2C3A7947" w14:textId="05F98D0A" w:rsidR="009E5813" w:rsidRDefault="009E5813" w:rsidP="009E5813">
      <w:pPr>
        <w:pStyle w:val="Heading3NoNumbering"/>
      </w:pPr>
      <w:bookmarkStart w:id="6" w:name="_Toc31877095"/>
      <w:r w:rsidRPr="009E5813">
        <w:t>Data Files</w:t>
      </w:r>
      <w:bookmarkEnd w:id="6"/>
    </w:p>
    <w:p w14:paraId="019972CF" w14:textId="77777777" w:rsidR="009E5813" w:rsidRPr="009E5813" w:rsidRDefault="009E5813" w:rsidP="009E5813">
      <w:pPr>
        <w:shd w:val="clear" w:color="auto" w:fill="FFFFFF"/>
        <w:rPr>
          <w:color w:val="000000"/>
        </w:rPr>
      </w:pPr>
      <w:r w:rsidRPr="009E5813">
        <w:rPr>
          <w:color w:val="000000"/>
        </w:rPr>
        <w:t>The public use data file for the 2018 FMLA Worksite Survey is provided in both SAS and Stata data formats. The data files are named:</w:t>
      </w:r>
    </w:p>
    <w:p w14:paraId="76D61183" w14:textId="65304F44" w:rsidR="009E5813" w:rsidRPr="009E5813" w:rsidRDefault="009E5813" w:rsidP="006A2A90">
      <w:pPr>
        <w:pStyle w:val="Bullets"/>
      </w:pPr>
      <w:r w:rsidRPr="009E5813">
        <w:t>&lt;SAS format&gt;</w:t>
      </w:r>
      <w:r w:rsidR="00AA41AB">
        <w:t xml:space="preserve"> </w:t>
      </w:r>
      <w:r w:rsidRPr="009E5813">
        <w:t>FMLA</w:t>
      </w:r>
      <w:r w:rsidRPr="009E5813">
        <w:rPr>
          <w:u w:val="single"/>
        </w:rPr>
        <w:t>_</w:t>
      </w:r>
      <w:r w:rsidRPr="009E5813">
        <w:t>2018</w:t>
      </w:r>
      <w:r w:rsidRPr="009E5813">
        <w:rPr>
          <w:u w:val="single"/>
        </w:rPr>
        <w:t>_</w:t>
      </w:r>
      <w:r w:rsidRPr="009E5813">
        <w:t>Worksite</w:t>
      </w:r>
      <w:r w:rsidRPr="009E5813">
        <w:rPr>
          <w:u w:val="single"/>
        </w:rPr>
        <w:t>_</w:t>
      </w:r>
      <w:r w:rsidRPr="009E5813">
        <w:t>PUF.sas7bdat</w:t>
      </w:r>
    </w:p>
    <w:p w14:paraId="0D6AD624" w14:textId="6F200DEE" w:rsidR="009E5813" w:rsidRPr="009E5813" w:rsidRDefault="009E5813" w:rsidP="006A2A90">
      <w:pPr>
        <w:pStyle w:val="Bullets"/>
      </w:pPr>
      <w:r w:rsidRPr="009E5813">
        <w:t>&lt;Stata format&gt;</w:t>
      </w:r>
      <w:r w:rsidR="00AA41AB">
        <w:t xml:space="preserve"> </w:t>
      </w:r>
      <w:r w:rsidRPr="009E5813">
        <w:t>FMLA</w:t>
      </w:r>
      <w:r w:rsidRPr="009E5813">
        <w:rPr>
          <w:u w:val="single"/>
        </w:rPr>
        <w:t>_</w:t>
      </w:r>
      <w:r w:rsidRPr="009E5813">
        <w:t>2018</w:t>
      </w:r>
      <w:r w:rsidRPr="009E5813">
        <w:rPr>
          <w:u w:val="single"/>
        </w:rPr>
        <w:t>_</w:t>
      </w:r>
      <w:r w:rsidRPr="009E5813">
        <w:t>Worksite</w:t>
      </w:r>
      <w:r w:rsidRPr="009E5813">
        <w:rPr>
          <w:u w:val="single"/>
        </w:rPr>
        <w:t>_</w:t>
      </w:r>
      <w:r w:rsidRPr="009E5813">
        <w:t>PUF.dta</w:t>
      </w:r>
    </w:p>
    <w:p w14:paraId="56A5D25B" w14:textId="77777777" w:rsidR="009E5813" w:rsidRPr="009E5813" w:rsidRDefault="009E5813" w:rsidP="009E5813">
      <w:pPr>
        <w:shd w:val="clear" w:color="auto" w:fill="FFFFFF"/>
        <w:rPr>
          <w:color w:val="000000"/>
        </w:rPr>
      </w:pPr>
      <w:r w:rsidRPr="009E5813">
        <w:rPr>
          <w:color w:val="000000"/>
        </w:rPr>
        <w:t>A SAS format catalog called “fmla_2018_worksite_formats.sas7bcat” and a SAS program called “FMLA_2018_Worksite_Read_in_SAS_Dataset.sas” are also provided. The program reads in the SAS dataset above and assigns formats from the formats catalog to the relevant variables.</w:t>
      </w:r>
    </w:p>
    <w:p w14:paraId="3C52C55C" w14:textId="77777777" w:rsidR="009E5813" w:rsidRPr="009E5813" w:rsidRDefault="009E5813" w:rsidP="009E5813">
      <w:pPr>
        <w:pStyle w:val="Heading3NoNumbering"/>
        <w:rPr>
          <w:i/>
        </w:rPr>
      </w:pPr>
      <w:bookmarkStart w:id="7" w:name="_Toc31721037"/>
      <w:bookmarkStart w:id="8" w:name="_Toc31877096"/>
      <w:r w:rsidRPr="009E5813">
        <w:t>Data Analysis</w:t>
      </w:r>
      <w:bookmarkEnd w:id="7"/>
      <w:bookmarkEnd w:id="8"/>
    </w:p>
    <w:p w14:paraId="4E6A3F0D" w14:textId="4E440B93" w:rsidR="009E5813" w:rsidRPr="009E5813" w:rsidRDefault="009E5813" w:rsidP="009E5813">
      <w:pPr>
        <w:shd w:val="clear" w:color="auto" w:fill="FFFFFF"/>
        <w:rPr>
          <w:color w:val="000000"/>
        </w:rPr>
      </w:pPr>
      <w:r w:rsidRPr="009E5813">
        <w:rPr>
          <w:color w:val="000000"/>
        </w:rPr>
        <w:t>To accommodate the complex sampling design of the 2018 FMLA Worksite Survey, the appropriate survey software and procedures should be used. Two sets of weights were created for analyzing survey data: one set that weights the data by the number of employees working at each worksite (employee weights), and another set that weights the data by the number of worksites (worksite weights). The weights for the 2018 FMLA Worksite Survey were designed to adjust for several key factors: differential probabilities of selection across sampling strata, differential non-response across sampling strata, and any residual difference between the distribution of the weighted respondents and the target population (post-stratification). The worksite weights can be used to draw inferences about the population of employers in worksite-level analyses, whereas the employee weights can be used to provide employee-level estimates in employee-level analyses. Accordingly, the publicly available report “Employee and Worksite Perspectives of the Family and Medical Leave Act: Results from the 2018 Surveys” uses data weighted by the number of employees for reporting results that reflect the experience of workers (e.g., the proportion of employees who work at a worksite that offers paid sick leave), and uses data weighted by the number of worksites for reporting results that reflect the experience of worksites (e.g., how costly it is to manage FMLA). More information about the two sets of weights created for the 2018 FMLA Worksite Survey can be found in the FMLA 2018 Methodology Report.</w:t>
      </w:r>
      <w:r w:rsidR="00AA41AB">
        <w:rPr>
          <w:color w:val="000000"/>
        </w:rPr>
        <w:t xml:space="preserve"> </w:t>
      </w:r>
    </w:p>
    <w:p w14:paraId="269716B2" w14:textId="77777777" w:rsidR="009E5813" w:rsidRPr="009E5813" w:rsidRDefault="009E5813" w:rsidP="009E5813">
      <w:pPr>
        <w:shd w:val="clear" w:color="auto" w:fill="FFFFFF"/>
        <w:rPr>
          <w:color w:val="000000"/>
        </w:rPr>
      </w:pPr>
      <w:r w:rsidRPr="009E5813">
        <w:rPr>
          <w:color w:val="000000"/>
        </w:rPr>
        <w:t>Below, we present examples of the appropriate SAS® and Stata® syntax to calculate weighted means and frequencies.</w:t>
      </w:r>
      <w:r w:rsidRPr="009E5813">
        <w:rPr>
          <w:color w:val="000000"/>
          <w:vertAlign w:val="superscript"/>
        </w:rPr>
        <w:footnoteReference w:id="1"/>
      </w:r>
      <w:r w:rsidRPr="009E5813">
        <w:rPr>
          <w:color w:val="000000"/>
        </w:rPr>
        <w:t xml:space="preserve"> In addition, for both the SAS and Stata code examples, the code output is provided for the first worksite-weighted frequency and the first employee-weighted frequency for illustrative purposes.</w:t>
      </w:r>
    </w:p>
    <w:p w14:paraId="34D1F9CB" w14:textId="77777777" w:rsidR="009E5813" w:rsidRPr="009E5813" w:rsidRDefault="009E5813" w:rsidP="00E33B05">
      <w:pPr>
        <w:pStyle w:val="Heading4"/>
      </w:pPr>
      <w:r w:rsidRPr="009E5813">
        <w:lastRenderedPageBreak/>
        <w:t>SAS Code</w:t>
      </w:r>
    </w:p>
    <w:p w14:paraId="2AA29FFA" w14:textId="76681B96" w:rsidR="009E5813" w:rsidRPr="009E5813" w:rsidRDefault="009E5813" w:rsidP="00E33B05">
      <w:pPr>
        <w:pStyle w:val="Heading5"/>
      </w:pPr>
      <w:r w:rsidRPr="009E5813">
        <w:t>Applying Worksite Weights</w:t>
      </w:r>
    </w:p>
    <w:p w14:paraId="34F55646" w14:textId="77777777" w:rsidR="009E5813" w:rsidRPr="009E5813" w:rsidRDefault="009E5813" w:rsidP="009E5813">
      <w:pPr>
        <w:shd w:val="clear" w:color="auto" w:fill="FFFFFF"/>
        <w:rPr>
          <w:color w:val="000000"/>
        </w:rPr>
      </w:pPr>
      <w:r w:rsidRPr="009E5813">
        <w:rPr>
          <w:color w:val="000000"/>
        </w:rPr>
        <w:t xml:space="preserve">Appropriate code to run the analysis in SAS applying worksite weights follows. </w:t>
      </w:r>
    </w:p>
    <w:p w14:paraId="428089E6" w14:textId="77777777" w:rsidR="007769FE" w:rsidRPr="00B040F8" w:rsidRDefault="007769FE" w:rsidP="007769FE">
      <w:pPr>
        <w:pStyle w:val="Heading6"/>
      </w:pPr>
      <w:r w:rsidRPr="00B040F8">
        <w:t xml:space="preserve">Industry frequencies </w:t>
      </w:r>
      <w:r>
        <w:t>on</w:t>
      </w:r>
      <w:r w:rsidRPr="00B040F8">
        <w:t xml:space="preserve"> full sample</w:t>
      </w:r>
    </w:p>
    <w:p w14:paraId="6F9B790A" w14:textId="77777777" w:rsidR="00B040F8" w:rsidRPr="00B040F8" w:rsidRDefault="00B040F8" w:rsidP="006F7B56">
      <w:pPr>
        <w:shd w:val="clear" w:color="auto" w:fill="FFFFFF"/>
        <w:spacing w:after="0"/>
        <w:rPr>
          <w:color w:val="000000"/>
        </w:rPr>
      </w:pPr>
      <w:r w:rsidRPr="00B040F8">
        <w:rPr>
          <w:color w:val="000000"/>
        </w:rPr>
        <w:t>PROC SURVEYFREQ data=&lt;</w:t>
      </w:r>
      <w:proofErr w:type="spellStart"/>
      <w:r w:rsidRPr="00B040F8">
        <w:rPr>
          <w:color w:val="000000"/>
        </w:rPr>
        <w:t>libname</w:t>
      </w:r>
      <w:proofErr w:type="spellEnd"/>
      <w:r w:rsidRPr="00B040F8">
        <w:rPr>
          <w:color w:val="000000"/>
        </w:rPr>
        <w:t xml:space="preserve">&gt;.FMLA_2018_Worksite_PUF VARMETHOD = </w:t>
      </w:r>
      <w:proofErr w:type="spellStart"/>
      <w:r w:rsidRPr="00B040F8">
        <w:rPr>
          <w:color w:val="000000"/>
        </w:rPr>
        <w:t>brr</w:t>
      </w:r>
      <w:proofErr w:type="spellEnd"/>
      <w:r w:rsidRPr="00B040F8">
        <w:rPr>
          <w:color w:val="000000"/>
        </w:rPr>
        <w:t>;</w:t>
      </w:r>
    </w:p>
    <w:p w14:paraId="3A7F6A1F" w14:textId="059A9212" w:rsidR="00B040F8" w:rsidRPr="00B040F8" w:rsidRDefault="00B040F8" w:rsidP="00B80576">
      <w:pPr>
        <w:shd w:val="clear" w:color="auto" w:fill="FFFFFF"/>
        <w:spacing w:after="0"/>
        <w:ind w:firstLine="360"/>
        <w:rPr>
          <w:color w:val="000000"/>
        </w:rPr>
      </w:pPr>
      <w:r w:rsidRPr="00B040F8">
        <w:rPr>
          <w:color w:val="000000"/>
        </w:rPr>
        <w:t xml:space="preserve">WEIGHT </w:t>
      </w:r>
      <w:proofErr w:type="spellStart"/>
      <w:r w:rsidRPr="00B040F8">
        <w:rPr>
          <w:color w:val="000000"/>
        </w:rPr>
        <w:t>Estab_Wt</w:t>
      </w:r>
      <w:proofErr w:type="spellEnd"/>
      <w:r w:rsidRPr="00B040F8">
        <w:rPr>
          <w:color w:val="000000"/>
        </w:rPr>
        <w:t>;</w:t>
      </w:r>
    </w:p>
    <w:p w14:paraId="4516F9E8" w14:textId="2D881D41" w:rsidR="00B040F8" w:rsidRPr="00B040F8" w:rsidRDefault="00B040F8" w:rsidP="00B80576">
      <w:pPr>
        <w:shd w:val="clear" w:color="auto" w:fill="FFFFFF"/>
        <w:spacing w:after="0"/>
        <w:ind w:firstLine="360"/>
        <w:rPr>
          <w:color w:val="000000"/>
        </w:rPr>
      </w:pPr>
      <w:r w:rsidRPr="00B040F8">
        <w:rPr>
          <w:color w:val="000000"/>
        </w:rPr>
        <w:t>REPWEIGHT BootStrap_Estab_Wt1 - BootStrap_Estab_Wt250;</w:t>
      </w:r>
    </w:p>
    <w:p w14:paraId="1D7E2089" w14:textId="2844EA85" w:rsidR="00B040F8" w:rsidRPr="00B040F8" w:rsidRDefault="00B040F8" w:rsidP="00B80576">
      <w:pPr>
        <w:shd w:val="clear" w:color="auto" w:fill="FFFFFF"/>
        <w:ind w:firstLine="360"/>
        <w:rPr>
          <w:color w:val="000000"/>
        </w:rPr>
      </w:pPr>
      <w:r w:rsidRPr="00B040F8">
        <w:rPr>
          <w:color w:val="000000"/>
        </w:rPr>
        <w:t>TABLES Q4_CAT;</w:t>
      </w:r>
    </w:p>
    <w:p w14:paraId="0AB2E6CA" w14:textId="679B5B5A" w:rsidR="00B040F8" w:rsidRPr="00B040F8" w:rsidRDefault="00B040F8" w:rsidP="00B040F8">
      <w:pPr>
        <w:shd w:val="clear" w:color="auto" w:fill="FFFFFF"/>
        <w:rPr>
          <w:color w:val="000000"/>
        </w:rPr>
      </w:pPr>
      <w:r w:rsidRPr="00B040F8">
        <w:rPr>
          <w:color w:val="000000"/>
        </w:rPr>
        <w:t>RUN;</w:t>
      </w:r>
      <w:r w:rsidR="00AA41AB">
        <w:rPr>
          <w:color w:val="000000"/>
        </w:rPr>
        <w:t xml:space="preserve"> </w:t>
      </w:r>
    </w:p>
    <w:p w14:paraId="340FBF3E" w14:textId="77777777" w:rsidR="00B040F8" w:rsidRPr="00B040F8" w:rsidRDefault="00B040F8" w:rsidP="00B040F8">
      <w:pPr>
        <w:shd w:val="clear" w:color="auto" w:fill="FFFFFF"/>
        <w:rPr>
          <w:i/>
          <w:color w:val="000000"/>
        </w:rPr>
      </w:pPr>
      <w:r w:rsidRPr="00B040F8">
        <w:rPr>
          <w:i/>
          <w:color w:val="000000"/>
        </w:rPr>
        <w:t>Output:</w:t>
      </w:r>
    </w:p>
    <w:tbl>
      <w:tblPr>
        <w:tblW w:w="0" w:type="auto"/>
        <w:tblInd w:w="60" w:type="dxa"/>
        <w:tblLayout w:type="fixed"/>
        <w:tblCellMar>
          <w:left w:w="0" w:type="dxa"/>
          <w:right w:w="0" w:type="dxa"/>
        </w:tblCellMar>
        <w:tblLook w:val="0000" w:firstRow="0" w:lastRow="0" w:firstColumn="0" w:lastColumn="0" w:noHBand="0" w:noVBand="0"/>
      </w:tblPr>
      <w:tblGrid>
        <w:gridCol w:w="3112"/>
        <w:gridCol w:w="1043"/>
      </w:tblGrid>
      <w:tr w:rsidR="00B040F8" w:rsidRPr="00B040F8" w14:paraId="2552EB3A" w14:textId="77777777" w:rsidTr="00B040F8">
        <w:trPr>
          <w:cantSplit/>
          <w:trHeight w:val="45"/>
          <w:tblHeader/>
        </w:trPr>
        <w:tc>
          <w:tcPr>
            <w:tcW w:w="4155"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4823ED49" w14:textId="77777777" w:rsidR="00B040F8" w:rsidRPr="00B040F8" w:rsidRDefault="00B040F8" w:rsidP="00B040F8">
            <w:pPr>
              <w:keepNext/>
              <w:adjustRightInd w:val="0"/>
              <w:spacing w:after="0"/>
              <w:jc w:val="center"/>
              <w:rPr>
                <w:rFonts w:ascii="Arial Narrow" w:hAnsi="Arial Narrow"/>
                <w:b/>
                <w:bCs/>
                <w:color w:val="000000"/>
                <w:sz w:val="20"/>
              </w:rPr>
            </w:pPr>
            <w:r w:rsidRPr="00B040F8">
              <w:rPr>
                <w:rFonts w:ascii="Arial Narrow" w:hAnsi="Arial Narrow"/>
                <w:b/>
                <w:bCs/>
                <w:color w:val="FFFFFF" w:themeColor="background1"/>
                <w:sz w:val="20"/>
              </w:rPr>
              <w:t>Data Summary</w:t>
            </w:r>
          </w:p>
        </w:tc>
      </w:tr>
      <w:tr w:rsidR="00B040F8" w:rsidRPr="00B040F8" w14:paraId="618C71D6" w14:textId="77777777" w:rsidTr="00B040F8">
        <w:trPr>
          <w:cantSplit/>
          <w:trHeight w:val="265"/>
        </w:trPr>
        <w:tc>
          <w:tcPr>
            <w:tcW w:w="311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7916E483"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Number of Observations</w:t>
            </w:r>
          </w:p>
        </w:tc>
        <w:tc>
          <w:tcPr>
            <w:tcW w:w="10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496AA0"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2206</w:t>
            </w:r>
          </w:p>
        </w:tc>
      </w:tr>
      <w:tr w:rsidR="00B040F8" w:rsidRPr="00B040F8" w14:paraId="08D3D6BF" w14:textId="77777777" w:rsidTr="00B040F8">
        <w:trPr>
          <w:cantSplit/>
          <w:trHeight w:val="55"/>
        </w:trPr>
        <w:tc>
          <w:tcPr>
            <w:tcW w:w="3112"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63F8065E"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Sum of Weights</w:t>
            </w:r>
          </w:p>
        </w:tc>
        <w:tc>
          <w:tcPr>
            <w:tcW w:w="10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D192601"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9446660</w:t>
            </w:r>
          </w:p>
        </w:tc>
      </w:tr>
    </w:tbl>
    <w:p w14:paraId="3BE0002E" w14:textId="77777777" w:rsidR="009E5813" w:rsidRPr="009E5813" w:rsidRDefault="009E5813" w:rsidP="009E5813">
      <w:pPr>
        <w:shd w:val="clear" w:color="auto" w:fill="FFFFFF"/>
        <w:rPr>
          <w:color w:val="000000"/>
        </w:rPr>
      </w:pPr>
    </w:p>
    <w:tbl>
      <w:tblPr>
        <w:tblW w:w="0" w:type="auto"/>
        <w:tblInd w:w="60" w:type="dxa"/>
        <w:tblLayout w:type="fixed"/>
        <w:tblCellMar>
          <w:left w:w="0" w:type="dxa"/>
          <w:right w:w="0" w:type="dxa"/>
        </w:tblCellMar>
        <w:tblLook w:val="0000" w:firstRow="0" w:lastRow="0" w:firstColumn="0" w:lastColumn="0" w:noHBand="0" w:noVBand="0"/>
      </w:tblPr>
      <w:tblGrid>
        <w:gridCol w:w="2590"/>
        <w:gridCol w:w="3360"/>
      </w:tblGrid>
      <w:tr w:rsidR="00B040F8" w:rsidRPr="00B040F8" w14:paraId="196A80CE" w14:textId="77777777" w:rsidTr="00B040F8">
        <w:trPr>
          <w:cantSplit/>
          <w:trHeight w:val="45"/>
          <w:tblHeader/>
        </w:trPr>
        <w:tc>
          <w:tcPr>
            <w:tcW w:w="5950"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50B06048" w14:textId="77777777" w:rsidR="00B040F8" w:rsidRPr="00B040F8" w:rsidRDefault="00B040F8" w:rsidP="00B040F8">
            <w:pPr>
              <w:keepNext/>
              <w:adjustRightInd w:val="0"/>
              <w:spacing w:after="0"/>
              <w:jc w:val="center"/>
              <w:rPr>
                <w:rFonts w:ascii="Arial Narrow" w:hAnsi="Arial Narrow"/>
                <w:b/>
                <w:bCs/>
                <w:color w:val="000000"/>
                <w:sz w:val="20"/>
              </w:rPr>
            </w:pPr>
            <w:r w:rsidRPr="00B040F8">
              <w:rPr>
                <w:rFonts w:ascii="Arial Narrow" w:hAnsi="Arial Narrow"/>
                <w:b/>
                <w:bCs/>
                <w:color w:val="FFFFFF" w:themeColor="background1"/>
                <w:sz w:val="20"/>
              </w:rPr>
              <w:t>Variance Estimation</w:t>
            </w:r>
          </w:p>
        </w:tc>
      </w:tr>
      <w:tr w:rsidR="00B040F8" w:rsidRPr="00B040F8" w14:paraId="3CC1FA2D" w14:textId="77777777" w:rsidTr="00B040F8">
        <w:trPr>
          <w:cantSplit/>
          <w:trHeight w:val="55"/>
        </w:trPr>
        <w:tc>
          <w:tcPr>
            <w:tcW w:w="2590"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25DC18D5"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Method</w:t>
            </w:r>
          </w:p>
        </w:tc>
        <w:tc>
          <w:tcPr>
            <w:tcW w:w="33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B16D7D"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BRR</w:t>
            </w:r>
          </w:p>
        </w:tc>
      </w:tr>
      <w:tr w:rsidR="00B040F8" w:rsidRPr="00B040F8" w14:paraId="64AC6613" w14:textId="77777777" w:rsidTr="00B040F8">
        <w:trPr>
          <w:cantSplit/>
          <w:trHeight w:val="55"/>
        </w:trPr>
        <w:tc>
          <w:tcPr>
            <w:tcW w:w="2590"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78A758CD"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Replicate Weights</w:t>
            </w:r>
          </w:p>
        </w:tc>
        <w:tc>
          <w:tcPr>
            <w:tcW w:w="33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06A31D"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FMLA_2018_WORKSITE_PUF</w:t>
            </w:r>
          </w:p>
        </w:tc>
      </w:tr>
      <w:tr w:rsidR="00B040F8" w:rsidRPr="00B040F8" w14:paraId="48E0818E" w14:textId="77777777" w:rsidTr="00B040F8">
        <w:trPr>
          <w:cantSplit/>
          <w:trHeight w:val="55"/>
        </w:trPr>
        <w:tc>
          <w:tcPr>
            <w:tcW w:w="2590"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44D4DF3D" w14:textId="77777777" w:rsidR="00B040F8" w:rsidRPr="00B040F8" w:rsidRDefault="00B040F8" w:rsidP="00B040F8">
            <w:pPr>
              <w:adjustRightInd w:val="0"/>
              <w:spacing w:after="0"/>
              <w:rPr>
                <w:rFonts w:ascii="Arial Narrow" w:hAnsi="Arial Narrow"/>
                <w:b/>
                <w:bCs/>
                <w:color w:val="000000"/>
                <w:sz w:val="20"/>
              </w:rPr>
            </w:pPr>
            <w:r w:rsidRPr="00B040F8">
              <w:rPr>
                <w:rFonts w:ascii="Arial Narrow" w:hAnsi="Arial Narrow"/>
                <w:b/>
                <w:bCs/>
                <w:color w:val="000000"/>
                <w:sz w:val="20"/>
              </w:rPr>
              <w:t>Number of Replicates</w:t>
            </w:r>
          </w:p>
        </w:tc>
        <w:tc>
          <w:tcPr>
            <w:tcW w:w="33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584F610" w14:textId="77777777" w:rsidR="00B040F8" w:rsidRPr="00B040F8" w:rsidRDefault="00B040F8" w:rsidP="00B040F8">
            <w:pPr>
              <w:adjustRightInd w:val="0"/>
              <w:spacing w:after="0"/>
              <w:jc w:val="right"/>
              <w:rPr>
                <w:rFonts w:ascii="Arial Narrow" w:hAnsi="Arial Narrow"/>
                <w:color w:val="000000"/>
                <w:sz w:val="20"/>
              </w:rPr>
            </w:pPr>
            <w:r w:rsidRPr="00B040F8">
              <w:rPr>
                <w:rFonts w:ascii="Arial Narrow" w:hAnsi="Arial Narrow"/>
                <w:color w:val="000000"/>
                <w:sz w:val="20"/>
              </w:rPr>
              <w:t>250</w:t>
            </w:r>
          </w:p>
        </w:tc>
      </w:tr>
    </w:tbl>
    <w:p w14:paraId="5A4B7015" w14:textId="77777777" w:rsidR="009E5813" w:rsidRDefault="009E5813" w:rsidP="008A621F">
      <w:pPr>
        <w:shd w:val="clear" w:color="auto" w:fill="FFFFFF"/>
        <w:rPr>
          <w:color w:val="000000"/>
        </w:rPr>
      </w:pPr>
    </w:p>
    <w:tbl>
      <w:tblPr>
        <w:tblW w:w="0" w:type="auto"/>
        <w:tblInd w:w="60" w:type="dxa"/>
        <w:tblLayout w:type="fixed"/>
        <w:tblCellMar>
          <w:left w:w="0" w:type="dxa"/>
          <w:right w:w="0" w:type="dxa"/>
        </w:tblCellMar>
        <w:tblLook w:val="0000" w:firstRow="0" w:lastRow="0" w:firstColumn="0" w:lastColumn="0" w:noHBand="0" w:noVBand="0"/>
      </w:tblPr>
      <w:tblGrid>
        <w:gridCol w:w="1732"/>
        <w:gridCol w:w="1350"/>
        <w:gridCol w:w="1512"/>
        <w:gridCol w:w="1260"/>
        <w:gridCol w:w="1170"/>
        <w:gridCol w:w="1350"/>
      </w:tblGrid>
      <w:tr w:rsidR="00B040F8" w:rsidRPr="00B040F8" w14:paraId="57564CCC" w14:textId="77777777" w:rsidTr="00B040F8">
        <w:trPr>
          <w:cantSplit/>
          <w:tblHeader/>
        </w:trPr>
        <w:tc>
          <w:tcPr>
            <w:tcW w:w="8374" w:type="dxa"/>
            <w:gridSpan w:val="6"/>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3B5C19CB" w14:textId="77777777" w:rsidR="00B040F8" w:rsidRPr="00B040F8" w:rsidRDefault="00B040F8" w:rsidP="00B040F8">
            <w:pPr>
              <w:keepNext/>
              <w:adjustRightInd w:val="0"/>
              <w:spacing w:after="0"/>
              <w:jc w:val="center"/>
              <w:rPr>
                <w:rFonts w:ascii="Arial Narrow" w:hAnsi="Arial Narrow"/>
                <w:b/>
                <w:bCs/>
                <w:color w:val="FFFFFF" w:themeColor="background1"/>
                <w:sz w:val="20"/>
              </w:rPr>
            </w:pPr>
            <w:r w:rsidRPr="00B040F8">
              <w:rPr>
                <w:rFonts w:ascii="Arial Narrow" w:hAnsi="Arial Narrow"/>
                <w:b/>
                <w:bCs/>
                <w:color w:val="FFFFFF" w:themeColor="background1"/>
                <w:sz w:val="20"/>
              </w:rPr>
              <w:t>Organization's main industry</w:t>
            </w:r>
          </w:p>
        </w:tc>
      </w:tr>
      <w:tr w:rsidR="00B040F8" w:rsidRPr="00B040F8" w14:paraId="07B59BDD" w14:textId="77777777" w:rsidTr="00B040F8">
        <w:trPr>
          <w:cantSplit/>
          <w:tblHeader/>
        </w:trPr>
        <w:tc>
          <w:tcPr>
            <w:tcW w:w="1732" w:type="dxa"/>
            <w:tcBorders>
              <w:top w:val="nil"/>
              <w:left w:val="single" w:sz="6" w:space="0" w:color="000000"/>
              <w:bottom w:val="single" w:sz="2" w:space="0" w:color="000000"/>
              <w:right w:val="nil"/>
            </w:tcBorders>
            <w:shd w:val="clear" w:color="auto" w:fill="48A9C5" w:themeFill="accent1"/>
            <w:tcMar>
              <w:left w:w="60" w:type="dxa"/>
              <w:right w:w="60" w:type="dxa"/>
            </w:tcMar>
            <w:vAlign w:val="bottom"/>
          </w:tcPr>
          <w:p w14:paraId="24CD15F6" w14:textId="77777777" w:rsidR="00B040F8" w:rsidRPr="00B040F8" w:rsidRDefault="00B040F8" w:rsidP="00B040F8">
            <w:pPr>
              <w:keepNext/>
              <w:adjustRightInd w:val="0"/>
              <w:spacing w:after="0"/>
              <w:jc w:val="center"/>
              <w:rPr>
                <w:rFonts w:ascii="Arial Narrow" w:hAnsi="Arial Narrow"/>
                <w:b/>
                <w:bCs/>
                <w:color w:val="FFFFFF" w:themeColor="background1"/>
                <w:sz w:val="20"/>
              </w:rPr>
            </w:pPr>
            <w:r w:rsidRPr="00B040F8">
              <w:rPr>
                <w:rFonts w:ascii="Arial Narrow" w:hAnsi="Arial Narrow"/>
                <w:b/>
                <w:bCs/>
                <w:color w:val="FFFFFF" w:themeColor="background1"/>
                <w:sz w:val="20"/>
              </w:rPr>
              <w:t>Q4_CAT</w:t>
            </w:r>
          </w:p>
        </w:tc>
        <w:tc>
          <w:tcPr>
            <w:tcW w:w="1350"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6AD04EC3" w14:textId="77777777" w:rsidR="00B040F8" w:rsidRPr="00B040F8" w:rsidRDefault="00B040F8" w:rsidP="00B040F8">
            <w:pPr>
              <w:keepNext/>
              <w:adjustRightInd w:val="0"/>
              <w:spacing w:after="0"/>
              <w:jc w:val="center"/>
              <w:rPr>
                <w:rFonts w:ascii="Arial Narrow" w:hAnsi="Arial Narrow"/>
                <w:b/>
                <w:bCs/>
                <w:color w:val="FFFFFF" w:themeColor="background1"/>
                <w:sz w:val="20"/>
              </w:rPr>
            </w:pPr>
            <w:r w:rsidRPr="00B040F8">
              <w:rPr>
                <w:rFonts w:ascii="Arial Narrow" w:hAnsi="Arial Narrow"/>
                <w:b/>
                <w:bCs/>
                <w:color w:val="FFFFFF" w:themeColor="background1"/>
                <w:sz w:val="20"/>
              </w:rPr>
              <w:t>Frequency</w:t>
            </w:r>
          </w:p>
        </w:tc>
        <w:tc>
          <w:tcPr>
            <w:tcW w:w="1512"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546A8B38" w14:textId="77777777" w:rsidR="00B040F8" w:rsidRPr="00B040F8" w:rsidRDefault="00B040F8" w:rsidP="00B040F8">
            <w:pPr>
              <w:keepNext/>
              <w:adjustRightInd w:val="0"/>
              <w:spacing w:after="0"/>
              <w:jc w:val="center"/>
              <w:rPr>
                <w:rFonts w:ascii="Arial Narrow" w:hAnsi="Arial Narrow"/>
                <w:b/>
                <w:bCs/>
                <w:color w:val="FFFFFF" w:themeColor="background1"/>
                <w:sz w:val="20"/>
              </w:rPr>
            </w:pPr>
            <w:r w:rsidRPr="00B040F8">
              <w:rPr>
                <w:rFonts w:ascii="Arial Narrow" w:hAnsi="Arial Narrow"/>
                <w:b/>
                <w:bCs/>
                <w:color w:val="FFFFFF" w:themeColor="background1"/>
                <w:sz w:val="20"/>
              </w:rPr>
              <w:t>Weighted</w:t>
            </w:r>
            <w:r w:rsidRPr="00B040F8">
              <w:rPr>
                <w:rFonts w:ascii="Arial Narrow" w:hAnsi="Arial Narrow"/>
                <w:b/>
                <w:bCs/>
                <w:color w:val="FFFFFF" w:themeColor="background1"/>
                <w:sz w:val="20"/>
              </w:rPr>
              <w:br/>
              <w:t>Frequency</w:t>
            </w:r>
          </w:p>
        </w:tc>
        <w:tc>
          <w:tcPr>
            <w:tcW w:w="1260"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166BD144" w14:textId="77777777" w:rsidR="00B040F8" w:rsidRPr="00B040F8" w:rsidRDefault="00B040F8" w:rsidP="00B040F8">
            <w:pPr>
              <w:keepNext/>
              <w:adjustRightInd w:val="0"/>
              <w:spacing w:after="0"/>
              <w:jc w:val="center"/>
              <w:rPr>
                <w:rFonts w:ascii="Arial Narrow" w:hAnsi="Arial Narrow"/>
                <w:b/>
                <w:bCs/>
                <w:color w:val="FFFFFF" w:themeColor="background1"/>
                <w:sz w:val="20"/>
              </w:rPr>
            </w:pPr>
            <w:proofErr w:type="spellStart"/>
            <w:r w:rsidRPr="00B040F8">
              <w:rPr>
                <w:rFonts w:ascii="Arial Narrow" w:hAnsi="Arial Narrow"/>
                <w:b/>
                <w:bCs/>
                <w:color w:val="FFFFFF" w:themeColor="background1"/>
                <w:sz w:val="20"/>
              </w:rPr>
              <w:t>Std</w:t>
            </w:r>
            <w:proofErr w:type="spellEnd"/>
            <w:r w:rsidRPr="00B040F8">
              <w:rPr>
                <w:rFonts w:ascii="Arial Narrow" w:hAnsi="Arial Narrow"/>
                <w:b/>
                <w:bCs/>
                <w:color w:val="FFFFFF" w:themeColor="background1"/>
                <w:sz w:val="20"/>
              </w:rPr>
              <w:t> Err of</w:t>
            </w:r>
            <w:r w:rsidRPr="00B040F8">
              <w:rPr>
                <w:rFonts w:ascii="Arial Narrow" w:hAnsi="Arial Narrow"/>
                <w:b/>
                <w:bCs/>
                <w:color w:val="FFFFFF" w:themeColor="background1"/>
                <w:sz w:val="20"/>
              </w:rPr>
              <w:br/>
            </w:r>
            <w:proofErr w:type="spellStart"/>
            <w:r w:rsidRPr="00B040F8">
              <w:rPr>
                <w:rFonts w:ascii="Arial Narrow" w:hAnsi="Arial Narrow"/>
                <w:b/>
                <w:bCs/>
                <w:color w:val="FFFFFF" w:themeColor="background1"/>
                <w:sz w:val="20"/>
              </w:rPr>
              <w:t>Wgt</w:t>
            </w:r>
            <w:proofErr w:type="spellEnd"/>
            <w:r w:rsidRPr="00B040F8">
              <w:rPr>
                <w:rFonts w:ascii="Arial Narrow" w:hAnsi="Arial Narrow"/>
                <w:b/>
                <w:bCs/>
                <w:color w:val="FFFFFF" w:themeColor="background1"/>
                <w:sz w:val="20"/>
              </w:rPr>
              <w:t> </w:t>
            </w:r>
            <w:proofErr w:type="spellStart"/>
            <w:r w:rsidRPr="00B040F8">
              <w:rPr>
                <w:rFonts w:ascii="Arial Narrow" w:hAnsi="Arial Narrow"/>
                <w:b/>
                <w:bCs/>
                <w:color w:val="FFFFFF" w:themeColor="background1"/>
                <w:sz w:val="20"/>
              </w:rPr>
              <w:t>Freq</w:t>
            </w:r>
            <w:proofErr w:type="spellEnd"/>
          </w:p>
        </w:tc>
        <w:tc>
          <w:tcPr>
            <w:tcW w:w="1170"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4147E316" w14:textId="77777777" w:rsidR="00B040F8" w:rsidRPr="00B040F8" w:rsidRDefault="00B040F8" w:rsidP="00B040F8">
            <w:pPr>
              <w:keepNext/>
              <w:adjustRightInd w:val="0"/>
              <w:spacing w:after="0"/>
              <w:jc w:val="center"/>
              <w:rPr>
                <w:rFonts w:ascii="Arial Narrow" w:hAnsi="Arial Narrow"/>
                <w:b/>
                <w:bCs/>
                <w:color w:val="FFFFFF" w:themeColor="background1"/>
                <w:sz w:val="20"/>
              </w:rPr>
            </w:pPr>
            <w:r w:rsidRPr="00B040F8">
              <w:rPr>
                <w:rFonts w:ascii="Arial Narrow" w:hAnsi="Arial Narrow"/>
                <w:b/>
                <w:bCs/>
                <w:color w:val="FFFFFF" w:themeColor="background1"/>
                <w:sz w:val="20"/>
              </w:rPr>
              <w:t>Percent</w:t>
            </w:r>
          </w:p>
        </w:tc>
        <w:tc>
          <w:tcPr>
            <w:tcW w:w="1350" w:type="dxa"/>
            <w:tcBorders>
              <w:top w:val="nil"/>
              <w:left w:val="single" w:sz="2" w:space="0" w:color="000000"/>
              <w:bottom w:val="single" w:sz="2" w:space="0" w:color="000000"/>
              <w:right w:val="single" w:sz="6" w:space="0" w:color="000000"/>
            </w:tcBorders>
            <w:shd w:val="clear" w:color="auto" w:fill="48A9C5" w:themeFill="accent1"/>
            <w:tcMar>
              <w:left w:w="60" w:type="dxa"/>
              <w:right w:w="60" w:type="dxa"/>
            </w:tcMar>
            <w:vAlign w:val="bottom"/>
          </w:tcPr>
          <w:p w14:paraId="7DDFA478" w14:textId="77777777" w:rsidR="00B040F8" w:rsidRPr="00B040F8" w:rsidRDefault="00B040F8" w:rsidP="00B040F8">
            <w:pPr>
              <w:keepNext/>
              <w:adjustRightInd w:val="0"/>
              <w:spacing w:after="0"/>
              <w:jc w:val="center"/>
              <w:rPr>
                <w:rFonts w:ascii="Arial Narrow" w:hAnsi="Arial Narrow"/>
                <w:b/>
                <w:bCs/>
                <w:color w:val="FFFFFF" w:themeColor="background1"/>
                <w:sz w:val="20"/>
              </w:rPr>
            </w:pPr>
            <w:proofErr w:type="spellStart"/>
            <w:r w:rsidRPr="00B040F8">
              <w:rPr>
                <w:rFonts w:ascii="Arial Narrow" w:hAnsi="Arial Narrow"/>
                <w:b/>
                <w:bCs/>
                <w:color w:val="FFFFFF" w:themeColor="background1"/>
                <w:sz w:val="20"/>
              </w:rPr>
              <w:t>Std</w:t>
            </w:r>
            <w:proofErr w:type="spellEnd"/>
            <w:r w:rsidRPr="00B040F8">
              <w:rPr>
                <w:rFonts w:ascii="Arial Narrow" w:hAnsi="Arial Narrow"/>
                <w:b/>
                <w:bCs/>
                <w:color w:val="FFFFFF" w:themeColor="background1"/>
                <w:sz w:val="20"/>
              </w:rPr>
              <w:t> Err of</w:t>
            </w:r>
            <w:r w:rsidRPr="00B040F8">
              <w:rPr>
                <w:rFonts w:ascii="Arial Narrow" w:hAnsi="Arial Narrow"/>
                <w:b/>
                <w:bCs/>
                <w:color w:val="FFFFFF" w:themeColor="background1"/>
                <w:sz w:val="20"/>
              </w:rPr>
              <w:br/>
              <w:t>Percent</w:t>
            </w:r>
          </w:p>
        </w:tc>
      </w:tr>
      <w:tr w:rsidR="00B040F8" w:rsidRPr="00B040F8" w14:paraId="4A10ADC2" w14:textId="77777777" w:rsidTr="00B040F8">
        <w:trPr>
          <w:cantSplit/>
        </w:trPr>
        <w:tc>
          <w:tcPr>
            <w:tcW w:w="173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5D2921F5"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Manufacturing</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0E08A872"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584</w:t>
            </w:r>
          </w:p>
        </w:tc>
        <w:tc>
          <w:tcPr>
            <w:tcW w:w="1512" w:type="dxa"/>
            <w:tcBorders>
              <w:top w:val="nil"/>
              <w:left w:val="single" w:sz="2" w:space="0" w:color="000000"/>
              <w:bottom w:val="single" w:sz="2" w:space="0" w:color="000000"/>
              <w:right w:val="nil"/>
            </w:tcBorders>
            <w:shd w:val="clear" w:color="auto" w:fill="FFFFFF"/>
            <w:tcMar>
              <w:left w:w="60" w:type="dxa"/>
              <w:right w:w="60" w:type="dxa"/>
            </w:tcMar>
          </w:tcPr>
          <w:p w14:paraId="7D32DB3A"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1283713</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23113AA8"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4.70488E-6</w:t>
            </w:r>
          </w:p>
        </w:tc>
        <w:tc>
          <w:tcPr>
            <w:tcW w:w="1170" w:type="dxa"/>
            <w:tcBorders>
              <w:top w:val="nil"/>
              <w:left w:val="single" w:sz="2" w:space="0" w:color="000000"/>
              <w:bottom w:val="single" w:sz="2" w:space="0" w:color="000000"/>
              <w:right w:val="nil"/>
            </w:tcBorders>
            <w:shd w:val="clear" w:color="auto" w:fill="FFFFFF"/>
            <w:tcMar>
              <w:left w:w="60" w:type="dxa"/>
              <w:right w:w="60" w:type="dxa"/>
            </w:tcMar>
          </w:tcPr>
          <w:p w14:paraId="6703F8CD"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13.5891</w:t>
            </w:r>
          </w:p>
        </w:tc>
        <w:tc>
          <w:tcPr>
            <w:tcW w:w="13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6CAC0A"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0.0000</w:t>
            </w:r>
          </w:p>
        </w:tc>
      </w:tr>
      <w:tr w:rsidR="00B040F8" w:rsidRPr="00B040F8" w14:paraId="5CDEDD74" w14:textId="77777777" w:rsidTr="00B040F8">
        <w:trPr>
          <w:cantSplit/>
        </w:trPr>
        <w:tc>
          <w:tcPr>
            <w:tcW w:w="173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7CE6D92B"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Retail</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3F2643D4"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434</w:t>
            </w:r>
          </w:p>
        </w:tc>
        <w:tc>
          <w:tcPr>
            <w:tcW w:w="1512" w:type="dxa"/>
            <w:tcBorders>
              <w:top w:val="nil"/>
              <w:left w:val="single" w:sz="2" w:space="0" w:color="000000"/>
              <w:bottom w:val="single" w:sz="2" w:space="0" w:color="000000"/>
              <w:right w:val="nil"/>
            </w:tcBorders>
            <w:shd w:val="clear" w:color="auto" w:fill="FFFFFF"/>
            <w:tcMar>
              <w:left w:w="60" w:type="dxa"/>
              <w:right w:w="60" w:type="dxa"/>
            </w:tcMar>
          </w:tcPr>
          <w:p w14:paraId="3A04E393"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1918384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689B43C9"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0.0000188</w:t>
            </w:r>
          </w:p>
        </w:tc>
        <w:tc>
          <w:tcPr>
            <w:tcW w:w="1170" w:type="dxa"/>
            <w:tcBorders>
              <w:top w:val="nil"/>
              <w:left w:val="single" w:sz="2" w:space="0" w:color="000000"/>
              <w:bottom w:val="single" w:sz="2" w:space="0" w:color="000000"/>
              <w:right w:val="nil"/>
            </w:tcBorders>
            <w:shd w:val="clear" w:color="auto" w:fill="FFFFFF"/>
            <w:tcMar>
              <w:left w:w="60" w:type="dxa"/>
              <w:right w:w="60" w:type="dxa"/>
            </w:tcMar>
          </w:tcPr>
          <w:p w14:paraId="27845781"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20.3075</w:t>
            </w:r>
          </w:p>
        </w:tc>
        <w:tc>
          <w:tcPr>
            <w:tcW w:w="13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1DAF68"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0.0000</w:t>
            </w:r>
          </w:p>
        </w:tc>
      </w:tr>
      <w:tr w:rsidR="00B040F8" w:rsidRPr="00B040F8" w14:paraId="28CC431C" w14:textId="77777777" w:rsidTr="00B040F8">
        <w:trPr>
          <w:cantSplit/>
        </w:trPr>
        <w:tc>
          <w:tcPr>
            <w:tcW w:w="173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6CE29F94"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Services</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4D10D4F2"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562</w:t>
            </w:r>
          </w:p>
        </w:tc>
        <w:tc>
          <w:tcPr>
            <w:tcW w:w="1512" w:type="dxa"/>
            <w:tcBorders>
              <w:top w:val="nil"/>
              <w:left w:val="single" w:sz="2" w:space="0" w:color="000000"/>
              <w:bottom w:val="single" w:sz="2" w:space="0" w:color="000000"/>
              <w:right w:val="nil"/>
            </w:tcBorders>
            <w:shd w:val="clear" w:color="auto" w:fill="FFFFFF"/>
            <w:tcMar>
              <w:left w:w="60" w:type="dxa"/>
              <w:right w:w="60" w:type="dxa"/>
            </w:tcMar>
          </w:tcPr>
          <w:p w14:paraId="19C61C36"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2864417</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6035045B"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5.56912E-6</w:t>
            </w:r>
          </w:p>
        </w:tc>
        <w:tc>
          <w:tcPr>
            <w:tcW w:w="1170" w:type="dxa"/>
            <w:tcBorders>
              <w:top w:val="nil"/>
              <w:left w:val="single" w:sz="2" w:space="0" w:color="000000"/>
              <w:bottom w:val="single" w:sz="2" w:space="0" w:color="000000"/>
              <w:right w:val="nil"/>
            </w:tcBorders>
            <w:shd w:val="clear" w:color="auto" w:fill="FFFFFF"/>
            <w:tcMar>
              <w:left w:w="60" w:type="dxa"/>
              <w:right w:w="60" w:type="dxa"/>
            </w:tcMar>
          </w:tcPr>
          <w:p w14:paraId="6CF4EE7F"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30.3220</w:t>
            </w:r>
          </w:p>
        </w:tc>
        <w:tc>
          <w:tcPr>
            <w:tcW w:w="13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6E7D5E"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0.0000</w:t>
            </w:r>
          </w:p>
        </w:tc>
      </w:tr>
      <w:tr w:rsidR="00B040F8" w:rsidRPr="00B040F8" w14:paraId="27CE0F5B" w14:textId="77777777" w:rsidTr="00B040F8">
        <w:trPr>
          <w:cantSplit/>
          <w:trHeight w:val="55"/>
        </w:trPr>
        <w:tc>
          <w:tcPr>
            <w:tcW w:w="1732"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3F375958"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Other</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14:paraId="496B6C72"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626</w:t>
            </w:r>
          </w:p>
        </w:tc>
        <w:tc>
          <w:tcPr>
            <w:tcW w:w="1512" w:type="dxa"/>
            <w:tcBorders>
              <w:top w:val="nil"/>
              <w:left w:val="single" w:sz="2" w:space="0" w:color="000000"/>
              <w:bottom w:val="single" w:sz="6" w:space="0" w:color="000000"/>
              <w:right w:val="nil"/>
            </w:tcBorders>
            <w:shd w:val="clear" w:color="auto" w:fill="FFFFFF"/>
            <w:tcMar>
              <w:left w:w="60" w:type="dxa"/>
              <w:right w:w="60" w:type="dxa"/>
            </w:tcMar>
          </w:tcPr>
          <w:p w14:paraId="392C2556"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3380146</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6DA11880"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3.4956E-6</w:t>
            </w:r>
          </w:p>
        </w:tc>
        <w:tc>
          <w:tcPr>
            <w:tcW w:w="1170" w:type="dxa"/>
            <w:tcBorders>
              <w:top w:val="nil"/>
              <w:left w:val="single" w:sz="2" w:space="0" w:color="000000"/>
              <w:bottom w:val="single" w:sz="6" w:space="0" w:color="000000"/>
              <w:right w:val="nil"/>
            </w:tcBorders>
            <w:shd w:val="clear" w:color="auto" w:fill="FFFFFF"/>
            <w:tcMar>
              <w:left w:w="60" w:type="dxa"/>
              <w:right w:w="60" w:type="dxa"/>
            </w:tcMar>
          </w:tcPr>
          <w:p w14:paraId="5835D28C"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35.7814</w:t>
            </w:r>
          </w:p>
        </w:tc>
        <w:tc>
          <w:tcPr>
            <w:tcW w:w="13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DB1C01"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0.0000</w:t>
            </w:r>
          </w:p>
        </w:tc>
      </w:tr>
      <w:tr w:rsidR="00B040F8" w:rsidRPr="00B040F8" w14:paraId="65EDDED1" w14:textId="77777777" w:rsidTr="00B040F8">
        <w:trPr>
          <w:cantSplit/>
        </w:trPr>
        <w:tc>
          <w:tcPr>
            <w:tcW w:w="1732" w:type="dxa"/>
            <w:tcBorders>
              <w:top w:val="single" w:sz="6" w:space="0" w:color="000000"/>
              <w:left w:val="single" w:sz="6" w:space="0" w:color="000000"/>
              <w:bottom w:val="single" w:sz="6" w:space="0" w:color="000000"/>
              <w:right w:val="nil"/>
            </w:tcBorders>
            <w:shd w:val="clear" w:color="auto" w:fill="DAEDF3" w:themeFill="accent1" w:themeFillTint="33"/>
            <w:tcMar>
              <w:left w:w="60" w:type="dxa"/>
              <w:right w:w="60" w:type="dxa"/>
            </w:tcMar>
          </w:tcPr>
          <w:p w14:paraId="79029033"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Total</w:t>
            </w:r>
          </w:p>
        </w:tc>
        <w:tc>
          <w:tcPr>
            <w:tcW w:w="1350"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7262F3D4" w14:textId="77777777" w:rsidR="00B040F8" w:rsidRPr="00B040F8" w:rsidRDefault="00B040F8" w:rsidP="00B040F8">
            <w:pPr>
              <w:keepNext/>
              <w:adjustRightInd w:val="0"/>
              <w:spacing w:after="0"/>
              <w:jc w:val="right"/>
              <w:rPr>
                <w:rFonts w:ascii="Arial Narrow" w:hAnsi="Arial Narrow"/>
                <w:b/>
                <w:color w:val="000000"/>
                <w:sz w:val="20"/>
              </w:rPr>
            </w:pPr>
            <w:r w:rsidRPr="00B040F8">
              <w:rPr>
                <w:rFonts w:ascii="Arial Narrow" w:hAnsi="Arial Narrow"/>
                <w:b/>
                <w:color w:val="000000"/>
                <w:sz w:val="20"/>
              </w:rPr>
              <w:t>2206</w:t>
            </w:r>
          </w:p>
        </w:tc>
        <w:tc>
          <w:tcPr>
            <w:tcW w:w="1512"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5930FD3B" w14:textId="77777777" w:rsidR="00B040F8" w:rsidRPr="00B040F8" w:rsidRDefault="00B040F8" w:rsidP="00B040F8">
            <w:pPr>
              <w:keepNext/>
              <w:adjustRightInd w:val="0"/>
              <w:spacing w:after="0"/>
              <w:jc w:val="right"/>
              <w:rPr>
                <w:rFonts w:ascii="Arial Narrow" w:hAnsi="Arial Narrow"/>
                <w:b/>
                <w:color w:val="000000"/>
                <w:sz w:val="20"/>
              </w:rPr>
            </w:pPr>
            <w:r w:rsidRPr="00B040F8">
              <w:rPr>
                <w:rFonts w:ascii="Arial Narrow" w:hAnsi="Arial Narrow"/>
                <w:b/>
                <w:color w:val="000000"/>
                <w:sz w:val="20"/>
              </w:rPr>
              <w:t>9446660</w:t>
            </w:r>
          </w:p>
        </w:tc>
        <w:tc>
          <w:tcPr>
            <w:tcW w:w="1260"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476FABF5" w14:textId="77777777" w:rsidR="00B040F8" w:rsidRPr="00B040F8" w:rsidRDefault="00B040F8" w:rsidP="00B040F8">
            <w:pPr>
              <w:keepNext/>
              <w:adjustRightInd w:val="0"/>
              <w:spacing w:after="0"/>
              <w:jc w:val="right"/>
              <w:rPr>
                <w:rFonts w:ascii="Arial Narrow" w:hAnsi="Arial Narrow"/>
                <w:b/>
                <w:color w:val="000000"/>
                <w:sz w:val="20"/>
              </w:rPr>
            </w:pPr>
            <w:r w:rsidRPr="00B040F8">
              <w:rPr>
                <w:rFonts w:ascii="Arial Narrow" w:hAnsi="Arial Narrow"/>
                <w:b/>
                <w:color w:val="000000"/>
                <w:sz w:val="20"/>
              </w:rPr>
              <w:t>0.0000223</w:t>
            </w:r>
          </w:p>
        </w:tc>
        <w:tc>
          <w:tcPr>
            <w:tcW w:w="1170"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2224A295" w14:textId="77777777" w:rsidR="00B040F8" w:rsidRPr="00B040F8" w:rsidRDefault="00B040F8" w:rsidP="00B040F8">
            <w:pPr>
              <w:keepNext/>
              <w:adjustRightInd w:val="0"/>
              <w:spacing w:after="0"/>
              <w:jc w:val="right"/>
              <w:rPr>
                <w:rFonts w:ascii="Arial Narrow" w:hAnsi="Arial Narrow"/>
                <w:b/>
                <w:color w:val="000000"/>
                <w:sz w:val="20"/>
              </w:rPr>
            </w:pPr>
            <w:r w:rsidRPr="00B040F8">
              <w:rPr>
                <w:rFonts w:ascii="Arial Narrow" w:hAnsi="Arial Narrow"/>
                <w:b/>
                <w:color w:val="000000"/>
                <w:sz w:val="20"/>
              </w:rPr>
              <w:t>100.0000</w:t>
            </w:r>
          </w:p>
        </w:tc>
        <w:tc>
          <w:tcPr>
            <w:tcW w:w="1350"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727DFA07" w14:textId="77777777" w:rsidR="00B040F8" w:rsidRPr="00B040F8" w:rsidRDefault="00B040F8" w:rsidP="00B040F8">
            <w:pPr>
              <w:keepNext/>
              <w:adjustRightInd w:val="0"/>
              <w:spacing w:after="0"/>
              <w:jc w:val="right"/>
              <w:rPr>
                <w:rFonts w:ascii="Arial Narrow" w:hAnsi="Arial Narrow"/>
                <w:b/>
                <w:color w:val="000000"/>
                <w:sz w:val="20"/>
              </w:rPr>
            </w:pPr>
          </w:p>
        </w:tc>
      </w:tr>
    </w:tbl>
    <w:p w14:paraId="638644CA" w14:textId="77777777" w:rsidR="009E5813" w:rsidRDefault="009E5813" w:rsidP="008A621F">
      <w:pPr>
        <w:shd w:val="clear" w:color="auto" w:fill="FFFFFF"/>
        <w:rPr>
          <w:color w:val="000000"/>
        </w:rPr>
      </w:pPr>
    </w:p>
    <w:p w14:paraId="2122B6EE" w14:textId="23CA3C74" w:rsidR="00B040F8" w:rsidRPr="00E33B05" w:rsidRDefault="00B040F8" w:rsidP="00E33B05">
      <w:pPr>
        <w:pStyle w:val="Heading6"/>
      </w:pPr>
      <w:r w:rsidRPr="00E33B05">
        <w:t xml:space="preserve">Mean </w:t>
      </w:r>
      <w:r w:rsidR="007769FE">
        <w:t>p</w:t>
      </w:r>
      <w:r w:rsidRPr="00E33B05">
        <w:t xml:space="preserve">ercentage of </w:t>
      </w:r>
      <w:r w:rsidR="007769FE">
        <w:t>f</w:t>
      </w:r>
      <w:r w:rsidRPr="00E33B05">
        <w:t xml:space="preserve">emale </w:t>
      </w:r>
      <w:r w:rsidR="007769FE">
        <w:t>e</w:t>
      </w:r>
      <w:r w:rsidRPr="00E33B05">
        <w:t xml:space="preserve">mployees </w:t>
      </w:r>
      <w:r w:rsidR="007769FE">
        <w:t>across</w:t>
      </w:r>
      <w:r w:rsidRPr="00E33B05">
        <w:t xml:space="preserve"> </w:t>
      </w:r>
      <w:r w:rsidR="007769FE">
        <w:t>f</w:t>
      </w:r>
      <w:r w:rsidRPr="00E33B05">
        <w:t xml:space="preserve">ull </w:t>
      </w:r>
      <w:r w:rsidR="007769FE">
        <w:t>s</w:t>
      </w:r>
      <w:r w:rsidRPr="00E33B05">
        <w:t>ample</w:t>
      </w:r>
    </w:p>
    <w:p w14:paraId="4BD07F02" w14:textId="77777777" w:rsidR="00B040F8" w:rsidRPr="00B040F8" w:rsidRDefault="00B040F8" w:rsidP="006F7B56">
      <w:pPr>
        <w:shd w:val="clear" w:color="auto" w:fill="FFFFFF"/>
        <w:spacing w:after="0"/>
        <w:rPr>
          <w:color w:val="000000"/>
        </w:rPr>
      </w:pPr>
      <w:r w:rsidRPr="00B040F8">
        <w:rPr>
          <w:color w:val="000000"/>
        </w:rPr>
        <w:t>PROC SURVEYMEANS data=&lt;</w:t>
      </w:r>
      <w:proofErr w:type="spellStart"/>
      <w:r w:rsidRPr="00B040F8">
        <w:rPr>
          <w:color w:val="000000"/>
        </w:rPr>
        <w:t>libname</w:t>
      </w:r>
      <w:proofErr w:type="spellEnd"/>
      <w:r w:rsidRPr="00B040F8">
        <w:rPr>
          <w:color w:val="000000"/>
        </w:rPr>
        <w:t xml:space="preserve">&gt;.FMLA_2018_Worksite_PUF VARMETHOD = </w:t>
      </w:r>
      <w:proofErr w:type="spellStart"/>
      <w:r w:rsidRPr="00B040F8">
        <w:rPr>
          <w:color w:val="000000"/>
        </w:rPr>
        <w:t>brr</w:t>
      </w:r>
      <w:proofErr w:type="spellEnd"/>
      <w:r w:rsidRPr="00B040F8">
        <w:rPr>
          <w:color w:val="000000"/>
        </w:rPr>
        <w:t>;</w:t>
      </w:r>
    </w:p>
    <w:p w14:paraId="18A5528F" w14:textId="653EF818" w:rsidR="00B040F8" w:rsidRPr="00B040F8" w:rsidRDefault="00B040F8" w:rsidP="00B80576">
      <w:pPr>
        <w:shd w:val="clear" w:color="auto" w:fill="FFFFFF"/>
        <w:spacing w:after="0"/>
        <w:ind w:firstLine="360"/>
        <w:rPr>
          <w:color w:val="000000"/>
        </w:rPr>
      </w:pPr>
      <w:r w:rsidRPr="00B040F8">
        <w:rPr>
          <w:color w:val="000000"/>
        </w:rPr>
        <w:t xml:space="preserve">WEIGHT </w:t>
      </w:r>
      <w:proofErr w:type="spellStart"/>
      <w:r w:rsidRPr="00B040F8">
        <w:rPr>
          <w:color w:val="000000"/>
        </w:rPr>
        <w:t>Estab_Wt</w:t>
      </w:r>
      <w:proofErr w:type="spellEnd"/>
      <w:r w:rsidRPr="00B040F8">
        <w:rPr>
          <w:color w:val="000000"/>
        </w:rPr>
        <w:t>;</w:t>
      </w:r>
    </w:p>
    <w:p w14:paraId="195D01D5" w14:textId="673C82D7" w:rsidR="00B040F8" w:rsidRPr="00B040F8" w:rsidRDefault="00B040F8" w:rsidP="00B80576">
      <w:pPr>
        <w:shd w:val="clear" w:color="auto" w:fill="FFFFFF"/>
        <w:spacing w:after="0"/>
        <w:ind w:firstLine="360"/>
        <w:rPr>
          <w:color w:val="000000"/>
        </w:rPr>
      </w:pPr>
      <w:r w:rsidRPr="00B040F8">
        <w:rPr>
          <w:color w:val="000000"/>
        </w:rPr>
        <w:t>REPWEIGHT BootStrap_Estab_Wt1 - BootStrap_Estab_Wt250;</w:t>
      </w:r>
    </w:p>
    <w:p w14:paraId="201BFF9A" w14:textId="65FF38A6" w:rsidR="00B040F8" w:rsidRPr="00B040F8" w:rsidRDefault="00B040F8" w:rsidP="00B80576">
      <w:pPr>
        <w:shd w:val="clear" w:color="auto" w:fill="FFFFFF"/>
        <w:ind w:firstLine="360"/>
        <w:rPr>
          <w:color w:val="000000"/>
        </w:rPr>
      </w:pPr>
      <w:r w:rsidRPr="00B040F8">
        <w:rPr>
          <w:color w:val="000000"/>
        </w:rPr>
        <w:t>VAR Q7_PCT;</w:t>
      </w:r>
    </w:p>
    <w:p w14:paraId="6D298BC3" w14:textId="34362E11" w:rsidR="00526C35" w:rsidRDefault="00B040F8" w:rsidP="00B040F8">
      <w:pPr>
        <w:shd w:val="clear" w:color="auto" w:fill="FFFFFF"/>
        <w:rPr>
          <w:color w:val="000000"/>
        </w:rPr>
      </w:pPr>
      <w:r w:rsidRPr="00B040F8">
        <w:rPr>
          <w:color w:val="000000"/>
        </w:rPr>
        <w:t>RUN;</w:t>
      </w:r>
      <w:r w:rsidR="00AA41AB">
        <w:rPr>
          <w:color w:val="000000"/>
        </w:rPr>
        <w:t xml:space="preserve"> </w:t>
      </w:r>
    </w:p>
    <w:p w14:paraId="286DC4B3" w14:textId="77777777" w:rsidR="000D335E" w:rsidRPr="00BC408B" w:rsidRDefault="000D335E" w:rsidP="000D335E">
      <w:pPr>
        <w:pStyle w:val="Heading6"/>
      </w:pPr>
      <w:r w:rsidRPr="00BC408B">
        <w:t xml:space="preserve">Industry frequencies </w:t>
      </w:r>
      <w:r>
        <w:t>on</w:t>
      </w:r>
      <w:r w:rsidRPr="00BC408B">
        <w:t xml:space="preserve"> subsample of worksites that self-report being covered by FMLA</w:t>
      </w:r>
    </w:p>
    <w:p w14:paraId="07BF0A6C" w14:textId="77777777" w:rsidR="00B040F8" w:rsidRPr="00B040F8" w:rsidRDefault="00B040F8" w:rsidP="006F7B56">
      <w:pPr>
        <w:shd w:val="clear" w:color="auto" w:fill="FFFFFF"/>
        <w:spacing w:after="0"/>
        <w:rPr>
          <w:color w:val="000000"/>
        </w:rPr>
      </w:pPr>
      <w:r w:rsidRPr="00B040F8">
        <w:rPr>
          <w:color w:val="000000"/>
        </w:rPr>
        <w:t xml:space="preserve">PROC SURVEYFREQ data=&lt;LIBNAME&gt;.FMLA_2018_Worksite_PUF VARMETHOD = </w:t>
      </w:r>
      <w:proofErr w:type="spellStart"/>
      <w:r w:rsidRPr="00B040F8">
        <w:rPr>
          <w:color w:val="000000"/>
        </w:rPr>
        <w:t>brr</w:t>
      </w:r>
      <w:proofErr w:type="spellEnd"/>
      <w:r w:rsidRPr="00B040F8">
        <w:rPr>
          <w:color w:val="000000"/>
        </w:rPr>
        <w:t>;</w:t>
      </w:r>
    </w:p>
    <w:p w14:paraId="46FF9891" w14:textId="5FA1731F" w:rsidR="00B040F8" w:rsidRPr="00B040F8" w:rsidRDefault="00B040F8" w:rsidP="00B80576">
      <w:pPr>
        <w:shd w:val="clear" w:color="auto" w:fill="FFFFFF"/>
        <w:spacing w:after="0"/>
        <w:ind w:firstLine="360"/>
        <w:rPr>
          <w:color w:val="000000"/>
        </w:rPr>
      </w:pPr>
      <w:r w:rsidRPr="00B040F8">
        <w:rPr>
          <w:color w:val="000000"/>
        </w:rPr>
        <w:t xml:space="preserve">WEIGHT </w:t>
      </w:r>
      <w:proofErr w:type="spellStart"/>
      <w:r w:rsidRPr="00B040F8">
        <w:rPr>
          <w:color w:val="000000"/>
        </w:rPr>
        <w:t>Estab_Wt</w:t>
      </w:r>
      <w:proofErr w:type="spellEnd"/>
      <w:r w:rsidRPr="00B040F8">
        <w:rPr>
          <w:color w:val="000000"/>
        </w:rPr>
        <w:t>;</w:t>
      </w:r>
    </w:p>
    <w:p w14:paraId="568CC984" w14:textId="22906FD6" w:rsidR="00B040F8" w:rsidRPr="00B040F8" w:rsidRDefault="00B040F8" w:rsidP="00B80576">
      <w:pPr>
        <w:shd w:val="clear" w:color="auto" w:fill="FFFFFF"/>
        <w:spacing w:after="0"/>
        <w:ind w:firstLine="360"/>
        <w:rPr>
          <w:color w:val="000000"/>
        </w:rPr>
      </w:pPr>
      <w:r w:rsidRPr="00B040F8">
        <w:rPr>
          <w:color w:val="000000"/>
        </w:rPr>
        <w:t>REPWEIGHT BootStrap_Estab_Wt1 - BootStrap_Estab_Wt250;</w:t>
      </w:r>
    </w:p>
    <w:p w14:paraId="721BBACC" w14:textId="3A23FDA6" w:rsidR="00B040F8" w:rsidRPr="00B040F8" w:rsidRDefault="00B040F8" w:rsidP="00B80576">
      <w:pPr>
        <w:shd w:val="clear" w:color="auto" w:fill="FFFFFF"/>
        <w:ind w:firstLine="360"/>
        <w:rPr>
          <w:color w:val="000000"/>
        </w:rPr>
      </w:pPr>
      <w:r w:rsidRPr="00B040F8">
        <w:rPr>
          <w:color w:val="000000"/>
        </w:rPr>
        <w:t>TABLES Q4_CAT * COVERED_SELF_REPORTED;</w:t>
      </w:r>
    </w:p>
    <w:p w14:paraId="2CDA08E4" w14:textId="46334E08" w:rsidR="00B040F8" w:rsidRPr="00B040F8" w:rsidRDefault="00B040F8" w:rsidP="00B040F8">
      <w:pPr>
        <w:shd w:val="clear" w:color="auto" w:fill="FFFFFF"/>
        <w:rPr>
          <w:color w:val="000000"/>
        </w:rPr>
      </w:pPr>
      <w:r w:rsidRPr="00B040F8">
        <w:rPr>
          <w:color w:val="000000"/>
        </w:rPr>
        <w:t>RUN;</w:t>
      </w:r>
      <w:r w:rsidR="00AA41AB">
        <w:rPr>
          <w:color w:val="000000"/>
        </w:rPr>
        <w:t xml:space="preserve"> </w:t>
      </w:r>
    </w:p>
    <w:p w14:paraId="011F7BAD" w14:textId="77777777" w:rsidR="00B040F8" w:rsidRPr="00B040F8" w:rsidRDefault="00B040F8" w:rsidP="00E33B05">
      <w:pPr>
        <w:pStyle w:val="Heading6"/>
      </w:pPr>
      <w:r w:rsidRPr="00B040F8">
        <w:t>Mean percentage of female employees by self-reported FMLA coverage status</w:t>
      </w:r>
    </w:p>
    <w:p w14:paraId="2FD84D74" w14:textId="77777777" w:rsidR="00B040F8" w:rsidRPr="00B040F8" w:rsidRDefault="00B040F8" w:rsidP="006F7B56">
      <w:pPr>
        <w:shd w:val="clear" w:color="auto" w:fill="FFFFFF"/>
        <w:spacing w:after="0"/>
        <w:rPr>
          <w:color w:val="000000"/>
        </w:rPr>
      </w:pPr>
      <w:r w:rsidRPr="00B040F8">
        <w:rPr>
          <w:color w:val="000000"/>
        </w:rPr>
        <w:lastRenderedPageBreak/>
        <w:t>PROC SURVEYMEANS data=&lt;</w:t>
      </w:r>
      <w:proofErr w:type="spellStart"/>
      <w:r w:rsidRPr="00B040F8">
        <w:rPr>
          <w:color w:val="000000"/>
        </w:rPr>
        <w:t>libname</w:t>
      </w:r>
      <w:proofErr w:type="spellEnd"/>
      <w:r w:rsidRPr="00B040F8">
        <w:rPr>
          <w:color w:val="000000"/>
        </w:rPr>
        <w:t xml:space="preserve">&gt;.FMLA_2018_Worksite_PUF VARMETHOD = </w:t>
      </w:r>
      <w:proofErr w:type="spellStart"/>
      <w:r w:rsidRPr="00B040F8">
        <w:rPr>
          <w:color w:val="000000"/>
        </w:rPr>
        <w:t>brr</w:t>
      </w:r>
      <w:proofErr w:type="spellEnd"/>
      <w:r w:rsidRPr="00B040F8">
        <w:rPr>
          <w:color w:val="000000"/>
        </w:rPr>
        <w:t>;</w:t>
      </w:r>
    </w:p>
    <w:p w14:paraId="18201810" w14:textId="0B59A088" w:rsidR="00B040F8" w:rsidRPr="00B040F8" w:rsidRDefault="00B040F8" w:rsidP="00B80576">
      <w:pPr>
        <w:shd w:val="clear" w:color="auto" w:fill="FFFFFF"/>
        <w:spacing w:after="0"/>
        <w:ind w:firstLine="360"/>
        <w:rPr>
          <w:color w:val="000000"/>
        </w:rPr>
      </w:pPr>
      <w:r w:rsidRPr="00B040F8">
        <w:rPr>
          <w:color w:val="000000"/>
        </w:rPr>
        <w:t xml:space="preserve">DOMAIN COVERED_SELF_REPORTED; </w:t>
      </w:r>
    </w:p>
    <w:p w14:paraId="2247D047" w14:textId="55643FDB" w:rsidR="00B040F8" w:rsidRPr="00B040F8" w:rsidRDefault="00B040F8" w:rsidP="00B80576">
      <w:pPr>
        <w:shd w:val="clear" w:color="auto" w:fill="FFFFFF"/>
        <w:spacing w:after="0"/>
        <w:ind w:firstLine="360"/>
        <w:rPr>
          <w:color w:val="000000"/>
        </w:rPr>
      </w:pPr>
      <w:r w:rsidRPr="00B040F8">
        <w:rPr>
          <w:color w:val="000000"/>
        </w:rPr>
        <w:t xml:space="preserve">WEIGHT </w:t>
      </w:r>
      <w:proofErr w:type="spellStart"/>
      <w:r w:rsidRPr="00B040F8">
        <w:rPr>
          <w:color w:val="000000"/>
        </w:rPr>
        <w:t>Estab_Wt</w:t>
      </w:r>
      <w:proofErr w:type="spellEnd"/>
      <w:r w:rsidRPr="00B040F8">
        <w:rPr>
          <w:color w:val="000000"/>
        </w:rPr>
        <w:t>;</w:t>
      </w:r>
    </w:p>
    <w:p w14:paraId="380E074D" w14:textId="53DD133D" w:rsidR="00B040F8" w:rsidRPr="00B040F8" w:rsidRDefault="00B040F8" w:rsidP="00B80576">
      <w:pPr>
        <w:shd w:val="clear" w:color="auto" w:fill="FFFFFF"/>
        <w:spacing w:after="0"/>
        <w:ind w:firstLine="360"/>
        <w:rPr>
          <w:color w:val="000000"/>
        </w:rPr>
      </w:pPr>
      <w:r w:rsidRPr="00B040F8">
        <w:rPr>
          <w:color w:val="000000"/>
        </w:rPr>
        <w:t>REPWEIGHT BootStrap_Estab_Wt1 - BootStrap_Estab_Wt250;</w:t>
      </w:r>
    </w:p>
    <w:p w14:paraId="0D3AEC74" w14:textId="753338D3" w:rsidR="00B040F8" w:rsidRPr="00B040F8" w:rsidRDefault="00B040F8" w:rsidP="00B80576">
      <w:pPr>
        <w:shd w:val="clear" w:color="auto" w:fill="FFFFFF"/>
        <w:ind w:firstLine="360"/>
        <w:rPr>
          <w:color w:val="000000"/>
        </w:rPr>
      </w:pPr>
      <w:r w:rsidRPr="00B040F8">
        <w:rPr>
          <w:color w:val="000000"/>
        </w:rPr>
        <w:t>VAR Q7_PCT;</w:t>
      </w:r>
    </w:p>
    <w:p w14:paraId="288DE746" w14:textId="184B1853" w:rsidR="00BC408B" w:rsidRDefault="00B040F8" w:rsidP="00B040F8">
      <w:pPr>
        <w:shd w:val="clear" w:color="auto" w:fill="FFFFFF"/>
        <w:rPr>
          <w:color w:val="000000"/>
        </w:rPr>
      </w:pPr>
      <w:r w:rsidRPr="00B040F8">
        <w:rPr>
          <w:color w:val="000000"/>
        </w:rPr>
        <w:t>RUN;</w:t>
      </w:r>
      <w:r w:rsidR="00AA41AB">
        <w:rPr>
          <w:color w:val="000000"/>
        </w:rPr>
        <w:t xml:space="preserve"> </w:t>
      </w:r>
    </w:p>
    <w:p w14:paraId="29D99A1E" w14:textId="087E64AE" w:rsidR="00B040F8" w:rsidRPr="00B040F8" w:rsidRDefault="00B040F8" w:rsidP="00E33B05">
      <w:pPr>
        <w:pStyle w:val="Heading5"/>
      </w:pPr>
      <w:r w:rsidRPr="00B040F8">
        <w:t>Applying Employee Weights</w:t>
      </w:r>
    </w:p>
    <w:p w14:paraId="67FE9546" w14:textId="77777777" w:rsidR="00B040F8" w:rsidRPr="00B040F8" w:rsidRDefault="00B040F8" w:rsidP="00B040F8">
      <w:pPr>
        <w:shd w:val="clear" w:color="auto" w:fill="FFFFFF"/>
        <w:rPr>
          <w:color w:val="000000"/>
        </w:rPr>
      </w:pPr>
      <w:r w:rsidRPr="00B040F8">
        <w:rPr>
          <w:color w:val="000000"/>
        </w:rPr>
        <w:t>Appropriate code to run the analysis in SAS applying employee weights follows.</w:t>
      </w:r>
    </w:p>
    <w:p w14:paraId="21A4518E" w14:textId="654F035E" w:rsidR="00B040F8" w:rsidRPr="00B040F8" w:rsidRDefault="00B040F8" w:rsidP="00E33B05">
      <w:pPr>
        <w:pStyle w:val="Heading6"/>
      </w:pPr>
      <w:r w:rsidRPr="00B040F8">
        <w:t xml:space="preserve">Industry frequencies </w:t>
      </w:r>
      <w:r w:rsidR="007769FE">
        <w:t>on</w:t>
      </w:r>
      <w:r w:rsidRPr="00B040F8">
        <w:t xml:space="preserve"> full sample</w:t>
      </w:r>
    </w:p>
    <w:p w14:paraId="37D97FF7" w14:textId="77777777" w:rsidR="00B040F8" w:rsidRPr="00B040F8" w:rsidRDefault="00B040F8" w:rsidP="006F7B56">
      <w:pPr>
        <w:shd w:val="clear" w:color="auto" w:fill="FFFFFF"/>
        <w:spacing w:after="0"/>
        <w:rPr>
          <w:color w:val="000000"/>
        </w:rPr>
      </w:pPr>
      <w:r w:rsidRPr="00B040F8">
        <w:rPr>
          <w:color w:val="000000"/>
        </w:rPr>
        <w:t>PROC SURVEYFREQ data=&lt;</w:t>
      </w:r>
      <w:proofErr w:type="spellStart"/>
      <w:r w:rsidRPr="00B040F8">
        <w:rPr>
          <w:color w:val="000000"/>
        </w:rPr>
        <w:t>libname</w:t>
      </w:r>
      <w:proofErr w:type="spellEnd"/>
      <w:r w:rsidRPr="00B040F8">
        <w:rPr>
          <w:color w:val="000000"/>
        </w:rPr>
        <w:t xml:space="preserve">&gt;.FMLA_2018_Worksite_PUF VARMETHOD = </w:t>
      </w:r>
      <w:proofErr w:type="spellStart"/>
      <w:r w:rsidRPr="00B040F8">
        <w:rPr>
          <w:color w:val="000000"/>
        </w:rPr>
        <w:t>brr</w:t>
      </w:r>
      <w:proofErr w:type="spellEnd"/>
      <w:r w:rsidRPr="00B040F8">
        <w:rPr>
          <w:color w:val="000000"/>
        </w:rPr>
        <w:t>;</w:t>
      </w:r>
    </w:p>
    <w:p w14:paraId="2E0EF63B" w14:textId="345544B0" w:rsidR="00B040F8" w:rsidRPr="00B040F8" w:rsidRDefault="00B040F8" w:rsidP="00B80576">
      <w:pPr>
        <w:shd w:val="clear" w:color="auto" w:fill="FFFFFF"/>
        <w:spacing w:after="0"/>
        <w:ind w:firstLine="360"/>
        <w:rPr>
          <w:color w:val="000000"/>
        </w:rPr>
      </w:pPr>
      <w:r w:rsidRPr="00B040F8">
        <w:rPr>
          <w:color w:val="000000"/>
        </w:rPr>
        <w:t xml:space="preserve">WEIGHT </w:t>
      </w:r>
      <w:proofErr w:type="spellStart"/>
      <w:r w:rsidRPr="00B040F8">
        <w:rPr>
          <w:color w:val="000000"/>
        </w:rPr>
        <w:t>Emp_Wt</w:t>
      </w:r>
      <w:proofErr w:type="spellEnd"/>
      <w:r w:rsidRPr="00B040F8">
        <w:rPr>
          <w:color w:val="000000"/>
        </w:rPr>
        <w:t>;</w:t>
      </w:r>
    </w:p>
    <w:p w14:paraId="0F090490" w14:textId="0F2C724F" w:rsidR="00B040F8" w:rsidRPr="00B040F8" w:rsidRDefault="00B040F8" w:rsidP="00B80576">
      <w:pPr>
        <w:shd w:val="clear" w:color="auto" w:fill="FFFFFF"/>
        <w:spacing w:after="0"/>
        <w:ind w:firstLine="360"/>
        <w:rPr>
          <w:color w:val="000000"/>
        </w:rPr>
      </w:pPr>
      <w:r w:rsidRPr="00B040F8">
        <w:rPr>
          <w:color w:val="000000"/>
        </w:rPr>
        <w:t>REPWEIGHT BootStrap_Emp_Wt1- BootStrap_Emp_Wt250;</w:t>
      </w:r>
    </w:p>
    <w:p w14:paraId="6800B498" w14:textId="5DE2A707" w:rsidR="00B040F8" w:rsidRPr="00B040F8" w:rsidRDefault="00B040F8" w:rsidP="00B80576">
      <w:pPr>
        <w:shd w:val="clear" w:color="auto" w:fill="FFFFFF"/>
        <w:ind w:firstLine="360"/>
        <w:rPr>
          <w:color w:val="000000"/>
        </w:rPr>
      </w:pPr>
      <w:r w:rsidRPr="00B040F8">
        <w:rPr>
          <w:color w:val="000000"/>
        </w:rPr>
        <w:t>TABLES Q4_CAT;</w:t>
      </w:r>
    </w:p>
    <w:p w14:paraId="7E1D1277" w14:textId="16D7E609" w:rsidR="00B040F8" w:rsidRPr="00B040F8" w:rsidRDefault="00B040F8" w:rsidP="00B040F8">
      <w:pPr>
        <w:shd w:val="clear" w:color="auto" w:fill="FFFFFF"/>
        <w:rPr>
          <w:color w:val="000000"/>
        </w:rPr>
      </w:pPr>
      <w:r w:rsidRPr="00B040F8">
        <w:rPr>
          <w:color w:val="000000"/>
        </w:rPr>
        <w:t>RUN;</w:t>
      </w:r>
      <w:r w:rsidR="00AA41AB">
        <w:rPr>
          <w:color w:val="000000"/>
        </w:rPr>
        <w:t xml:space="preserve"> </w:t>
      </w:r>
    </w:p>
    <w:p w14:paraId="44A2CF67" w14:textId="77777777" w:rsidR="00B040F8" w:rsidRPr="00B040F8" w:rsidRDefault="00B040F8" w:rsidP="00B040F8">
      <w:pPr>
        <w:shd w:val="clear" w:color="auto" w:fill="FFFFFF"/>
        <w:rPr>
          <w:i/>
          <w:color w:val="000000"/>
        </w:rPr>
      </w:pPr>
      <w:r w:rsidRPr="00B040F8">
        <w:rPr>
          <w:i/>
          <w:color w:val="000000"/>
        </w:rPr>
        <w:t>Output:</w:t>
      </w:r>
    </w:p>
    <w:tbl>
      <w:tblPr>
        <w:tblW w:w="0" w:type="auto"/>
        <w:tblInd w:w="60" w:type="dxa"/>
        <w:tblLayout w:type="fixed"/>
        <w:tblCellMar>
          <w:left w:w="0" w:type="dxa"/>
          <w:right w:w="0" w:type="dxa"/>
        </w:tblCellMar>
        <w:tblLook w:val="0000" w:firstRow="0" w:lastRow="0" w:firstColumn="0" w:lastColumn="0" w:noHBand="0" w:noVBand="0"/>
      </w:tblPr>
      <w:tblGrid>
        <w:gridCol w:w="3054"/>
        <w:gridCol w:w="1273"/>
      </w:tblGrid>
      <w:tr w:rsidR="00B040F8" w:rsidRPr="00B040F8" w14:paraId="3C874F2C" w14:textId="77777777" w:rsidTr="000D7B37">
        <w:trPr>
          <w:cantSplit/>
          <w:trHeight w:val="45"/>
          <w:tblHeader/>
        </w:trPr>
        <w:tc>
          <w:tcPr>
            <w:tcW w:w="4327"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0F334268" w14:textId="77777777" w:rsidR="00B040F8" w:rsidRPr="00B040F8" w:rsidRDefault="00B040F8" w:rsidP="00B040F8">
            <w:pPr>
              <w:keepNext/>
              <w:adjustRightInd w:val="0"/>
              <w:spacing w:after="0"/>
              <w:jc w:val="center"/>
              <w:rPr>
                <w:rFonts w:ascii="Arial Narrow" w:hAnsi="Arial Narrow"/>
                <w:b/>
                <w:bCs/>
                <w:color w:val="000000"/>
                <w:sz w:val="20"/>
              </w:rPr>
            </w:pPr>
            <w:r w:rsidRPr="000D7B37">
              <w:rPr>
                <w:rFonts w:ascii="Arial Narrow" w:hAnsi="Arial Narrow"/>
                <w:b/>
                <w:bCs/>
                <w:color w:val="FFFFFF" w:themeColor="background1"/>
                <w:sz w:val="20"/>
              </w:rPr>
              <w:t>Data Summary</w:t>
            </w:r>
          </w:p>
        </w:tc>
      </w:tr>
      <w:tr w:rsidR="00B040F8" w:rsidRPr="00B040F8" w14:paraId="4528EC21" w14:textId="77777777" w:rsidTr="000D7B37">
        <w:trPr>
          <w:cantSplit/>
          <w:trHeight w:val="55"/>
        </w:trPr>
        <w:tc>
          <w:tcPr>
            <w:tcW w:w="3054"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2DF51816"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Number of Observations</w:t>
            </w:r>
          </w:p>
        </w:tc>
        <w:tc>
          <w:tcPr>
            <w:tcW w:w="12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A9DA50"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2206</w:t>
            </w:r>
          </w:p>
        </w:tc>
      </w:tr>
      <w:tr w:rsidR="00B040F8" w:rsidRPr="00B040F8" w14:paraId="76DB923F" w14:textId="77777777" w:rsidTr="000D7B37">
        <w:trPr>
          <w:cantSplit/>
          <w:trHeight w:val="55"/>
        </w:trPr>
        <w:tc>
          <w:tcPr>
            <w:tcW w:w="3054"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4DF78940" w14:textId="77777777" w:rsidR="00B040F8" w:rsidRPr="00B040F8" w:rsidRDefault="00B040F8" w:rsidP="00B040F8">
            <w:pPr>
              <w:keepNext/>
              <w:adjustRightInd w:val="0"/>
              <w:spacing w:after="0"/>
              <w:rPr>
                <w:rFonts w:ascii="Arial Narrow" w:hAnsi="Arial Narrow"/>
                <w:b/>
                <w:bCs/>
                <w:color w:val="000000"/>
                <w:sz w:val="20"/>
              </w:rPr>
            </w:pPr>
            <w:r w:rsidRPr="00B040F8">
              <w:rPr>
                <w:rFonts w:ascii="Arial Narrow" w:hAnsi="Arial Narrow"/>
                <w:b/>
                <w:bCs/>
                <w:color w:val="000000"/>
                <w:sz w:val="20"/>
              </w:rPr>
              <w:t>Sum of Weights</w:t>
            </w:r>
          </w:p>
        </w:tc>
        <w:tc>
          <w:tcPr>
            <w:tcW w:w="12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593F3B" w14:textId="77777777" w:rsidR="00B040F8" w:rsidRPr="00B040F8" w:rsidRDefault="00B040F8" w:rsidP="00B040F8">
            <w:pPr>
              <w:keepNext/>
              <w:adjustRightInd w:val="0"/>
              <w:spacing w:after="0"/>
              <w:jc w:val="right"/>
              <w:rPr>
                <w:rFonts w:ascii="Arial Narrow" w:hAnsi="Arial Narrow"/>
                <w:color w:val="000000"/>
                <w:sz w:val="20"/>
              </w:rPr>
            </w:pPr>
            <w:r w:rsidRPr="00B040F8">
              <w:rPr>
                <w:rFonts w:ascii="Arial Narrow" w:hAnsi="Arial Narrow"/>
                <w:color w:val="000000"/>
                <w:sz w:val="20"/>
              </w:rPr>
              <w:t>114066684</w:t>
            </w:r>
          </w:p>
        </w:tc>
      </w:tr>
    </w:tbl>
    <w:p w14:paraId="6185DD0A" w14:textId="77777777" w:rsidR="009E5813" w:rsidRDefault="009E5813" w:rsidP="008A621F">
      <w:pPr>
        <w:shd w:val="clear" w:color="auto" w:fill="FFFFFF"/>
        <w:rPr>
          <w:color w:val="000000"/>
        </w:rPr>
      </w:pPr>
    </w:p>
    <w:tbl>
      <w:tblPr>
        <w:tblW w:w="0" w:type="auto"/>
        <w:tblInd w:w="60" w:type="dxa"/>
        <w:tblLayout w:type="fixed"/>
        <w:tblCellMar>
          <w:left w:w="0" w:type="dxa"/>
          <w:right w:w="0" w:type="dxa"/>
        </w:tblCellMar>
        <w:tblLook w:val="0000" w:firstRow="0" w:lastRow="0" w:firstColumn="0" w:lastColumn="0" w:noHBand="0" w:noVBand="0"/>
      </w:tblPr>
      <w:tblGrid>
        <w:gridCol w:w="2662"/>
        <w:gridCol w:w="3453"/>
      </w:tblGrid>
      <w:tr w:rsidR="000D7B37" w:rsidRPr="000D7B37" w14:paraId="4B9D977C" w14:textId="77777777" w:rsidTr="000D7B37">
        <w:trPr>
          <w:cantSplit/>
          <w:trHeight w:val="45"/>
          <w:tblHeader/>
        </w:trPr>
        <w:tc>
          <w:tcPr>
            <w:tcW w:w="6115"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70DC39AD" w14:textId="77777777" w:rsidR="000D7B37" w:rsidRPr="000D7B37" w:rsidRDefault="000D7B37" w:rsidP="000D7B37">
            <w:pPr>
              <w:keepNext/>
              <w:adjustRightInd w:val="0"/>
              <w:spacing w:after="0"/>
              <w:jc w:val="center"/>
              <w:rPr>
                <w:rFonts w:ascii="Arial Narrow" w:hAnsi="Arial Narrow"/>
                <w:b/>
                <w:bCs/>
                <w:color w:val="000000"/>
                <w:sz w:val="20"/>
              </w:rPr>
            </w:pPr>
            <w:r w:rsidRPr="000D7B37">
              <w:rPr>
                <w:rFonts w:ascii="Arial Narrow" w:hAnsi="Arial Narrow"/>
                <w:b/>
                <w:bCs/>
                <w:color w:val="FFFFFF" w:themeColor="background1"/>
                <w:sz w:val="20"/>
              </w:rPr>
              <w:t>Variance Estimation</w:t>
            </w:r>
          </w:p>
        </w:tc>
      </w:tr>
      <w:tr w:rsidR="000D7B37" w:rsidRPr="000D7B37" w14:paraId="2F173532" w14:textId="77777777" w:rsidTr="000D7B37">
        <w:trPr>
          <w:cantSplit/>
          <w:trHeight w:val="55"/>
        </w:trPr>
        <w:tc>
          <w:tcPr>
            <w:tcW w:w="266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77C950C7"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Method</w:t>
            </w:r>
          </w:p>
        </w:tc>
        <w:tc>
          <w:tcPr>
            <w:tcW w:w="34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2CCF3E"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BRR</w:t>
            </w:r>
          </w:p>
        </w:tc>
      </w:tr>
      <w:tr w:rsidR="000D7B37" w:rsidRPr="000D7B37" w14:paraId="7D53F81A" w14:textId="77777777" w:rsidTr="000D7B37">
        <w:trPr>
          <w:cantSplit/>
          <w:trHeight w:val="55"/>
        </w:trPr>
        <w:tc>
          <w:tcPr>
            <w:tcW w:w="266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2860976F"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Replicate Weights</w:t>
            </w:r>
          </w:p>
        </w:tc>
        <w:tc>
          <w:tcPr>
            <w:tcW w:w="34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9E3B41"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FMLA_2018_WORKSITE_PUF</w:t>
            </w:r>
          </w:p>
        </w:tc>
      </w:tr>
      <w:tr w:rsidR="000D7B37" w:rsidRPr="000D7B37" w14:paraId="77E64CD7" w14:textId="77777777" w:rsidTr="000D7B37">
        <w:trPr>
          <w:cantSplit/>
          <w:trHeight w:val="55"/>
        </w:trPr>
        <w:tc>
          <w:tcPr>
            <w:tcW w:w="2662"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1961EA95" w14:textId="77777777" w:rsidR="000D7B37" w:rsidRPr="000D7B37" w:rsidRDefault="000D7B37" w:rsidP="000D7B37">
            <w:pPr>
              <w:adjustRightInd w:val="0"/>
              <w:spacing w:after="0"/>
              <w:rPr>
                <w:rFonts w:ascii="Arial Narrow" w:hAnsi="Arial Narrow"/>
                <w:b/>
                <w:bCs/>
                <w:color w:val="000000"/>
                <w:sz w:val="20"/>
              </w:rPr>
            </w:pPr>
            <w:r w:rsidRPr="000D7B37">
              <w:rPr>
                <w:rFonts w:ascii="Arial Narrow" w:hAnsi="Arial Narrow"/>
                <w:b/>
                <w:bCs/>
                <w:color w:val="000000"/>
                <w:sz w:val="20"/>
              </w:rPr>
              <w:t>Number of Replicates</w:t>
            </w:r>
          </w:p>
        </w:tc>
        <w:tc>
          <w:tcPr>
            <w:tcW w:w="345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710C00" w14:textId="77777777" w:rsidR="000D7B37" w:rsidRPr="000D7B37" w:rsidRDefault="000D7B37" w:rsidP="000D7B37">
            <w:pPr>
              <w:adjustRightInd w:val="0"/>
              <w:spacing w:after="0"/>
              <w:jc w:val="right"/>
              <w:rPr>
                <w:rFonts w:ascii="Arial Narrow" w:hAnsi="Arial Narrow"/>
                <w:color w:val="000000"/>
                <w:sz w:val="20"/>
              </w:rPr>
            </w:pPr>
            <w:r w:rsidRPr="000D7B37">
              <w:rPr>
                <w:rFonts w:ascii="Arial Narrow" w:hAnsi="Arial Narrow"/>
                <w:color w:val="000000"/>
                <w:sz w:val="20"/>
              </w:rPr>
              <w:t>250</w:t>
            </w:r>
          </w:p>
        </w:tc>
      </w:tr>
    </w:tbl>
    <w:p w14:paraId="677DBE45" w14:textId="77777777" w:rsidR="009E5813" w:rsidRDefault="009E5813" w:rsidP="008A621F">
      <w:pPr>
        <w:shd w:val="clear" w:color="auto" w:fill="FFFFFF"/>
        <w:rPr>
          <w:color w:val="000000"/>
        </w:rPr>
      </w:pPr>
    </w:p>
    <w:tbl>
      <w:tblPr>
        <w:tblW w:w="0" w:type="auto"/>
        <w:tblInd w:w="60" w:type="dxa"/>
        <w:tblLayout w:type="fixed"/>
        <w:tblCellMar>
          <w:left w:w="0" w:type="dxa"/>
          <w:right w:w="0" w:type="dxa"/>
        </w:tblCellMar>
        <w:tblLook w:val="0000" w:firstRow="0" w:lastRow="0" w:firstColumn="0" w:lastColumn="0" w:noHBand="0" w:noVBand="0"/>
      </w:tblPr>
      <w:tblGrid>
        <w:gridCol w:w="1740"/>
        <w:gridCol w:w="1253"/>
        <w:gridCol w:w="1253"/>
        <w:gridCol w:w="1198"/>
        <w:gridCol w:w="1148"/>
        <w:gridCol w:w="1260"/>
      </w:tblGrid>
      <w:tr w:rsidR="000D7B37" w:rsidRPr="000D7B37" w14:paraId="1EA7A885" w14:textId="77777777" w:rsidTr="000D7B37">
        <w:trPr>
          <w:cantSplit/>
          <w:trHeight w:val="45"/>
          <w:tblHeader/>
        </w:trPr>
        <w:tc>
          <w:tcPr>
            <w:tcW w:w="7852" w:type="dxa"/>
            <w:gridSpan w:val="6"/>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37F72087" w14:textId="77777777" w:rsidR="000D7B37" w:rsidRPr="000D7B37" w:rsidRDefault="000D7B37" w:rsidP="000D7B37">
            <w:pPr>
              <w:keepNext/>
              <w:adjustRightInd w:val="0"/>
              <w:spacing w:after="0"/>
              <w:jc w:val="center"/>
              <w:rPr>
                <w:rFonts w:ascii="Arial Narrow" w:hAnsi="Arial Narrow"/>
                <w:b/>
                <w:bCs/>
                <w:color w:val="FFFFFF" w:themeColor="background1"/>
                <w:sz w:val="20"/>
              </w:rPr>
            </w:pPr>
            <w:r w:rsidRPr="000D7B37">
              <w:rPr>
                <w:rFonts w:ascii="Arial Narrow" w:hAnsi="Arial Narrow"/>
                <w:b/>
                <w:bCs/>
                <w:color w:val="FFFFFF" w:themeColor="background1"/>
                <w:sz w:val="20"/>
              </w:rPr>
              <w:t>Organization's main industry</w:t>
            </w:r>
          </w:p>
        </w:tc>
      </w:tr>
      <w:tr w:rsidR="000D7B37" w:rsidRPr="000D7B37" w14:paraId="17F61171" w14:textId="77777777" w:rsidTr="000D7B37">
        <w:trPr>
          <w:cantSplit/>
          <w:trHeight w:val="55"/>
          <w:tblHeader/>
        </w:trPr>
        <w:tc>
          <w:tcPr>
            <w:tcW w:w="1740" w:type="dxa"/>
            <w:tcBorders>
              <w:top w:val="nil"/>
              <w:left w:val="single" w:sz="6" w:space="0" w:color="000000"/>
              <w:bottom w:val="single" w:sz="2" w:space="0" w:color="000000"/>
              <w:right w:val="nil"/>
            </w:tcBorders>
            <w:shd w:val="clear" w:color="auto" w:fill="48A9C5" w:themeFill="accent1"/>
            <w:tcMar>
              <w:left w:w="60" w:type="dxa"/>
              <w:right w:w="60" w:type="dxa"/>
            </w:tcMar>
            <w:vAlign w:val="bottom"/>
          </w:tcPr>
          <w:p w14:paraId="20F8C91D" w14:textId="77777777" w:rsidR="000D7B37" w:rsidRPr="000D7B37" w:rsidRDefault="000D7B37" w:rsidP="000D7B37">
            <w:pPr>
              <w:keepNext/>
              <w:adjustRightInd w:val="0"/>
              <w:spacing w:after="0"/>
              <w:jc w:val="center"/>
              <w:rPr>
                <w:rFonts w:ascii="Arial Narrow" w:hAnsi="Arial Narrow"/>
                <w:b/>
                <w:bCs/>
                <w:color w:val="FFFFFF" w:themeColor="background1"/>
                <w:sz w:val="20"/>
              </w:rPr>
            </w:pPr>
            <w:r w:rsidRPr="000D7B37">
              <w:rPr>
                <w:rFonts w:ascii="Arial Narrow" w:hAnsi="Arial Narrow"/>
                <w:b/>
                <w:bCs/>
                <w:color w:val="FFFFFF" w:themeColor="background1"/>
                <w:sz w:val="20"/>
              </w:rPr>
              <w:t>Q4_CAT</w:t>
            </w:r>
          </w:p>
        </w:tc>
        <w:tc>
          <w:tcPr>
            <w:tcW w:w="1253"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03482C5D" w14:textId="77777777" w:rsidR="000D7B37" w:rsidRPr="000D7B37" w:rsidRDefault="000D7B37" w:rsidP="000D7B37">
            <w:pPr>
              <w:keepNext/>
              <w:adjustRightInd w:val="0"/>
              <w:spacing w:after="0"/>
              <w:jc w:val="center"/>
              <w:rPr>
                <w:rFonts w:ascii="Arial Narrow" w:hAnsi="Arial Narrow"/>
                <w:b/>
                <w:bCs/>
                <w:color w:val="FFFFFF" w:themeColor="background1"/>
                <w:sz w:val="20"/>
              </w:rPr>
            </w:pPr>
            <w:r w:rsidRPr="000D7B37">
              <w:rPr>
                <w:rFonts w:ascii="Arial Narrow" w:hAnsi="Arial Narrow"/>
                <w:b/>
                <w:bCs/>
                <w:color w:val="FFFFFF" w:themeColor="background1"/>
                <w:sz w:val="20"/>
              </w:rPr>
              <w:t>Frequency</w:t>
            </w:r>
          </w:p>
        </w:tc>
        <w:tc>
          <w:tcPr>
            <w:tcW w:w="1253"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02DAA290" w14:textId="77777777" w:rsidR="000D7B37" w:rsidRPr="000D7B37" w:rsidRDefault="000D7B37" w:rsidP="000D7B37">
            <w:pPr>
              <w:keepNext/>
              <w:adjustRightInd w:val="0"/>
              <w:spacing w:after="0"/>
              <w:jc w:val="center"/>
              <w:rPr>
                <w:rFonts w:ascii="Arial Narrow" w:hAnsi="Arial Narrow"/>
                <w:b/>
                <w:bCs/>
                <w:color w:val="FFFFFF" w:themeColor="background1"/>
                <w:sz w:val="20"/>
              </w:rPr>
            </w:pPr>
            <w:r w:rsidRPr="000D7B37">
              <w:rPr>
                <w:rFonts w:ascii="Arial Narrow" w:hAnsi="Arial Narrow"/>
                <w:b/>
                <w:bCs/>
                <w:color w:val="FFFFFF" w:themeColor="background1"/>
                <w:sz w:val="20"/>
              </w:rPr>
              <w:t>Weighted</w:t>
            </w:r>
            <w:r w:rsidRPr="000D7B37">
              <w:rPr>
                <w:rFonts w:ascii="Arial Narrow" w:hAnsi="Arial Narrow"/>
                <w:b/>
                <w:bCs/>
                <w:color w:val="FFFFFF" w:themeColor="background1"/>
                <w:sz w:val="20"/>
              </w:rPr>
              <w:br/>
              <w:t>Frequency</w:t>
            </w:r>
          </w:p>
        </w:tc>
        <w:tc>
          <w:tcPr>
            <w:tcW w:w="1198"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189B1954" w14:textId="77777777" w:rsidR="000D7B37" w:rsidRPr="000D7B37" w:rsidRDefault="000D7B37" w:rsidP="000D7B37">
            <w:pPr>
              <w:keepNext/>
              <w:adjustRightInd w:val="0"/>
              <w:spacing w:after="0"/>
              <w:jc w:val="center"/>
              <w:rPr>
                <w:rFonts w:ascii="Arial Narrow" w:hAnsi="Arial Narrow"/>
                <w:b/>
                <w:bCs/>
                <w:color w:val="FFFFFF" w:themeColor="background1"/>
                <w:sz w:val="20"/>
              </w:rPr>
            </w:pPr>
            <w:proofErr w:type="spellStart"/>
            <w:r w:rsidRPr="000D7B37">
              <w:rPr>
                <w:rFonts w:ascii="Arial Narrow" w:hAnsi="Arial Narrow"/>
                <w:b/>
                <w:bCs/>
                <w:color w:val="FFFFFF" w:themeColor="background1"/>
                <w:sz w:val="20"/>
              </w:rPr>
              <w:t>Std</w:t>
            </w:r>
            <w:proofErr w:type="spellEnd"/>
            <w:r w:rsidRPr="000D7B37">
              <w:rPr>
                <w:rFonts w:ascii="Arial Narrow" w:hAnsi="Arial Narrow"/>
                <w:b/>
                <w:bCs/>
                <w:color w:val="FFFFFF" w:themeColor="background1"/>
                <w:sz w:val="20"/>
              </w:rPr>
              <w:t> Err of</w:t>
            </w:r>
            <w:r w:rsidRPr="000D7B37">
              <w:rPr>
                <w:rFonts w:ascii="Arial Narrow" w:hAnsi="Arial Narrow"/>
                <w:b/>
                <w:bCs/>
                <w:color w:val="FFFFFF" w:themeColor="background1"/>
                <w:sz w:val="20"/>
              </w:rPr>
              <w:br/>
            </w:r>
            <w:proofErr w:type="spellStart"/>
            <w:r w:rsidRPr="000D7B37">
              <w:rPr>
                <w:rFonts w:ascii="Arial Narrow" w:hAnsi="Arial Narrow"/>
                <w:b/>
                <w:bCs/>
                <w:color w:val="FFFFFF" w:themeColor="background1"/>
                <w:sz w:val="20"/>
              </w:rPr>
              <w:t>Wgt</w:t>
            </w:r>
            <w:proofErr w:type="spellEnd"/>
            <w:r w:rsidRPr="000D7B37">
              <w:rPr>
                <w:rFonts w:ascii="Arial Narrow" w:hAnsi="Arial Narrow"/>
                <w:b/>
                <w:bCs/>
                <w:color w:val="FFFFFF" w:themeColor="background1"/>
                <w:sz w:val="20"/>
              </w:rPr>
              <w:t> </w:t>
            </w:r>
            <w:proofErr w:type="spellStart"/>
            <w:r w:rsidRPr="000D7B37">
              <w:rPr>
                <w:rFonts w:ascii="Arial Narrow" w:hAnsi="Arial Narrow"/>
                <w:b/>
                <w:bCs/>
                <w:color w:val="FFFFFF" w:themeColor="background1"/>
                <w:sz w:val="20"/>
              </w:rPr>
              <w:t>Freq</w:t>
            </w:r>
            <w:proofErr w:type="spellEnd"/>
          </w:p>
        </w:tc>
        <w:tc>
          <w:tcPr>
            <w:tcW w:w="1148"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112759AC" w14:textId="77777777" w:rsidR="000D7B37" w:rsidRPr="000D7B37" w:rsidRDefault="000D7B37" w:rsidP="000D7B37">
            <w:pPr>
              <w:keepNext/>
              <w:adjustRightInd w:val="0"/>
              <w:spacing w:after="0"/>
              <w:jc w:val="center"/>
              <w:rPr>
                <w:rFonts w:ascii="Arial Narrow" w:hAnsi="Arial Narrow"/>
                <w:b/>
                <w:bCs/>
                <w:color w:val="FFFFFF" w:themeColor="background1"/>
                <w:sz w:val="20"/>
              </w:rPr>
            </w:pPr>
            <w:r w:rsidRPr="000D7B37">
              <w:rPr>
                <w:rFonts w:ascii="Arial Narrow" w:hAnsi="Arial Narrow"/>
                <w:b/>
                <w:bCs/>
                <w:color w:val="FFFFFF" w:themeColor="background1"/>
                <w:sz w:val="20"/>
              </w:rPr>
              <w:t>Percent</w:t>
            </w:r>
          </w:p>
        </w:tc>
        <w:tc>
          <w:tcPr>
            <w:tcW w:w="1260" w:type="dxa"/>
            <w:tcBorders>
              <w:top w:val="nil"/>
              <w:left w:val="single" w:sz="2" w:space="0" w:color="000000"/>
              <w:bottom w:val="single" w:sz="2" w:space="0" w:color="000000"/>
              <w:right w:val="single" w:sz="6" w:space="0" w:color="000000"/>
            </w:tcBorders>
            <w:shd w:val="clear" w:color="auto" w:fill="48A9C5" w:themeFill="accent1"/>
            <w:tcMar>
              <w:left w:w="60" w:type="dxa"/>
              <w:right w:w="60" w:type="dxa"/>
            </w:tcMar>
            <w:vAlign w:val="bottom"/>
          </w:tcPr>
          <w:p w14:paraId="2DA7C324" w14:textId="77777777" w:rsidR="000D7B37" w:rsidRPr="000D7B37" w:rsidRDefault="000D7B37" w:rsidP="000D7B37">
            <w:pPr>
              <w:keepNext/>
              <w:adjustRightInd w:val="0"/>
              <w:spacing w:after="0"/>
              <w:jc w:val="center"/>
              <w:rPr>
                <w:rFonts w:ascii="Arial Narrow" w:hAnsi="Arial Narrow"/>
                <w:b/>
                <w:bCs/>
                <w:color w:val="FFFFFF" w:themeColor="background1"/>
                <w:sz w:val="20"/>
              </w:rPr>
            </w:pPr>
            <w:proofErr w:type="spellStart"/>
            <w:r w:rsidRPr="000D7B37">
              <w:rPr>
                <w:rFonts w:ascii="Arial Narrow" w:hAnsi="Arial Narrow"/>
                <w:b/>
                <w:bCs/>
                <w:color w:val="FFFFFF" w:themeColor="background1"/>
                <w:sz w:val="20"/>
              </w:rPr>
              <w:t>Std</w:t>
            </w:r>
            <w:proofErr w:type="spellEnd"/>
            <w:r w:rsidRPr="000D7B37">
              <w:rPr>
                <w:rFonts w:ascii="Arial Narrow" w:hAnsi="Arial Narrow"/>
                <w:b/>
                <w:bCs/>
                <w:color w:val="FFFFFF" w:themeColor="background1"/>
                <w:sz w:val="20"/>
              </w:rPr>
              <w:t> Err of</w:t>
            </w:r>
            <w:r w:rsidRPr="000D7B37">
              <w:rPr>
                <w:rFonts w:ascii="Arial Narrow" w:hAnsi="Arial Narrow"/>
                <w:b/>
                <w:bCs/>
                <w:color w:val="FFFFFF" w:themeColor="background1"/>
                <w:sz w:val="20"/>
              </w:rPr>
              <w:br/>
              <w:t>Percent</w:t>
            </w:r>
          </w:p>
        </w:tc>
      </w:tr>
      <w:tr w:rsidR="000D7B37" w:rsidRPr="000D7B37" w14:paraId="16B5BE08" w14:textId="77777777" w:rsidTr="000D7B37">
        <w:trPr>
          <w:cantSplit/>
          <w:trHeight w:val="55"/>
        </w:trPr>
        <w:tc>
          <w:tcPr>
            <w:tcW w:w="1740"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5607E9C0"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Manufacturing</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089F5274"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584</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632AEE9A"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18931469</w:t>
            </w:r>
          </w:p>
        </w:tc>
        <w:tc>
          <w:tcPr>
            <w:tcW w:w="1198" w:type="dxa"/>
            <w:tcBorders>
              <w:top w:val="nil"/>
              <w:left w:val="single" w:sz="2" w:space="0" w:color="000000"/>
              <w:bottom w:val="single" w:sz="2" w:space="0" w:color="000000"/>
              <w:right w:val="nil"/>
            </w:tcBorders>
            <w:shd w:val="clear" w:color="auto" w:fill="FFFFFF"/>
            <w:tcMar>
              <w:left w:w="60" w:type="dxa"/>
              <w:right w:w="60" w:type="dxa"/>
            </w:tcMar>
          </w:tcPr>
          <w:p w14:paraId="01106836"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1132779</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6D7A800F"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16.5968</w:t>
            </w:r>
          </w:p>
        </w:tc>
        <w:tc>
          <w:tcPr>
            <w:tcW w:w="12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8FB23E"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0.9931</w:t>
            </w:r>
          </w:p>
        </w:tc>
      </w:tr>
      <w:tr w:rsidR="000D7B37" w:rsidRPr="000D7B37" w14:paraId="67F5F6B0" w14:textId="77777777" w:rsidTr="000D7B37">
        <w:trPr>
          <w:cantSplit/>
          <w:trHeight w:val="55"/>
        </w:trPr>
        <w:tc>
          <w:tcPr>
            <w:tcW w:w="1740"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5547F3A6"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Retail</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445B10BB"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434</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749D9F36"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25845555</w:t>
            </w:r>
          </w:p>
        </w:tc>
        <w:tc>
          <w:tcPr>
            <w:tcW w:w="1198" w:type="dxa"/>
            <w:tcBorders>
              <w:top w:val="nil"/>
              <w:left w:val="single" w:sz="2" w:space="0" w:color="000000"/>
              <w:bottom w:val="single" w:sz="2" w:space="0" w:color="000000"/>
              <w:right w:val="nil"/>
            </w:tcBorders>
            <w:shd w:val="clear" w:color="auto" w:fill="FFFFFF"/>
            <w:tcMar>
              <w:left w:w="60" w:type="dxa"/>
              <w:right w:w="60" w:type="dxa"/>
            </w:tcMar>
          </w:tcPr>
          <w:p w14:paraId="5DF1CD2E"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781684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0595393"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22.6583</w:t>
            </w:r>
          </w:p>
        </w:tc>
        <w:tc>
          <w:tcPr>
            <w:tcW w:w="12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E7FD87"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0.6853</w:t>
            </w:r>
          </w:p>
        </w:tc>
      </w:tr>
      <w:tr w:rsidR="000D7B37" w:rsidRPr="000D7B37" w14:paraId="4795E654" w14:textId="77777777" w:rsidTr="000D7B37">
        <w:trPr>
          <w:cantSplit/>
          <w:trHeight w:val="55"/>
        </w:trPr>
        <w:tc>
          <w:tcPr>
            <w:tcW w:w="1740"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6205A530"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Services</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0D9F07D2"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562</w:t>
            </w:r>
          </w:p>
        </w:tc>
        <w:tc>
          <w:tcPr>
            <w:tcW w:w="1253" w:type="dxa"/>
            <w:tcBorders>
              <w:top w:val="nil"/>
              <w:left w:val="single" w:sz="2" w:space="0" w:color="000000"/>
              <w:bottom w:val="single" w:sz="2" w:space="0" w:color="000000"/>
              <w:right w:val="nil"/>
            </w:tcBorders>
            <w:shd w:val="clear" w:color="auto" w:fill="FFFFFF"/>
            <w:tcMar>
              <w:left w:w="60" w:type="dxa"/>
              <w:right w:w="60" w:type="dxa"/>
            </w:tcMar>
          </w:tcPr>
          <w:p w14:paraId="28FBAD8D"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28769323</w:t>
            </w:r>
          </w:p>
        </w:tc>
        <w:tc>
          <w:tcPr>
            <w:tcW w:w="1198" w:type="dxa"/>
            <w:tcBorders>
              <w:top w:val="nil"/>
              <w:left w:val="single" w:sz="2" w:space="0" w:color="000000"/>
              <w:bottom w:val="single" w:sz="2" w:space="0" w:color="000000"/>
              <w:right w:val="nil"/>
            </w:tcBorders>
            <w:shd w:val="clear" w:color="auto" w:fill="FFFFFF"/>
            <w:tcMar>
              <w:left w:w="60" w:type="dxa"/>
              <w:right w:w="60" w:type="dxa"/>
            </w:tcMar>
          </w:tcPr>
          <w:p w14:paraId="5A3DBEC8"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4338938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0DCCE037"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25.2215</w:t>
            </w:r>
          </w:p>
        </w:tc>
        <w:tc>
          <w:tcPr>
            <w:tcW w:w="12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C2647E"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3.8039</w:t>
            </w:r>
          </w:p>
        </w:tc>
      </w:tr>
      <w:tr w:rsidR="000D7B37" w:rsidRPr="000D7B37" w14:paraId="6CD3B7CD" w14:textId="77777777" w:rsidTr="000D7B37">
        <w:trPr>
          <w:cantSplit/>
          <w:trHeight w:val="55"/>
        </w:trPr>
        <w:tc>
          <w:tcPr>
            <w:tcW w:w="1740"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5CB1F2F7"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Other</w:t>
            </w:r>
          </w:p>
        </w:tc>
        <w:tc>
          <w:tcPr>
            <w:tcW w:w="1253" w:type="dxa"/>
            <w:tcBorders>
              <w:top w:val="nil"/>
              <w:left w:val="single" w:sz="2" w:space="0" w:color="000000"/>
              <w:bottom w:val="single" w:sz="6" w:space="0" w:color="000000"/>
              <w:right w:val="nil"/>
            </w:tcBorders>
            <w:shd w:val="clear" w:color="auto" w:fill="FFFFFF"/>
            <w:tcMar>
              <w:left w:w="60" w:type="dxa"/>
              <w:right w:w="60" w:type="dxa"/>
            </w:tcMar>
          </w:tcPr>
          <w:p w14:paraId="31C2CE64"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626</w:t>
            </w:r>
          </w:p>
        </w:tc>
        <w:tc>
          <w:tcPr>
            <w:tcW w:w="1253" w:type="dxa"/>
            <w:tcBorders>
              <w:top w:val="nil"/>
              <w:left w:val="single" w:sz="2" w:space="0" w:color="000000"/>
              <w:bottom w:val="single" w:sz="6" w:space="0" w:color="000000"/>
              <w:right w:val="nil"/>
            </w:tcBorders>
            <w:shd w:val="clear" w:color="auto" w:fill="FFFFFF"/>
            <w:tcMar>
              <w:left w:w="60" w:type="dxa"/>
              <w:right w:w="60" w:type="dxa"/>
            </w:tcMar>
          </w:tcPr>
          <w:p w14:paraId="197491F2"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40520337</w:t>
            </w:r>
          </w:p>
        </w:tc>
        <w:tc>
          <w:tcPr>
            <w:tcW w:w="1198" w:type="dxa"/>
            <w:tcBorders>
              <w:top w:val="nil"/>
              <w:left w:val="single" w:sz="2" w:space="0" w:color="000000"/>
              <w:bottom w:val="single" w:sz="6" w:space="0" w:color="000000"/>
              <w:right w:val="nil"/>
            </w:tcBorders>
            <w:shd w:val="clear" w:color="auto" w:fill="FFFFFF"/>
            <w:tcMar>
              <w:left w:w="60" w:type="dxa"/>
              <w:right w:w="60" w:type="dxa"/>
            </w:tcMar>
          </w:tcPr>
          <w:p w14:paraId="280FAC8F"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4130910</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14:paraId="7C5BB3E6"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35.5234</w:t>
            </w:r>
          </w:p>
        </w:tc>
        <w:tc>
          <w:tcPr>
            <w:tcW w:w="12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118978" w14:textId="77777777" w:rsidR="000D7B37" w:rsidRPr="000D7B37" w:rsidRDefault="000D7B37" w:rsidP="000D7B37">
            <w:pPr>
              <w:keepNext/>
              <w:adjustRightInd w:val="0"/>
              <w:spacing w:after="0"/>
              <w:jc w:val="right"/>
              <w:rPr>
                <w:rFonts w:ascii="Arial Narrow" w:hAnsi="Arial Narrow"/>
                <w:color w:val="000000"/>
                <w:sz w:val="20"/>
              </w:rPr>
            </w:pPr>
            <w:r w:rsidRPr="000D7B37">
              <w:rPr>
                <w:rFonts w:ascii="Arial Narrow" w:hAnsi="Arial Narrow"/>
                <w:color w:val="000000"/>
                <w:sz w:val="20"/>
              </w:rPr>
              <w:t>3.6215</w:t>
            </w:r>
          </w:p>
        </w:tc>
      </w:tr>
      <w:tr w:rsidR="000D7B37" w:rsidRPr="000D7B37" w14:paraId="714BE567" w14:textId="77777777" w:rsidTr="000D7B37">
        <w:trPr>
          <w:cantSplit/>
          <w:trHeight w:val="45"/>
        </w:trPr>
        <w:tc>
          <w:tcPr>
            <w:tcW w:w="1740" w:type="dxa"/>
            <w:tcBorders>
              <w:top w:val="single" w:sz="6" w:space="0" w:color="000000"/>
              <w:left w:val="single" w:sz="6" w:space="0" w:color="000000"/>
              <w:bottom w:val="single" w:sz="6" w:space="0" w:color="000000"/>
              <w:right w:val="nil"/>
            </w:tcBorders>
            <w:shd w:val="clear" w:color="auto" w:fill="DAEDF3" w:themeFill="accent1" w:themeFillTint="33"/>
            <w:tcMar>
              <w:left w:w="60" w:type="dxa"/>
              <w:right w:w="60" w:type="dxa"/>
            </w:tcMar>
          </w:tcPr>
          <w:p w14:paraId="4F6CED71" w14:textId="77777777" w:rsidR="000D7B37" w:rsidRPr="000D7B37" w:rsidRDefault="000D7B37" w:rsidP="000D7B37">
            <w:pPr>
              <w:keepNext/>
              <w:adjustRightInd w:val="0"/>
              <w:spacing w:after="0"/>
              <w:rPr>
                <w:rFonts w:ascii="Arial Narrow" w:hAnsi="Arial Narrow"/>
                <w:b/>
                <w:bCs/>
                <w:color w:val="000000"/>
                <w:sz w:val="20"/>
              </w:rPr>
            </w:pPr>
            <w:r w:rsidRPr="000D7B37">
              <w:rPr>
                <w:rFonts w:ascii="Arial Narrow" w:hAnsi="Arial Narrow"/>
                <w:b/>
                <w:bCs/>
                <w:color w:val="000000"/>
                <w:sz w:val="20"/>
              </w:rPr>
              <w:t>Total</w:t>
            </w:r>
          </w:p>
        </w:tc>
        <w:tc>
          <w:tcPr>
            <w:tcW w:w="1253"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20DDD8D3" w14:textId="77777777" w:rsidR="000D7B37" w:rsidRPr="000D7B37" w:rsidRDefault="000D7B37" w:rsidP="000D7B37">
            <w:pPr>
              <w:keepNext/>
              <w:adjustRightInd w:val="0"/>
              <w:spacing w:after="0"/>
              <w:jc w:val="right"/>
              <w:rPr>
                <w:rFonts w:ascii="Arial Narrow" w:hAnsi="Arial Narrow"/>
                <w:b/>
                <w:color w:val="000000"/>
                <w:sz w:val="20"/>
              </w:rPr>
            </w:pPr>
            <w:r w:rsidRPr="000D7B37">
              <w:rPr>
                <w:rFonts w:ascii="Arial Narrow" w:hAnsi="Arial Narrow"/>
                <w:b/>
                <w:color w:val="000000"/>
                <w:sz w:val="20"/>
              </w:rPr>
              <w:t>2206</w:t>
            </w:r>
          </w:p>
        </w:tc>
        <w:tc>
          <w:tcPr>
            <w:tcW w:w="1253"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79D3E925" w14:textId="77777777" w:rsidR="000D7B37" w:rsidRPr="000D7B37" w:rsidRDefault="000D7B37" w:rsidP="000D7B37">
            <w:pPr>
              <w:keepNext/>
              <w:adjustRightInd w:val="0"/>
              <w:spacing w:after="0"/>
              <w:jc w:val="right"/>
              <w:rPr>
                <w:rFonts w:ascii="Arial Narrow" w:hAnsi="Arial Narrow"/>
                <w:b/>
                <w:color w:val="000000"/>
                <w:sz w:val="20"/>
              </w:rPr>
            </w:pPr>
            <w:r w:rsidRPr="000D7B37">
              <w:rPr>
                <w:rFonts w:ascii="Arial Narrow" w:hAnsi="Arial Narrow"/>
                <w:b/>
                <w:color w:val="000000"/>
                <w:sz w:val="20"/>
              </w:rPr>
              <w:t>114066684</w:t>
            </w:r>
          </w:p>
        </w:tc>
        <w:tc>
          <w:tcPr>
            <w:tcW w:w="1198"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51A4301E" w14:textId="77777777" w:rsidR="000D7B37" w:rsidRPr="000D7B37" w:rsidRDefault="000D7B37" w:rsidP="000D7B37">
            <w:pPr>
              <w:keepNext/>
              <w:adjustRightInd w:val="0"/>
              <w:spacing w:after="0"/>
              <w:jc w:val="right"/>
              <w:rPr>
                <w:rFonts w:ascii="Arial Narrow" w:hAnsi="Arial Narrow"/>
                <w:b/>
                <w:color w:val="000000"/>
                <w:sz w:val="20"/>
              </w:rPr>
            </w:pPr>
            <w:r w:rsidRPr="000D7B37">
              <w:rPr>
                <w:rFonts w:ascii="Arial Narrow" w:hAnsi="Arial Narrow"/>
                <w:b/>
                <w:color w:val="000000"/>
                <w:sz w:val="20"/>
              </w:rPr>
              <w:t>0.0002236</w:t>
            </w:r>
          </w:p>
        </w:tc>
        <w:tc>
          <w:tcPr>
            <w:tcW w:w="1148"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22D6DC85" w14:textId="77777777" w:rsidR="000D7B37" w:rsidRPr="000D7B37" w:rsidRDefault="000D7B37" w:rsidP="000D7B37">
            <w:pPr>
              <w:keepNext/>
              <w:adjustRightInd w:val="0"/>
              <w:spacing w:after="0"/>
              <w:jc w:val="right"/>
              <w:rPr>
                <w:rFonts w:ascii="Arial Narrow" w:hAnsi="Arial Narrow"/>
                <w:b/>
                <w:color w:val="000000"/>
                <w:sz w:val="20"/>
              </w:rPr>
            </w:pPr>
            <w:r w:rsidRPr="000D7B37">
              <w:rPr>
                <w:rFonts w:ascii="Arial Narrow" w:hAnsi="Arial Narrow"/>
                <w:b/>
                <w:color w:val="000000"/>
                <w:sz w:val="20"/>
              </w:rPr>
              <w:t>100.0000</w:t>
            </w:r>
          </w:p>
        </w:tc>
        <w:tc>
          <w:tcPr>
            <w:tcW w:w="1260"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27D6AA31" w14:textId="77777777" w:rsidR="000D7B37" w:rsidRPr="000D7B37" w:rsidRDefault="000D7B37" w:rsidP="000D7B37">
            <w:pPr>
              <w:keepNext/>
              <w:adjustRightInd w:val="0"/>
              <w:spacing w:after="0"/>
              <w:jc w:val="right"/>
              <w:rPr>
                <w:rFonts w:ascii="Arial Narrow" w:hAnsi="Arial Narrow"/>
                <w:b/>
                <w:color w:val="000000"/>
                <w:sz w:val="20"/>
              </w:rPr>
            </w:pPr>
          </w:p>
        </w:tc>
      </w:tr>
    </w:tbl>
    <w:p w14:paraId="5E4C51D5" w14:textId="77777777" w:rsidR="000D7B37" w:rsidRDefault="000D7B37" w:rsidP="008A621F">
      <w:pPr>
        <w:shd w:val="clear" w:color="auto" w:fill="FFFFFF"/>
        <w:rPr>
          <w:color w:val="000000"/>
        </w:rPr>
      </w:pPr>
    </w:p>
    <w:p w14:paraId="21ADFD1F" w14:textId="77777777" w:rsidR="000D335E" w:rsidRPr="00E33B05" w:rsidRDefault="000D335E" w:rsidP="000D335E">
      <w:pPr>
        <w:pStyle w:val="Heading6"/>
      </w:pPr>
      <w:r w:rsidRPr="00E33B05">
        <w:t xml:space="preserve">Mean </w:t>
      </w:r>
      <w:r>
        <w:t>p</w:t>
      </w:r>
      <w:r w:rsidRPr="00E33B05">
        <w:t xml:space="preserve">ercentage of </w:t>
      </w:r>
      <w:r>
        <w:t>f</w:t>
      </w:r>
      <w:r w:rsidRPr="00E33B05">
        <w:t xml:space="preserve">emale </w:t>
      </w:r>
      <w:r>
        <w:t>e</w:t>
      </w:r>
      <w:r w:rsidRPr="00E33B05">
        <w:t xml:space="preserve">mployees </w:t>
      </w:r>
      <w:r>
        <w:t>across</w:t>
      </w:r>
      <w:r w:rsidRPr="00E33B05">
        <w:t xml:space="preserve"> </w:t>
      </w:r>
      <w:r>
        <w:t>f</w:t>
      </w:r>
      <w:r w:rsidRPr="00E33B05">
        <w:t xml:space="preserve">ull </w:t>
      </w:r>
      <w:r>
        <w:t>s</w:t>
      </w:r>
      <w:r w:rsidRPr="00E33B05">
        <w:t>ample</w:t>
      </w:r>
    </w:p>
    <w:p w14:paraId="4ECA3DD7" w14:textId="77777777" w:rsidR="000D7B37" w:rsidRPr="000D7B37" w:rsidRDefault="000D7B37" w:rsidP="006F7B56">
      <w:pPr>
        <w:shd w:val="clear" w:color="auto" w:fill="FFFFFF"/>
        <w:spacing w:after="0"/>
        <w:rPr>
          <w:color w:val="000000"/>
        </w:rPr>
      </w:pPr>
      <w:r w:rsidRPr="000D7B37">
        <w:rPr>
          <w:color w:val="000000"/>
        </w:rPr>
        <w:t>PROC SURVEYMEANS data=&lt;</w:t>
      </w:r>
      <w:proofErr w:type="spellStart"/>
      <w:r w:rsidRPr="000D7B37">
        <w:rPr>
          <w:color w:val="000000"/>
        </w:rPr>
        <w:t>libname</w:t>
      </w:r>
      <w:proofErr w:type="spellEnd"/>
      <w:r w:rsidRPr="000D7B37">
        <w:rPr>
          <w:color w:val="000000"/>
        </w:rPr>
        <w:t xml:space="preserve">&gt;.FMLA_2018_Worksite_PUF </w:t>
      </w:r>
    </w:p>
    <w:p w14:paraId="3FB33434" w14:textId="77777777" w:rsidR="000D7B37" w:rsidRPr="000D7B37" w:rsidRDefault="000D7B37" w:rsidP="000D7B37">
      <w:pPr>
        <w:shd w:val="clear" w:color="auto" w:fill="FFFFFF"/>
        <w:spacing w:after="0"/>
        <w:ind w:firstLine="360"/>
        <w:rPr>
          <w:color w:val="000000"/>
        </w:rPr>
      </w:pPr>
      <w:r w:rsidRPr="000D7B37">
        <w:rPr>
          <w:color w:val="000000"/>
        </w:rPr>
        <w:t xml:space="preserve">VARMETHOD = </w:t>
      </w:r>
      <w:proofErr w:type="spellStart"/>
      <w:r w:rsidRPr="000D7B37">
        <w:rPr>
          <w:color w:val="000000"/>
        </w:rPr>
        <w:t>brr</w:t>
      </w:r>
      <w:proofErr w:type="spellEnd"/>
      <w:r w:rsidRPr="000D7B37">
        <w:rPr>
          <w:color w:val="000000"/>
        </w:rPr>
        <w:t>;</w:t>
      </w:r>
    </w:p>
    <w:p w14:paraId="58E67339" w14:textId="29071AAD" w:rsidR="000D7B37" w:rsidRPr="000D7B37" w:rsidRDefault="000D7B37" w:rsidP="00B80576">
      <w:pPr>
        <w:shd w:val="clear" w:color="auto" w:fill="FFFFFF"/>
        <w:spacing w:after="0"/>
        <w:ind w:firstLine="360"/>
        <w:rPr>
          <w:color w:val="000000"/>
        </w:rPr>
      </w:pPr>
      <w:r w:rsidRPr="000D7B37">
        <w:rPr>
          <w:color w:val="000000"/>
        </w:rPr>
        <w:t xml:space="preserve">WEIGHT </w:t>
      </w:r>
      <w:proofErr w:type="spellStart"/>
      <w:r w:rsidRPr="000D7B37">
        <w:rPr>
          <w:color w:val="000000"/>
        </w:rPr>
        <w:t>Emp_Wt</w:t>
      </w:r>
      <w:proofErr w:type="spellEnd"/>
      <w:r w:rsidRPr="000D7B37">
        <w:rPr>
          <w:color w:val="000000"/>
        </w:rPr>
        <w:t>;</w:t>
      </w:r>
    </w:p>
    <w:p w14:paraId="1BDF44B9" w14:textId="0F61A36C" w:rsidR="000D7B37" w:rsidRPr="000D7B37" w:rsidRDefault="000D7B37" w:rsidP="00B80576">
      <w:pPr>
        <w:shd w:val="clear" w:color="auto" w:fill="FFFFFF"/>
        <w:spacing w:after="0"/>
        <w:ind w:firstLine="360"/>
        <w:rPr>
          <w:color w:val="000000"/>
        </w:rPr>
      </w:pPr>
      <w:r w:rsidRPr="000D7B37">
        <w:rPr>
          <w:color w:val="000000"/>
        </w:rPr>
        <w:t>REPWEIGHT BootStrap_Emp_Wt1 - BootStrap_Emp_Wt250;</w:t>
      </w:r>
    </w:p>
    <w:p w14:paraId="5F5C4013" w14:textId="043ACC68" w:rsidR="000D7B37" w:rsidRPr="000D7B37" w:rsidRDefault="000D7B37" w:rsidP="00B80576">
      <w:pPr>
        <w:shd w:val="clear" w:color="auto" w:fill="FFFFFF"/>
        <w:ind w:firstLine="360"/>
        <w:rPr>
          <w:color w:val="000000"/>
        </w:rPr>
      </w:pPr>
      <w:r w:rsidRPr="000D7B37">
        <w:rPr>
          <w:color w:val="000000"/>
        </w:rPr>
        <w:t>VAR Q7_PCT;</w:t>
      </w:r>
    </w:p>
    <w:p w14:paraId="7113150E" w14:textId="565783C0" w:rsidR="000D7B37" w:rsidRPr="000D7B37" w:rsidRDefault="000D7B37" w:rsidP="000D7B37">
      <w:pPr>
        <w:shd w:val="clear" w:color="auto" w:fill="FFFFFF"/>
        <w:rPr>
          <w:color w:val="000000"/>
        </w:rPr>
      </w:pPr>
      <w:r w:rsidRPr="000D7B37">
        <w:rPr>
          <w:color w:val="000000"/>
        </w:rPr>
        <w:t>RUN;</w:t>
      </w:r>
      <w:r w:rsidR="00AA41AB">
        <w:rPr>
          <w:color w:val="000000"/>
        </w:rPr>
        <w:t xml:space="preserve"> </w:t>
      </w:r>
    </w:p>
    <w:p w14:paraId="7D5FA26D" w14:textId="30D008F2" w:rsidR="00BC408B" w:rsidRPr="00BC408B" w:rsidRDefault="00BC408B" w:rsidP="00E33B05">
      <w:pPr>
        <w:pStyle w:val="Heading6"/>
      </w:pPr>
      <w:r w:rsidRPr="00BC408B">
        <w:t xml:space="preserve">Industry frequencies </w:t>
      </w:r>
      <w:r w:rsidR="000D335E">
        <w:t>on</w:t>
      </w:r>
      <w:r w:rsidRPr="00BC408B">
        <w:t xml:space="preserve"> subsample of worksites that self-report being covered by FMLA</w:t>
      </w:r>
    </w:p>
    <w:p w14:paraId="58E723BC" w14:textId="77777777" w:rsidR="00BC408B" w:rsidRPr="00BC408B" w:rsidRDefault="00BC408B" w:rsidP="006F7B56">
      <w:pPr>
        <w:shd w:val="clear" w:color="auto" w:fill="FFFFFF"/>
        <w:spacing w:after="0"/>
        <w:rPr>
          <w:color w:val="000000"/>
        </w:rPr>
      </w:pPr>
      <w:r w:rsidRPr="00BC408B">
        <w:rPr>
          <w:color w:val="000000"/>
        </w:rPr>
        <w:t>PROC SURVEYFREQ data=&lt;</w:t>
      </w:r>
      <w:proofErr w:type="spellStart"/>
      <w:r w:rsidRPr="00BC408B">
        <w:rPr>
          <w:color w:val="000000"/>
        </w:rPr>
        <w:t>libname</w:t>
      </w:r>
      <w:proofErr w:type="spellEnd"/>
      <w:r w:rsidRPr="00BC408B">
        <w:rPr>
          <w:color w:val="000000"/>
        </w:rPr>
        <w:t xml:space="preserve">&gt;.FMLA_2018_Worksite_PUF VARMETHOD = </w:t>
      </w:r>
      <w:proofErr w:type="spellStart"/>
      <w:r w:rsidRPr="00BC408B">
        <w:rPr>
          <w:color w:val="000000"/>
        </w:rPr>
        <w:t>brr</w:t>
      </w:r>
      <w:proofErr w:type="spellEnd"/>
      <w:r w:rsidRPr="00BC408B">
        <w:rPr>
          <w:color w:val="000000"/>
        </w:rPr>
        <w:t>;</w:t>
      </w:r>
    </w:p>
    <w:p w14:paraId="3652D21E" w14:textId="140DDCC4" w:rsidR="00BC408B" w:rsidRPr="00BC408B" w:rsidRDefault="00BC408B" w:rsidP="00B80576">
      <w:pPr>
        <w:shd w:val="clear" w:color="auto" w:fill="FFFFFF"/>
        <w:spacing w:after="0"/>
        <w:ind w:firstLine="360"/>
        <w:rPr>
          <w:color w:val="000000"/>
        </w:rPr>
      </w:pPr>
      <w:r w:rsidRPr="00BC408B">
        <w:rPr>
          <w:color w:val="000000"/>
        </w:rPr>
        <w:lastRenderedPageBreak/>
        <w:t xml:space="preserve">WEIGHT </w:t>
      </w:r>
      <w:proofErr w:type="spellStart"/>
      <w:r w:rsidRPr="00BC408B">
        <w:rPr>
          <w:color w:val="000000"/>
        </w:rPr>
        <w:t>Emp_Wt</w:t>
      </w:r>
      <w:proofErr w:type="spellEnd"/>
      <w:r w:rsidRPr="00BC408B">
        <w:rPr>
          <w:color w:val="000000"/>
        </w:rPr>
        <w:t>;</w:t>
      </w:r>
    </w:p>
    <w:p w14:paraId="2253952D" w14:textId="58773337" w:rsidR="00BC408B" w:rsidRPr="00BC408B" w:rsidRDefault="00BC408B" w:rsidP="00B80576">
      <w:pPr>
        <w:shd w:val="clear" w:color="auto" w:fill="FFFFFF"/>
        <w:spacing w:after="0"/>
        <w:ind w:firstLine="360"/>
        <w:rPr>
          <w:color w:val="000000"/>
        </w:rPr>
      </w:pPr>
      <w:r w:rsidRPr="00BC408B">
        <w:rPr>
          <w:color w:val="000000"/>
        </w:rPr>
        <w:t>REPWEIGHT BootStrap_Emp_Wt1 - BootStrap_Emp_Wt250;</w:t>
      </w:r>
    </w:p>
    <w:p w14:paraId="7B8EB5BD" w14:textId="186659FA" w:rsidR="00BC408B" w:rsidRPr="00BC408B" w:rsidRDefault="00BC408B" w:rsidP="00B80576">
      <w:pPr>
        <w:shd w:val="clear" w:color="auto" w:fill="FFFFFF"/>
        <w:ind w:firstLine="360"/>
        <w:rPr>
          <w:color w:val="000000"/>
        </w:rPr>
      </w:pPr>
      <w:r w:rsidRPr="00BC408B">
        <w:rPr>
          <w:color w:val="000000"/>
        </w:rPr>
        <w:t>TABLES Q4_CAT * COVERED_SELF_REPORTED;</w:t>
      </w:r>
    </w:p>
    <w:p w14:paraId="2CDEFE0F" w14:textId="1F946803" w:rsidR="00BC408B" w:rsidRPr="00BC408B" w:rsidRDefault="00BC408B" w:rsidP="00BC408B">
      <w:pPr>
        <w:shd w:val="clear" w:color="auto" w:fill="FFFFFF"/>
        <w:rPr>
          <w:color w:val="000000"/>
        </w:rPr>
      </w:pPr>
      <w:r w:rsidRPr="00BC408B">
        <w:rPr>
          <w:color w:val="000000"/>
        </w:rPr>
        <w:t>RUN;</w:t>
      </w:r>
      <w:r w:rsidR="00AA41AB">
        <w:rPr>
          <w:color w:val="000000"/>
        </w:rPr>
        <w:t xml:space="preserve"> </w:t>
      </w:r>
    </w:p>
    <w:p w14:paraId="02802367" w14:textId="77777777" w:rsidR="00BC408B" w:rsidRPr="00BC408B" w:rsidRDefault="00BC408B" w:rsidP="00E33B05">
      <w:pPr>
        <w:pStyle w:val="Heading6"/>
      </w:pPr>
      <w:r w:rsidRPr="00BC408B">
        <w:t>Mean percentage of female employees by self-reported FMLA coverage status</w:t>
      </w:r>
    </w:p>
    <w:p w14:paraId="08DAD0FB" w14:textId="77777777" w:rsidR="00BC408B" w:rsidRPr="00BC408B" w:rsidRDefault="00BC408B" w:rsidP="006F7B56">
      <w:pPr>
        <w:shd w:val="clear" w:color="auto" w:fill="FFFFFF"/>
        <w:spacing w:after="0"/>
        <w:rPr>
          <w:color w:val="000000"/>
        </w:rPr>
      </w:pPr>
      <w:r w:rsidRPr="00BC408B">
        <w:rPr>
          <w:color w:val="000000"/>
        </w:rPr>
        <w:t>PROC SURVEYMEANS data=&lt;</w:t>
      </w:r>
      <w:proofErr w:type="spellStart"/>
      <w:r w:rsidRPr="00BC408B">
        <w:rPr>
          <w:color w:val="000000"/>
        </w:rPr>
        <w:t>libname</w:t>
      </w:r>
      <w:proofErr w:type="spellEnd"/>
      <w:r w:rsidRPr="00BC408B">
        <w:rPr>
          <w:color w:val="000000"/>
        </w:rPr>
        <w:t xml:space="preserve">&gt;.FMLA_2018_Worksite_PUF </w:t>
      </w:r>
    </w:p>
    <w:p w14:paraId="4D8FE741" w14:textId="77777777" w:rsidR="00BC408B" w:rsidRPr="00BC408B" w:rsidRDefault="00BC408B" w:rsidP="00BC408B">
      <w:pPr>
        <w:shd w:val="clear" w:color="auto" w:fill="FFFFFF"/>
        <w:spacing w:after="0"/>
        <w:ind w:firstLine="360"/>
        <w:rPr>
          <w:color w:val="000000"/>
        </w:rPr>
      </w:pPr>
      <w:r w:rsidRPr="00BC408B">
        <w:rPr>
          <w:color w:val="000000"/>
        </w:rPr>
        <w:t xml:space="preserve">VARMETHOD = </w:t>
      </w:r>
      <w:proofErr w:type="spellStart"/>
      <w:r w:rsidRPr="00BC408B">
        <w:rPr>
          <w:color w:val="000000"/>
        </w:rPr>
        <w:t>brr</w:t>
      </w:r>
      <w:proofErr w:type="spellEnd"/>
      <w:r w:rsidRPr="00BC408B">
        <w:rPr>
          <w:color w:val="000000"/>
        </w:rPr>
        <w:t>;</w:t>
      </w:r>
    </w:p>
    <w:p w14:paraId="24A790AE" w14:textId="11CBA82D" w:rsidR="00BC408B" w:rsidRPr="00BC408B" w:rsidRDefault="00BC408B" w:rsidP="00B80576">
      <w:pPr>
        <w:shd w:val="clear" w:color="auto" w:fill="FFFFFF"/>
        <w:spacing w:after="0"/>
        <w:ind w:firstLine="360"/>
        <w:rPr>
          <w:color w:val="000000"/>
        </w:rPr>
      </w:pPr>
      <w:r w:rsidRPr="00BC408B">
        <w:rPr>
          <w:color w:val="000000"/>
        </w:rPr>
        <w:t xml:space="preserve">DOMAIN COVERED_SELF_REPORTED; </w:t>
      </w:r>
    </w:p>
    <w:p w14:paraId="4B66393A" w14:textId="77777777" w:rsidR="00BC408B" w:rsidRPr="00BC408B" w:rsidRDefault="00BC408B" w:rsidP="00BC408B">
      <w:pPr>
        <w:shd w:val="clear" w:color="auto" w:fill="FFFFFF"/>
        <w:spacing w:after="0"/>
        <w:ind w:firstLine="360"/>
        <w:rPr>
          <w:color w:val="000000"/>
        </w:rPr>
      </w:pPr>
      <w:r w:rsidRPr="00BC408B">
        <w:rPr>
          <w:color w:val="000000"/>
        </w:rPr>
        <w:t xml:space="preserve">WEIGHT </w:t>
      </w:r>
      <w:proofErr w:type="spellStart"/>
      <w:r w:rsidRPr="00BC408B">
        <w:rPr>
          <w:color w:val="000000"/>
        </w:rPr>
        <w:t>Emp_Wt</w:t>
      </w:r>
      <w:proofErr w:type="spellEnd"/>
      <w:r w:rsidRPr="00BC408B">
        <w:rPr>
          <w:color w:val="000000"/>
        </w:rPr>
        <w:t>;</w:t>
      </w:r>
    </w:p>
    <w:p w14:paraId="2BAE53FE" w14:textId="0019A385" w:rsidR="00BC408B" w:rsidRPr="00BC408B" w:rsidRDefault="00BC408B" w:rsidP="00B80576">
      <w:pPr>
        <w:shd w:val="clear" w:color="auto" w:fill="FFFFFF"/>
        <w:spacing w:after="0"/>
        <w:ind w:firstLine="360"/>
        <w:rPr>
          <w:color w:val="000000"/>
        </w:rPr>
      </w:pPr>
      <w:r w:rsidRPr="00BC408B">
        <w:rPr>
          <w:color w:val="000000"/>
        </w:rPr>
        <w:t>REPWEIGHT BootStrap_Emp_Wt1 - BootStrap_Emp_Wt250;</w:t>
      </w:r>
    </w:p>
    <w:p w14:paraId="59D8FCA8" w14:textId="696CD78F" w:rsidR="00BC408B" w:rsidRPr="00BC408B" w:rsidRDefault="00BC408B" w:rsidP="00B80576">
      <w:pPr>
        <w:shd w:val="clear" w:color="auto" w:fill="FFFFFF"/>
        <w:ind w:firstLine="360"/>
        <w:rPr>
          <w:color w:val="000000"/>
        </w:rPr>
      </w:pPr>
      <w:r w:rsidRPr="00BC408B">
        <w:rPr>
          <w:color w:val="000000"/>
        </w:rPr>
        <w:t>VAR Q7_PCT;</w:t>
      </w:r>
    </w:p>
    <w:p w14:paraId="74619A83" w14:textId="251B2AAA" w:rsidR="00BC408B" w:rsidRPr="00BC408B" w:rsidRDefault="00BC408B" w:rsidP="00BC408B">
      <w:pPr>
        <w:shd w:val="clear" w:color="auto" w:fill="FFFFFF"/>
        <w:rPr>
          <w:color w:val="000000"/>
        </w:rPr>
      </w:pPr>
      <w:r w:rsidRPr="00BC408B">
        <w:rPr>
          <w:color w:val="000000"/>
        </w:rPr>
        <w:t>RUN;</w:t>
      </w:r>
      <w:r w:rsidR="00AA41AB">
        <w:rPr>
          <w:color w:val="000000"/>
        </w:rPr>
        <w:t xml:space="preserve"> </w:t>
      </w:r>
    </w:p>
    <w:p w14:paraId="21BCFE1F" w14:textId="77777777" w:rsidR="00BC408B" w:rsidRDefault="00BC408B" w:rsidP="00BC408B">
      <w:pPr>
        <w:shd w:val="clear" w:color="auto" w:fill="FFFFFF"/>
        <w:rPr>
          <w:i/>
          <w:color w:val="000000"/>
        </w:rPr>
        <w:sectPr w:rsidR="00BC408B" w:rsidSect="00837793">
          <w:headerReference w:type="default" r:id="rId22"/>
          <w:pgSz w:w="12240" w:h="15840" w:code="1"/>
          <w:pgMar w:top="1440" w:right="1440" w:bottom="1440" w:left="1440" w:header="720" w:footer="720" w:gutter="0"/>
          <w:cols w:space="720"/>
          <w:docGrid w:linePitch="299"/>
        </w:sectPr>
      </w:pPr>
    </w:p>
    <w:p w14:paraId="629C392B" w14:textId="77777777" w:rsidR="00BC408B" w:rsidRPr="00A07147" w:rsidRDefault="00BC408B" w:rsidP="00424EC7">
      <w:pPr>
        <w:pStyle w:val="Heading4"/>
      </w:pPr>
      <w:r w:rsidRPr="00A07147">
        <w:lastRenderedPageBreak/>
        <w:t>Stata Code</w:t>
      </w:r>
    </w:p>
    <w:p w14:paraId="1CF42782" w14:textId="57199111" w:rsidR="00BC408B" w:rsidRPr="007125F0" w:rsidRDefault="00BC408B" w:rsidP="00424EC7">
      <w:pPr>
        <w:pStyle w:val="Heading5"/>
      </w:pPr>
      <w:r>
        <w:t xml:space="preserve">Applying </w:t>
      </w:r>
      <w:r w:rsidRPr="007125F0">
        <w:t>Worksite Weights</w:t>
      </w:r>
    </w:p>
    <w:p w14:paraId="55B39753" w14:textId="77777777" w:rsidR="00BC408B" w:rsidRPr="009D7B7E" w:rsidRDefault="00BC408B" w:rsidP="00BC408B">
      <w:pPr>
        <w:rPr>
          <w:sz w:val="24"/>
          <w:szCs w:val="24"/>
        </w:rPr>
      </w:pPr>
      <w:r w:rsidRPr="009D7B7E">
        <w:rPr>
          <w:sz w:val="24"/>
          <w:szCs w:val="24"/>
        </w:rPr>
        <w:t>Appropriate code to run the analysis applying worksite weights in Stata follows.</w:t>
      </w:r>
    </w:p>
    <w:p w14:paraId="3E924BFD" w14:textId="77777777" w:rsidR="00BC408B" w:rsidRDefault="00BC408B" w:rsidP="00BC408B">
      <w:pPr>
        <w:rPr>
          <w:sz w:val="24"/>
          <w:szCs w:val="24"/>
        </w:rPr>
      </w:pPr>
      <w:r w:rsidRPr="009D7B7E">
        <w:rPr>
          <w:sz w:val="24"/>
          <w:szCs w:val="24"/>
        </w:rPr>
        <w:t xml:space="preserve">Unlike in SAS, where the specification of the sampling design and replicate weights is </w:t>
      </w:r>
      <w:r>
        <w:rPr>
          <w:sz w:val="24"/>
          <w:szCs w:val="24"/>
        </w:rPr>
        <w:t>included</w:t>
      </w:r>
      <w:r w:rsidRPr="009D7B7E">
        <w:rPr>
          <w:sz w:val="24"/>
          <w:szCs w:val="24"/>
        </w:rPr>
        <w:t xml:space="preserve"> in the PROC syntax itself, in Stata the </w:t>
      </w:r>
      <w:r>
        <w:rPr>
          <w:sz w:val="24"/>
          <w:szCs w:val="24"/>
        </w:rPr>
        <w:t xml:space="preserve">user first declares </w:t>
      </w:r>
      <w:r w:rsidRPr="009D7B7E">
        <w:rPr>
          <w:sz w:val="24"/>
          <w:szCs w:val="24"/>
        </w:rPr>
        <w:t xml:space="preserve">a survey design and </w:t>
      </w:r>
      <w:r>
        <w:rPr>
          <w:sz w:val="24"/>
          <w:szCs w:val="24"/>
        </w:rPr>
        <w:t xml:space="preserve">then specifies </w:t>
      </w:r>
      <w:r w:rsidRPr="009D7B7E">
        <w:rPr>
          <w:sz w:val="24"/>
          <w:szCs w:val="24"/>
        </w:rPr>
        <w:t xml:space="preserve">estimation </w:t>
      </w:r>
      <w:r>
        <w:rPr>
          <w:sz w:val="24"/>
          <w:szCs w:val="24"/>
        </w:rPr>
        <w:t>procedures</w:t>
      </w:r>
      <w:r w:rsidRPr="009D7B7E">
        <w:rPr>
          <w:sz w:val="24"/>
          <w:szCs w:val="24"/>
        </w:rPr>
        <w:t>. Thus, one needs to use the following “settings” for each of the analyses that follow:</w:t>
      </w:r>
    </w:p>
    <w:p w14:paraId="1B27842D" w14:textId="77777777" w:rsidR="00BC408B" w:rsidRPr="009D7B7E" w:rsidRDefault="00BC408B" w:rsidP="00BC408B">
      <w:pPr>
        <w:ind w:left="72" w:right="144"/>
        <w:textAlignment w:val="baseline"/>
        <w:rPr>
          <w:color w:val="000000"/>
          <w:sz w:val="24"/>
          <w:szCs w:val="24"/>
        </w:rPr>
      </w:pPr>
      <w:proofErr w:type="spellStart"/>
      <w:proofErr w:type="gramStart"/>
      <w:r w:rsidRPr="009D7B7E">
        <w:rPr>
          <w:color w:val="000000"/>
          <w:sz w:val="24"/>
          <w:szCs w:val="24"/>
        </w:rPr>
        <w:t>svyset</w:t>
      </w:r>
      <w:proofErr w:type="spellEnd"/>
      <w:proofErr w:type="gramEnd"/>
      <w:r w:rsidRPr="009D7B7E">
        <w:rPr>
          <w:color w:val="000000"/>
          <w:sz w:val="24"/>
          <w:szCs w:val="24"/>
        </w:rPr>
        <w:t xml:space="preserve"> [pw=</w:t>
      </w:r>
      <w:proofErr w:type="spellStart"/>
      <w:r>
        <w:rPr>
          <w:color w:val="000000"/>
          <w:spacing w:val="-4"/>
          <w:sz w:val="24"/>
          <w:szCs w:val="24"/>
        </w:rPr>
        <w:t>e</w:t>
      </w:r>
      <w:r w:rsidRPr="009D7B7E">
        <w:rPr>
          <w:color w:val="000000"/>
          <w:spacing w:val="-4"/>
          <w:sz w:val="24"/>
          <w:szCs w:val="24"/>
        </w:rPr>
        <w:t>stab_wt</w:t>
      </w:r>
      <w:proofErr w:type="spellEnd"/>
      <w:r w:rsidRPr="009D7B7E">
        <w:rPr>
          <w:color w:val="000000"/>
          <w:sz w:val="24"/>
          <w:szCs w:val="24"/>
        </w:rPr>
        <w:t xml:space="preserve">], </w:t>
      </w:r>
      <w:proofErr w:type="spellStart"/>
      <w:r w:rsidRPr="009D7B7E">
        <w:rPr>
          <w:color w:val="000000"/>
          <w:sz w:val="24"/>
          <w:szCs w:val="24"/>
        </w:rPr>
        <w:t>vce</w:t>
      </w:r>
      <w:proofErr w:type="spellEnd"/>
      <w:r w:rsidRPr="009D7B7E">
        <w:rPr>
          <w:color w:val="000000"/>
          <w:sz w:val="24"/>
          <w:szCs w:val="24"/>
        </w:rPr>
        <w:t xml:space="preserve">(bootstrap) </w:t>
      </w:r>
      <w:proofErr w:type="spellStart"/>
      <w:r w:rsidRPr="009D7B7E">
        <w:rPr>
          <w:color w:val="000000"/>
          <w:sz w:val="24"/>
          <w:szCs w:val="24"/>
        </w:rPr>
        <w:t>bsrw</w:t>
      </w:r>
      <w:proofErr w:type="spellEnd"/>
      <w:r w:rsidRPr="009D7B7E">
        <w:rPr>
          <w:color w:val="000000"/>
          <w:sz w:val="24"/>
          <w:szCs w:val="24"/>
        </w:rPr>
        <w:t>(</w:t>
      </w:r>
      <w:proofErr w:type="spellStart"/>
      <w:r>
        <w:rPr>
          <w:color w:val="000000"/>
          <w:spacing w:val="-4"/>
          <w:sz w:val="24"/>
          <w:szCs w:val="24"/>
        </w:rPr>
        <w:t>boots</w:t>
      </w:r>
      <w:r w:rsidRPr="009D7B7E">
        <w:rPr>
          <w:color w:val="000000"/>
          <w:spacing w:val="-4"/>
          <w:sz w:val="24"/>
          <w:szCs w:val="24"/>
        </w:rPr>
        <w:t>trap_</w:t>
      </w:r>
      <w:r>
        <w:rPr>
          <w:color w:val="000000"/>
          <w:spacing w:val="-4"/>
          <w:sz w:val="24"/>
          <w:szCs w:val="24"/>
        </w:rPr>
        <w:t>e</w:t>
      </w:r>
      <w:r w:rsidRPr="009D7B7E">
        <w:rPr>
          <w:color w:val="000000"/>
          <w:spacing w:val="-4"/>
          <w:sz w:val="24"/>
          <w:szCs w:val="24"/>
        </w:rPr>
        <w:t>stab_</w:t>
      </w:r>
      <w:r>
        <w:rPr>
          <w:color w:val="000000"/>
          <w:spacing w:val="-4"/>
          <w:sz w:val="24"/>
          <w:szCs w:val="24"/>
        </w:rPr>
        <w:t>w</w:t>
      </w:r>
      <w:r w:rsidRPr="009D7B7E">
        <w:rPr>
          <w:color w:val="000000"/>
          <w:spacing w:val="-4"/>
          <w:sz w:val="24"/>
          <w:szCs w:val="24"/>
        </w:rPr>
        <w:t>t</w:t>
      </w:r>
      <w:proofErr w:type="spellEnd"/>
      <w:r w:rsidRPr="009D7B7E">
        <w:rPr>
          <w:color w:val="000000"/>
          <w:sz w:val="24"/>
          <w:szCs w:val="24"/>
        </w:rPr>
        <w:t xml:space="preserve">*) </w:t>
      </w:r>
      <w:proofErr w:type="spellStart"/>
      <w:r w:rsidRPr="009D7B7E">
        <w:rPr>
          <w:color w:val="000000"/>
          <w:sz w:val="24"/>
          <w:szCs w:val="24"/>
        </w:rPr>
        <w:t>mse</w:t>
      </w:r>
      <w:proofErr w:type="spellEnd"/>
    </w:p>
    <w:p w14:paraId="51BBDBF3" w14:textId="77777777" w:rsidR="00BC408B" w:rsidRPr="009D7B7E" w:rsidRDefault="00BC408B" w:rsidP="00BC408B">
      <w:pPr>
        <w:rPr>
          <w:sz w:val="24"/>
          <w:szCs w:val="24"/>
        </w:rPr>
      </w:pPr>
      <w:r w:rsidRPr="009D7B7E">
        <w:rPr>
          <w:sz w:val="24"/>
          <w:szCs w:val="24"/>
        </w:rPr>
        <w:t xml:space="preserve">As noted, each of the following analyses needs to be preceded by the worksite weight “settings” </w:t>
      </w:r>
      <w:r>
        <w:rPr>
          <w:sz w:val="24"/>
          <w:szCs w:val="24"/>
        </w:rPr>
        <w:t>command</w:t>
      </w:r>
      <w:r w:rsidRPr="009D7B7E">
        <w:rPr>
          <w:sz w:val="24"/>
          <w:szCs w:val="24"/>
        </w:rPr>
        <w:t xml:space="preserve"> above.</w:t>
      </w:r>
    </w:p>
    <w:p w14:paraId="5DC3902F" w14:textId="77777777" w:rsidR="000D335E" w:rsidRPr="00B040F8" w:rsidRDefault="000D335E" w:rsidP="000D335E">
      <w:pPr>
        <w:pStyle w:val="Heading6"/>
      </w:pPr>
      <w:r w:rsidRPr="00B040F8">
        <w:t xml:space="preserve">Industry frequencies </w:t>
      </w:r>
      <w:r>
        <w:t>on</w:t>
      </w:r>
      <w:r w:rsidRPr="00B040F8">
        <w:t xml:space="preserve"> full sample</w:t>
      </w:r>
    </w:p>
    <w:p w14:paraId="30262A19" w14:textId="77777777" w:rsidR="00BC408B" w:rsidRPr="00BC408B" w:rsidRDefault="00BC408B" w:rsidP="00BC408B">
      <w:pPr>
        <w:pStyle w:val="BodyText"/>
        <w:rPr>
          <w:lang w:val="en-US"/>
        </w:rPr>
      </w:pPr>
      <w:proofErr w:type="spellStart"/>
      <w:proofErr w:type="gramStart"/>
      <w:r w:rsidRPr="00BC408B">
        <w:rPr>
          <w:lang w:val="en-US"/>
        </w:rPr>
        <w:t>svy</w:t>
      </w:r>
      <w:proofErr w:type="spellEnd"/>
      <w:proofErr w:type="gramEnd"/>
      <w:r w:rsidRPr="00BC408B">
        <w:rPr>
          <w:lang w:val="en-US"/>
        </w:rPr>
        <w:t>: tab q4_cat</w:t>
      </w:r>
    </w:p>
    <w:p w14:paraId="3670108A" w14:textId="77777777" w:rsidR="00BC408B" w:rsidRPr="00BC408B" w:rsidRDefault="00BC408B" w:rsidP="00BC408B">
      <w:pPr>
        <w:pStyle w:val="BodyText"/>
        <w:spacing w:after="0"/>
        <w:rPr>
          <w:lang w:val="en-US"/>
        </w:rPr>
      </w:pPr>
      <w:r w:rsidRPr="00BC408B">
        <w:rPr>
          <w:lang w:val="en-US"/>
        </w:rPr>
        <w:t xml:space="preserve">Number of </w:t>
      </w:r>
      <w:proofErr w:type="spellStart"/>
      <w:r w:rsidRPr="00BC408B">
        <w:rPr>
          <w:lang w:val="en-US"/>
        </w:rPr>
        <w:t>obs</w:t>
      </w:r>
      <w:proofErr w:type="spellEnd"/>
      <w:r w:rsidRPr="00BC408B">
        <w:rPr>
          <w:lang w:val="en-US"/>
        </w:rPr>
        <w:tab/>
        <w:t>=</w:t>
      </w:r>
      <w:r w:rsidRPr="00BC408B">
        <w:rPr>
          <w:lang w:val="en-US"/>
        </w:rPr>
        <w:tab/>
        <w:t>2,206</w:t>
      </w:r>
    </w:p>
    <w:p w14:paraId="043746F8" w14:textId="77777777" w:rsidR="00BC408B" w:rsidRPr="00BC408B" w:rsidRDefault="00BC408B" w:rsidP="00BC408B">
      <w:pPr>
        <w:pStyle w:val="BodyText"/>
        <w:spacing w:after="0"/>
        <w:rPr>
          <w:lang w:val="en-US"/>
        </w:rPr>
      </w:pPr>
      <w:r w:rsidRPr="00BC408B">
        <w:rPr>
          <w:lang w:val="en-US"/>
        </w:rPr>
        <w:t>Population size</w:t>
      </w:r>
      <w:r w:rsidRPr="00BC408B">
        <w:rPr>
          <w:lang w:val="en-US"/>
        </w:rPr>
        <w:tab/>
        <w:t>=</w:t>
      </w:r>
      <w:r w:rsidRPr="00BC408B">
        <w:rPr>
          <w:lang w:val="en-US"/>
        </w:rPr>
        <w:tab/>
        <w:t>9,446,660</w:t>
      </w:r>
    </w:p>
    <w:p w14:paraId="57AA3A7C" w14:textId="77777777" w:rsidR="00BC408B" w:rsidRPr="00BC408B" w:rsidRDefault="00BC408B" w:rsidP="00BC408B">
      <w:pPr>
        <w:pStyle w:val="BodyText"/>
        <w:rPr>
          <w:lang w:val="en-US"/>
        </w:rPr>
      </w:pPr>
      <w:r w:rsidRPr="00BC408B">
        <w:rPr>
          <w:lang w:val="en-US"/>
        </w:rPr>
        <w:t>Replications</w:t>
      </w:r>
      <w:r w:rsidRPr="00BC408B">
        <w:rPr>
          <w:lang w:val="en-US"/>
        </w:rPr>
        <w:tab/>
        <w:t>=</w:t>
      </w:r>
      <w:r w:rsidRPr="00BC408B">
        <w:rPr>
          <w:lang w:val="en-US"/>
        </w:rPr>
        <w:tab/>
        <w:t>250</w:t>
      </w:r>
    </w:p>
    <w:tbl>
      <w:tblPr>
        <w:tblW w:w="34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3"/>
        <w:gridCol w:w="1830"/>
      </w:tblGrid>
      <w:tr w:rsidR="00BC408B" w:rsidRPr="00BC408B" w14:paraId="09B03238" w14:textId="77777777" w:rsidTr="00BC408B">
        <w:trPr>
          <w:trHeight w:val="298"/>
        </w:trPr>
        <w:tc>
          <w:tcPr>
            <w:tcW w:w="1663" w:type="dxa"/>
            <w:tcBorders>
              <w:top w:val="single" w:sz="4" w:space="0" w:color="auto"/>
              <w:bottom w:val="single" w:sz="4" w:space="0" w:color="auto"/>
              <w:right w:val="single" w:sz="4" w:space="0" w:color="auto"/>
            </w:tcBorders>
            <w:shd w:val="clear" w:color="auto" w:fill="48A9C5" w:themeFill="accent1"/>
            <w:noWrap/>
            <w:vAlign w:val="bottom"/>
            <w:hideMark/>
          </w:tcPr>
          <w:p w14:paraId="2155A162" w14:textId="15920004" w:rsidR="00BC408B" w:rsidRPr="00BC408B" w:rsidRDefault="00BC408B" w:rsidP="00BC408B">
            <w:pPr>
              <w:pStyle w:val="BodyText"/>
              <w:spacing w:after="0"/>
              <w:jc w:val="center"/>
              <w:rPr>
                <w:rFonts w:ascii="Arial Narrow" w:hAnsi="Arial Narrow"/>
                <w:b/>
                <w:color w:val="FFFFFF" w:themeColor="background1"/>
                <w:sz w:val="20"/>
                <w:lang w:val="en-US"/>
              </w:rPr>
            </w:pPr>
            <w:r w:rsidRPr="00BC408B">
              <w:rPr>
                <w:rFonts w:ascii="Arial Narrow" w:hAnsi="Arial Narrow"/>
                <w:b/>
                <w:color w:val="FFFFFF" w:themeColor="background1"/>
                <w:sz w:val="20"/>
                <w:lang w:val="en-US"/>
              </w:rPr>
              <w:t>Organization's Main Industry</w:t>
            </w:r>
          </w:p>
        </w:tc>
        <w:tc>
          <w:tcPr>
            <w:tcW w:w="1830" w:type="dxa"/>
            <w:tcBorders>
              <w:top w:val="single" w:sz="4" w:space="0" w:color="auto"/>
              <w:left w:val="single" w:sz="4" w:space="0" w:color="auto"/>
              <w:bottom w:val="single" w:sz="4" w:space="0" w:color="auto"/>
            </w:tcBorders>
            <w:shd w:val="clear" w:color="auto" w:fill="48A9C5" w:themeFill="accent1"/>
            <w:noWrap/>
            <w:vAlign w:val="bottom"/>
            <w:hideMark/>
          </w:tcPr>
          <w:p w14:paraId="6D1CECAA" w14:textId="2256937B" w:rsidR="00BC408B" w:rsidRPr="00BC408B" w:rsidRDefault="00BC408B" w:rsidP="00BC408B">
            <w:pPr>
              <w:pStyle w:val="BodyText"/>
              <w:spacing w:after="0"/>
              <w:jc w:val="center"/>
              <w:rPr>
                <w:rFonts w:ascii="Arial Narrow" w:hAnsi="Arial Narrow"/>
                <w:b/>
                <w:color w:val="FFFFFF" w:themeColor="background1"/>
                <w:sz w:val="20"/>
                <w:lang w:val="en-US"/>
              </w:rPr>
            </w:pPr>
            <w:r w:rsidRPr="00BC408B">
              <w:rPr>
                <w:rFonts w:ascii="Arial Narrow" w:hAnsi="Arial Narrow"/>
                <w:b/>
                <w:color w:val="FFFFFF" w:themeColor="background1"/>
                <w:sz w:val="20"/>
                <w:lang w:val="en-US"/>
              </w:rPr>
              <w:t>Proportion</w:t>
            </w:r>
          </w:p>
        </w:tc>
      </w:tr>
      <w:tr w:rsidR="00BC408B" w:rsidRPr="00BC408B" w14:paraId="7BE73927" w14:textId="77777777" w:rsidTr="00BC408B">
        <w:trPr>
          <w:trHeight w:val="50"/>
        </w:trPr>
        <w:tc>
          <w:tcPr>
            <w:tcW w:w="1663" w:type="dxa"/>
            <w:tcBorders>
              <w:top w:val="single" w:sz="4" w:space="0" w:color="auto"/>
              <w:right w:val="single" w:sz="4" w:space="0" w:color="auto"/>
            </w:tcBorders>
            <w:shd w:val="clear" w:color="auto" w:fill="DAEDF3" w:themeFill="accent1" w:themeFillTint="33"/>
            <w:noWrap/>
            <w:hideMark/>
          </w:tcPr>
          <w:p w14:paraId="47833695" w14:textId="77777777" w:rsidR="00BC408B" w:rsidRPr="00BC408B" w:rsidRDefault="00BC408B" w:rsidP="00BC408B">
            <w:pPr>
              <w:pStyle w:val="BodyText"/>
              <w:spacing w:after="0"/>
              <w:rPr>
                <w:rFonts w:ascii="Arial Narrow" w:hAnsi="Arial Narrow"/>
                <w:sz w:val="20"/>
                <w:lang w:val="en-US"/>
              </w:rPr>
            </w:pPr>
            <w:r w:rsidRPr="00BC408B">
              <w:rPr>
                <w:rFonts w:ascii="Arial Narrow" w:hAnsi="Arial Narrow"/>
                <w:sz w:val="20"/>
                <w:lang w:val="en-US"/>
              </w:rPr>
              <w:t>Manufacturing</w:t>
            </w:r>
          </w:p>
        </w:tc>
        <w:tc>
          <w:tcPr>
            <w:tcW w:w="1830" w:type="dxa"/>
            <w:tcBorders>
              <w:top w:val="single" w:sz="4" w:space="0" w:color="auto"/>
              <w:left w:val="single" w:sz="4" w:space="0" w:color="auto"/>
            </w:tcBorders>
            <w:shd w:val="clear" w:color="auto" w:fill="auto"/>
            <w:noWrap/>
            <w:vAlign w:val="bottom"/>
            <w:hideMark/>
          </w:tcPr>
          <w:p w14:paraId="0FD1BA5D" w14:textId="77777777" w:rsidR="00BC408B" w:rsidRPr="00BC408B" w:rsidRDefault="00BC408B" w:rsidP="009E5737">
            <w:pPr>
              <w:pStyle w:val="BodyText"/>
              <w:spacing w:after="0"/>
              <w:jc w:val="right"/>
              <w:rPr>
                <w:rFonts w:ascii="Arial Narrow" w:hAnsi="Arial Narrow"/>
                <w:sz w:val="20"/>
                <w:lang w:val="en-US"/>
              </w:rPr>
            </w:pPr>
            <w:r w:rsidRPr="00BC408B">
              <w:rPr>
                <w:rFonts w:ascii="Arial Narrow" w:hAnsi="Arial Narrow"/>
                <w:sz w:val="20"/>
                <w:lang w:val="en-US"/>
              </w:rPr>
              <w:t>.1359</w:t>
            </w:r>
          </w:p>
        </w:tc>
      </w:tr>
      <w:tr w:rsidR="00BC408B" w:rsidRPr="00BC408B" w14:paraId="190CA846" w14:textId="77777777" w:rsidTr="00BC408B">
        <w:trPr>
          <w:trHeight w:val="60"/>
        </w:trPr>
        <w:tc>
          <w:tcPr>
            <w:tcW w:w="1663" w:type="dxa"/>
            <w:tcBorders>
              <w:right w:val="single" w:sz="4" w:space="0" w:color="auto"/>
            </w:tcBorders>
            <w:shd w:val="clear" w:color="auto" w:fill="DAEDF3" w:themeFill="accent1" w:themeFillTint="33"/>
            <w:noWrap/>
            <w:hideMark/>
          </w:tcPr>
          <w:p w14:paraId="70889649" w14:textId="77777777" w:rsidR="00BC408B" w:rsidRPr="00BC408B" w:rsidRDefault="00BC408B" w:rsidP="00BC408B">
            <w:pPr>
              <w:pStyle w:val="BodyText"/>
              <w:spacing w:after="0"/>
              <w:rPr>
                <w:rFonts w:ascii="Arial Narrow" w:hAnsi="Arial Narrow"/>
                <w:sz w:val="20"/>
                <w:lang w:val="en-US"/>
              </w:rPr>
            </w:pPr>
            <w:r w:rsidRPr="00BC408B">
              <w:rPr>
                <w:rFonts w:ascii="Arial Narrow" w:hAnsi="Arial Narrow"/>
                <w:sz w:val="20"/>
                <w:lang w:val="en-US"/>
              </w:rPr>
              <w:t>Retail</w:t>
            </w:r>
          </w:p>
        </w:tc>
        <w:tc>
          <w:tcPr>
            <w:tcW w:w="1830" w:type="dxa"/>
            <w:tcBorders>
              <w:left w:val="single" w:sz="4" w:space="0" w:color="auto"/>
            </w:tcBorders>
            <w:shd w:val="clear" w:color="auto" w:fill="auto"/>
            <w:noWrap/>
            <w:vAlign w:val="bottom"/>
            <w:hideMark/>
          </w:tcPr>
          <w:p w14:paraId="42FA57F2" w14:textId="77777777" w:rsidR="00BC408B" w:rsidRPr="00BC408B" w:rsidRDefault="00BC408B" w:rsidP="009E5737">
            <w:pPr>
              <w:pStyle w:val="BodyText"/>
              <w:spacing w:after="0"/>
              <w:jc w:val="right"/>
              <w:rPr>
                <w:rFonts w:ascii="Arial Narrow" w:hAnsi="Arial Narrow"/>
                <w:sz w:val="20"/>
                <w:lang w:val="en-US"/>
              </w:rPr>
            </w:pPr>
            <w:r w:rsidRPr="00BC408B">
              <w:rPr>
                <w:rFonts w:ascii="Arial Narrow" w:hAnsi="Arial Narrow"/>
                <w:sz w:val="20"/>
                <w:lang w:val="en-US"/>
              </w:rPr>
              <w:t>.2031</w:t>
            </w:r>
          </w:p>
        </w:tc>
      </w:tr>
      <w:tr w:rsidR="00BC408B" w:rsidRPr="00BC408B" w14:paraId="4141B2C3" w14:textId="77777777" w:rsidTr="00BC408B">
        <w:trPr>
          <w:trHeight w:val="60"/>
        </w:trPr>
        <w:tc>
          <w:tcPr>
            <w:tcW w:w="1663" w:type="dxa"/>
            <w:tcBorders>
              <w:right w:val="single" w:sz="4" w:space="0" w:color="auto"/>
            </w:tcBorders>
            <w:shd w:val="clear" w:color="auto" w:fill="DAEDF3" w:themeFill="accent1" w:themeFillTint="33"/>
            <w:noWrap/>
            <w:hideMark/>
          </w:tcPr>
          <w:p w14:paraId="15A0323D" w14:textId="77777777" w:rsidR="00BC408B" w:rsidRPr="00BC408B" w:rsidRDefault="00BC408B" w:rsidP="00BC408B">
            <w:pPr>
              <w:pStyle w:val="BodyText"/>
              <w:spacing w:after="0"/>
              <w:rPr>
                <w:rFonts w:ascii="Arial Narrow" w:hAnsi="Arial Narrow"/>
                <w:sz w:val="20"/>
                <w:lang w:val="en-US"/>
              </w:rPr>
            </w:pPr>
            <w:r w:rsidRPr="00BC408B">
              <w:rPr>
                <w:rFonts w:ascii="Arial Narrow" w:hAnsi="Arial Narrow"/>
                <w:sz w:val="20"/>
                <w:lang w:val="en-US"/>
              </w:rPr>
              <w:t>Services</w:t>
            </w:r>
          </w:p>
        </w:tc>
        <w:tc>
          <w:tcPr>
            <w:tcW w:w="1830" w:type="dxa"/>
            <w:tcBorders>
              <w:left w:val="single" w:sz="4" w:space="0" w:color="auto"/>
            </w:tcBorders>
            <w:shd w:val="clear" w:color="auto" w:fill="auto"/>
            <w:noWrap/>
            <w:vAlign w:val="bottom"/>
            <w:hideMark/>
          </w:tcPr>
          <w:p w14:paraId="3DB41977" w14:textId="77777777" w:rsidR="00BC408B" w:rsidRPr="00BC408B" w:rsidRDefault="00BC408B" w:rsidP="009E5737">
            <w:pPr>
              <w:pStyle w:val="BodyText"/>
              <w:spacing w:after="0"/>
              <w:jc w:val="right"/>
              <w:rPr>
                <w:rFonts w:ascii="Arial Narrow" w:hAnsi="Arial Narrow"/>
                <w:sz w:val="20"/>
                <w:lang w:val="en-US"/>
              </w:rPr>
            </w:pPr>
            <w:r w:rsidRPr="00BC408B">
              <w:rPr>
                <w:rFonts w:ascii="Arial Narrow" w:hAnsi="Arial Narrow"/>
                <w:sz w:val="20"/>
                <w:lang w:val="en-US"/>
              </w:rPr>
              <w:t>.3032</w:t>
            </w:r>
          </w:p>
        </w:tc>
      </w:tr>
      <w:tr w:rsidR="00BC408B" w:rsidRPr="00BC408B" w14:paraId="769DC11C" w14:textId="77777777" w:rsidTr="00BC408B">
        <w:trPr>
          <w:trHeight w:val="60"/>
        </w:trPr>
        <w:tc>
          <w:tcPr>
            <w:tcW w:w="1663" w:type="dxa"/>
            <w:tcBorders>
              <w:right w:val="single" w:sz="4" w:space="0" w:color="auto"/>
            </w:tcBorders>
            <w:shd w:val="clear" w:color="auto" w:fill="DAEDF3" w:themeFill="accent1" w:themeFillTint="33"/>
            <w:noWrap/>
            <w:hideMark/>
          </w:tcPr>
          <w:p w14:paraId="1073B617" w14:textId="77777777" w:rsidR="00BC408B" w:rsidRPr="00BC408B" w:rsidRDefault="00BC408B" w:rsidP="00BC408B">
            <w:pPr>
              <w:pStyle w:val="BodyText"/>
              <w:spacing w:after="0"/>
              <w:rPr>
                <w:rFonts w:ascii="Arial Narrow" w:hAnsi="Arial Narrow"/>
                <w:sz w:val="20"/>
                <w:lang w:val="en-US"/>
              </w:rPr>
            </w:pPr>
            <w:r w:rsidRPr="00BC408B">
              <w:rPr>
                <w:rFonts w:ascii="Arial Narrow" w:hAnsi="Arial Narrow"/>
                <w:sz w:val="20"/>
                <w:lang w:val="en-US"/>
              </w:rPr>
              <w:t>Other</w:t>
            </w:r>
          </w:p>
        </w:tc>
        <w:tc>
          <w:tcPr>
            <w:tcW w:w="1830" w:type="dxa"/>
            <w:tcBorders>
              <w:left w:val="single" w:sz="4" w:space="0" w:color="auto"/>
            </w:tcBorders>
            <w:shd w:val="clear" w:color="auto" w:fill="auto"/>
            <w:noWrap/>
            <w:vAlign w:val="bottom"/>
            <w:hideMark/>
          </w:tcPr>
          <w:p w14:paraId="421D3C43" w14:textId="77777777" w:rsidR="00BC408B" w:rsidRPr="00BC408B" w:rsidRDefault="00BC408B" w:rsidP="009E5737">
            <w:pPr>
              <w:pStyle w:val="BodyText"/>
              <w:spacing w:after="0"/>
              <w:jc w:val="right"/>
              <w:rPr>
                <w:rFonts w:ascii="Arial Narrow" w:hAnsi="Arial Narrow"/>
                <w:sz w:val="20"/>
                <w:lang w:val="en-US"/>
              </w:rPr>
            </w:pPr>
            <w:r w:rsidRPr="00BC408B">
              <w:rPr>
                <w:rFonts w:ascii="Arial Narrow" w:hAnsi="Arial Narrow"/>
                <w:sz w:val="20"/>
                <w:lang w:val="en-US"/>
              </w:rPr>
              <w:t>.3578</w:t>
            </w:r>
          </w:p>
        </w:tc>
      </w:tr>
      <w:tr w:rsidR="00BC408B" w:rsidRPr="00BC408B" w14:paraId="38963FA5" w14:textId="77777777" w:rsidTr="00BC408B">
        <w:trPr>
          <w:trHeight w:val="50"/>
        </w:trPr>
        <w:tc>
          <w:tcPr>
            <w:tcW w:w="1663" w:type="dxa"/>
            <w:tcBorders>
              <w:top w:val="single" w:sz="4" w:space="0" w:color="auto"/>
              <w:bottom w:val="single" w:sz="4" w:space="0" w:color="auto"/>
              <w:right w:val="single" w:sz="4" w:space="0" w:color="auto"/>
            </w:tcBorders>
            <w:shd w:val="clear" w:color="auto" w:fill="DAEDF3" w:themeFill="accent1" w:themeFillTint="33"/>
            <w:noWrap/>
            <w:vAlign w:val="bottom"/>
            <w:hideMark/>
          </w:tcPr>
          <w:p w14:paraId="2FB1C7A6" w14:textId="77777777" w:rsidR="00BC408B" w:rsidRPr="00BC408B" w:rsidRDefault="00BC408B" w:rsidP="00BC408B">
            <w:pPr>
              <w:pStyle w:val="BodyText"/>
              <w:spacing w:after="0"/>
              <w:rPr>
                <w:rFonts w:ascii="Arial Narrow" w:hAnsi="Arial Narrow"/>
                <w:b/>
                <w:sz w:val="20"/>
                <w:lang w:val="en-US"/>
              </w:rPr>
            </w:pPr>
            <w:r w:rsidRPr="00BC408B">
              <w:rPr>
                <w:rFonts w:ascii="Arial Narrow" w:hAnsi="Arial Narrow"/>
                <w:b/>
                <w:sz w:val="20"/>
                <w:lang w:val="en-US"/>
              </w:rPr>
              <w:t>Total</w:t>
            </w:r>
          </w:p>
        </w:tc>
        <w:tc>
          <w:tcPr>
            <w:tcW w:w="1830" w:type="dxa"/>
            <w:tcBorders>
              <w:top w:val="single" w:sz="4" w:space="0" w:color="auto"/>
              <w:left w:val="single" w:sz="4" w:space="0" w:color="auto"/>
              <w:bottom w:val="single" w:sz="4" w:space="0" w:color="auto"/>
            </w:tcBorders>
            <w:shd w:val="clear" w:color="auto" w:fill="auto"/>
            <w:noWrap/>
            <w:vAlign w:val="bottom"/>
            <w:hideMark/>
          </w:tcPr>
          <w:p w14:paraId="5244E872" w14:textId="77777777" w:rsidR="00BC408B" w:rsidRPr="00BC408B" w:rsidRDefault="00BC408B" w:rsidP="009E5737">
            <w:pPr>
              <w:pStyle w:val="BodyText"/>
              <w:spacing w:after="0"/>
              <w:jc w:val="right"/>
              <w:rPr>
                <w:rFonts w:ascii="Arial Narrow" w:hAnsi="Arial Narrow"/>
                <w:b/>
                <w:sz w:val="20"/>
                <w:lang w:val="en-US"/>
              </w:rPr>
            </w:pPr>
            <w:r w:rsidRPr="00BC408B">
              <w:rPr>
                <w:rFonts w:ascii="Arial Narrow" w:hAnsi="Arial Narrow"/>
                <w:b/>
                <w:sz w:val="20"/>
                <w:lang w:val="en-US"/>
              </w:rPr>
              <w:t>1</w:t>
            </w:r>
          </w:p>
        </w:tc>
      </w:tr>
    </w:tbl>
    <w:p w14:paraId="01C55C98" w14:textId="5CBEE0A5" w:rsidR="00BC408B" w:rsidRPr="00BC408B" w:rsidRDefault="00BC408B" w:rsidP="00BC408B">
      <w:pPr>
        <w:pStyle w:val="BodyText"/>
      </w:pPr>
    </w:p>
    <w:p w14:paraId="57D56762" w14:textId="77777777" w:rsidR="000D335E" w:rsidRPr="00E33B05" w:rsidRDefault="000D335E" w:rsidP="000D335E">
      <w:pPr>
        <w:pStyle w:val="Heading6"/>
      </w:pPr>
      <w:r w:rsidRPr="00E33B05">
        <w:t xml:space="preserve">Mean </w:t>
      </w:r>
      <w:r>
        <w:t>p</w:t>
      </w:r>
      <w:r w:rsidRPr="00E33B05">
        <w:t xml:space="preserve">ercentage of </w:t>
      </w:r>
      <w:r>
        <w:t>f</w:t>
      </w:r>
      <w:r w:rsidRPr="00E33B05">
        <w:t xml:space="preserve">emale </w:t>
      </w:r>
      <w:r>
        <w:t>e</w:t>
      </w:r>
      <w:r w:rsidRPr="00E33B05">
        <w:t xml:space="preserve">mployees </w:t>
      </w:r>
      <w:r>
        <w:t>across</w:t>
      </w:r>
      <w:r w:rsidRPr="00E33B05">
        <w:t xml:space="preserve"> </w:t>
      </w:r>
      <w:r>
        <w:t>f</w:t>
      </w:r>
      <w:r w:rsidRPr="00E33B05">
        <w:t xml:space="preserve">ull </w:t>
      </w:r>
      <w:r>
        <w:t>s</w:t>
      </w:r>
      <w:r w:rsidRPr="00E33B05">
        <w:t>ample</w:t>
      </w:r>
    </w:p>
    <w:p w14:paraId="5D53CA84" w14:textId="77777777" w:rsidR="00BC408B" w:rsidRPr="00BC408B" w:rsidRDefault="00BC408B" w:rsidP="00BC408B">
      <w:pPr>
        <w:pStyle w:val="BodyText"/>
        <w:rPr>
          <w:lang w:val="en-US"/>
        </w:rPr>
      </w:pPr>
      <w:proofErr w:type="spellStart"/>
      <w:proofErr w:type="gramStart"/>
      <w:r w:rsidRPr="00BC408B">
        <w:rPr>
          <w:lang w:val="en-US"/>
        </w:rPr>
        <w:t>svy</w:t>
      </w:r>
      <w:proofErr w:type="spellEnd"/>
      <w:proofErr w:type="gramEnd"/>
      <w:r w:rsidRPr="00BC408B">
        <w:rPr>
          <w:lang w:val="en-US"/>
        </w:rPr>
        <w:t xml:space="preserve">: mean q7_pct </w:t>
      </w:r>
    </w:p>
    <w:p w14:paraId="1184404D" w14:textId="77777777" w:rsidR="000D335E" w:rsidRPr="00BC408B" w:rsidRDefault="000D335E" w:rsidP="000D335E">
      <w:pPr>
        <w:pStyle w:val="Heading6"/>
      </w:pPr>
      <w:r w:rsidRPr="00BC408B">
        <w:t xml:space="preserve">Industry frequencies </w:t>
      </w:r>
      <w:r>
        <w:t>on</w:t>
      </w:r>
      <w:r w:rsidRPr="00BC408B">
        <w:t xml:space="preserve"> subsample of worksites that self-report being covered by FMLA</w:t>
      </w:r>
    </w:p>
    <w:p w14:paraId="1FE2985B" w14:textId="77777777" w:rsidR="00BC408B" w:rsidRPr="00BC408B" w:rsidRDefault="00BC408B" w:rsidP="00BC408B">
      <w:pPr>
        <w:pStyle w:val="BodyText"/>
        <w:rPr>
          <w:lang w:val="en-US"/>
        </w:rPr>
      </w:pPr>
      <w:proofErr w:type="spellStart"/>
      <w:proofErr w:type="gramStart"/>
      <w:r w:rsidRPr="00BC408B">
        <w:rPr>
          <w:lang w:val="en-US"/>
        </w:rPr>
        <w:t>svy</w:t>
      </w:r>
      <w:proofErr w:type="spellEnd"/>
      <w:proofErr w:type="gramEnd"/>
      <w:r w:rsidRPr="00BC408B">
        <w:rPr>
          <w:lang w:val="en-US"/>
        </w:rPr>
        <w:t xml:space="preserve">, </w:t>
      </w:r>
      <w:proofErr w:type="spellStart"/>
      <w:r w:rsidRPr="00BC408B">
        <w:rPr>
          <w:lang w:val="en-US"/>
        </w:rPr>
        <w:t>subpop</w:t>
      </w:r>
      <w:proofErr w:type="spellEnd"/>
      <w:r w:rsidRPr="00BC408B">
        <w:rPr>
          <w:lang w:val="en-US"/>
        </w:rPr>
        <w:t xml:space="preserve">(if </w:t>
      </w:r>
      <w:proofErr w:type="spellStart"/>
      <w:r w:rsidRPr="00BC408B">
        <w:rPr>
          <w:lang w:val="en-US"/>
        </w:rPr>
        <w:t>covered_self_reported</w:t>
      </w:r>
      <w:proofErr w:type="spellEnd"/>
      <w:r w:rsidRPr="00BC408B">
        <w:rPr>
          <w:lang w:val="en-US"/>
        </w:rPr>
        <w:t>==1): tab q4_cat</w:t>
      </w:r>
    </w:p>
    <w:p w14:paraId="10A3F927" w14:textId="77777777" w:rsidR="000D335E" w:rsidRPr="00BC408B" w:rsidRDefault="000D335E" w:rsidP="000D335E">
      <w:pPr>
        <w:pStyle w:val="Heading6"/>
      </w:pPr>
      <w:r w:rsidRPr="00BC408B">
        <w:t>Mean percentage of female employees by self-reported FMLA coverage status</w:t>
      </w:r>
    </w:p>
    <w:p w14:paraId="4020F050" w14:textId="6D20394D" w:rsidR="00BC408B" w:rsidRPr="00BC408B" w:rsidRDefault="00BC408B" w:rsidP="00BC408B">
      <w:pPr>
        <w:pStyle w:val="BodyText"/>
        <w:rPr>
          <w:lang w:val="en-US"/>
        </w:rPr>
      </w:pPr>
      <w:proofErr w:type="spellStart"/>
      <w:proofErr w:type="gramStart"/>
      <w:r w:rsidRPr="00BC408B">
        <w:rPr>
          <w:lang w:val="en-US"/>
        </w:rPr>
        <w:t>svy</w:t>
      </w:r>
      <w:proofErr w:type="spellEnd"/>
      <w:proofErr w:type="gramEnd"/>
      <w:r w:rsidRPr="00BC408B">
        <w:rPr>
          <w:lang w:val="en-US"/>
        </w:rPr>
        <w:t>: mean q7_pct, over(</w:t>
      </w:r>
      <w:proofErr w:type="spellStart"/>
      <w:r w:rsidRPr="00BC408B">
        <w:rPr>
          <w:lang w:val="en-US"/>
        </w:rPr>
        <w:t>covered_self_reported</w:t>
      </w:r>
      <w:proofErr w:type="spellEnd"/>
      <w:r w:rsidRPr="00BC408B">
        <w:rPr>
          <w:lang w:val="en-US"/>
        </w:rPr>
        <w:t xml:space="preserve">) </w:t>
      </w:r>
    </w:p>
    <w:p w14:paraId="03BA19A5" w14:textId="7FD9769E" w:rsidR="00BC408B" w:rsidRPr="00BC408B" w:rsidRDefault="00BC408B" w:rsidP="00424EC7">
      <w:pPr>
        <w:pStyle w:val="Heading5"/>
      </w:pPr>
      <w:r w:rsidRPr="00BC408B">
        <w:t>Applying Employee Weights</w:t>
      </w:r>
    </w:p>
    <w:p w14:paraId="157691C8" w14:textId="77777777" w:rsidR="00BC408B" w:rsidRPr="00BC408B" w:rsidRDefault="00BC408B" w:rsidP="00BC408B">
      <w:pPr>
        <w:pStyle w:val="BodyText"/>
        <w:rPr>
          <w:lang w:val="en-US"/>
        </w:rPr>
      </w:pPr>
      <w:r w:rsidRPr="00BC408B">
        <w:rPr>
          <w:lang w:val="en-US"/>
        </w:rPr>
        <w:t>Appropriate code to run the analysis applying employee weights in Stata follows.</w:t>
      </w:r>
    </w:p>
    <w:p w14:paraId="6161BD78" w14:textId="77777777" w:rsidR="00BC408B" w:rsidRPr="00BC408B" w:rsidRDefault="00BC408B" w:rsidP="00BC408B">
      <w:pPr>
        <w:pStyle w:val="BodyText"/>
        <w:rPr>
          <w:lang w:val="en-US"/>
        </w:rPr>
      </w:pPr>
      <w:r w:rsidRPr="00BC408B">
        <w:rPr>
          <w:lang w:val="en-US"/>
        </w:rPr>
        <w:t>Use the following “settings” for each of the analyses that follow:</w:t>
      </w:r>
    </w:p>
    <w:p w14:paraId="7DAE9941" w14:textId="77777777" w:rsidR="00BC408B" w:rsidRPr="00BC408B" w:rsidRDefault="00BC408B" w:rsidP="00BC408B">
      <w:pPr>
        <w:pStyle w:val="BodyText"/>
        <w:rPr>
          <w:lang w:val="en-US"/>
        </w:rPr>
      </w:pPr>
      <w:proofErr w:type="spellStart"/>
      <w:proofErr w:type="gramStart"/>
      <w:r w:rsidRPr="00BC408B">
        <w:rPr>
          <w:lang w:val="en-US"/>
        </w:rPr>
        <w:t>svyset</w:t>
      </w:r>
      <w:proofErr w:type="spellEnd"/>
      <w:proofErr w:type="gramEnd"/>
      <w:r w:rsidRPr="00BC408B">
        <w:rPr>
          <w:lang w:val="en-US"/>
        </w:rPr>
        <w:t xml:space="preserve"> [pw=</w:t>
      </w:r>
      <w:proofErr w:type="spellStart"/>
      <w:r w:rsidRPr="00BC408B">
        <w:rPr>
          <w:lang w:val="en-US"/>
        </w:rPr>
        <w:t>emp_wt</w:t>
      </w:r>
      <w:proofErr w:type="spellEnd"/>
      <w:r w:rsidRPr="00BC408B">
        <w:rPr>
          <w:lang w:val="en-US"/>
        </w:rPr>
        <w:t xml:space="preserve">], </w:t>
      </w:r>
      <w:proofErr w:type="spellStart"/>
      <w:r w:rsidRPr="00BC408B">
        <w:rPr>
          <w:lang w:val="en-US"/>
        </w:rPr>
        <w:t>vce</w:t>
      </w:r>
      <w:proofErr w:type="spellEnd"/>
      <w:r w:rsidRPr="00BC408B">
        <w:rPr>
          <w:lang w:val="en-US"/>
        </w:rPr>
        <w:t xml:space="preserve">(bootstrap) </w:t>
      </w:r>
      <w:proofErr w:type="spellStart"/>
      <w:r w:rsidRPr="00BC408B">
        <w:rPr>
          <w:lang w:val="en-US"/>
        </w:rPr>
        <w:t>bsrw</w:t>
      </w:r>
      <w:proofErr w:type="spellEnd"/>
      <w:r w:rsidRPr="00BC408B">
        <w:rPr>
          <w:lang w:val="en-US"/>
        </w:rPr>
        <w:t>(</w:t>
      </w:r>
      <w:proofErr w:type="spellStart"/>
      <w:r w:rsidRPr="00BC408B">
        <w:rPr>
          <w:lang w:val="en-US"/>
        </w:rPr>
        <w:t>bootbtrap_emp_wt</w:t>
      </w:r>
      <w:proofErr w:type="spellEnd"/>
      <w:r w:rsidRPr="00BC408B">
        <w:rPr>
          <w:lang w:val="en-US"/>
        </w:rPr>
        <w:t xml:space="preserve">*) </w:t>
      </w:r>
      <w:proofErr w:type="spellStart"/>
      <w:r w:rsidRPr="00BC408B">
        <w:rPr>
          <w:lang w:val="en-US"/>
        </w:rPr>
        <w:t>mse</w:t>
      </w:r>
      <w:proofErr w:type="spellEnd"/>
    </w:p>
    <w:p w14:paraId="0F2EA62D" w14:textId="27908051" w:rsidR="009E5737" w:rsidRDefault="00BC408B" w:rsidP="00BC408B">
      <w:pPr>
        <w:pStyle w:val="BodyText"/>
        <w:rPr>
          <w:lang w:val="en-US"/>
        </w:rPr>
      </w:pPr>
      <w:r w:rsidRPr="00BC408B">
        <w:rPr>
          <w:lang w:val="en-US"/>
        </w:rPr>
        <w:t>As noted, each of the following analyses needs to be preceded by the employee weight “settings” statement above.</w:t>
      </w:r>
    </w:p>
    <w:p w14:paraId="6D975853" w14:textId="77777777" w:rsidR="009E5737" w:rsidRDefault="009E5737">
      <w:pPr>
        <w:spacing w:after="0"/>
      </w:pPr>
      <w:r>
        <w:br w:type="page"/>
      </w:r>
    </w:p>
    <w:p w14:paraId="4EC43F09" w14:textId="77777777" w:rsidR="000D335E" w:rsidRPr="00B040F8" w:rsidRDefault="000D335E" w:rsidP="000D335E">
      <w:pPr>
        <w:pStyle w:val="Heading6"/>
      </w:pPr>
      <w:r w:rsidRPr="00B040F8">
        <w:lastRenderedPageBreak/>
        <w:t xml:space="preserve">Industry frequencies </w:t>
      </w:r>
      <w:r>
        <w:t>on</w:t>
      </w:r>
      <w:r w:rsidRPr="00B040F8">
        <w:t xml:space="preserve"> full sample</w:t>
      </w:r>
    </w:p>
    <w:p w14:paraId="15953634" w14:textId="77777777" w:rsidR="009E5737" w:rsidRPr="009E5737" w:rsidRDefault="009E5737" w:rsidP="009E5737">
      <w:pPr>
        <w:pStyle w:val="BodyText"/>
        <w:rPr>
          <w:lang w:val="en-US"/>
        </w:rPr>
      </w:pPr>
      <w:proofErr w:type="spellStart"/>
      <w:proofErr w:type="gramStart"/>
      <w:r w:rsidRPr="009E5737">
        <w:rPr>
          <w:lang w:val="en-US"/>
        </w:rPr>
        <w:t>svy</w:t>
      </w:r>
      <w:proofErr w:type="spellEnd"/>
      <w:proofErr w:type="gramEnd"/>
      <w:r w:rsidRPr="009E5737">
        <w:rPr>
          <w:lang w:val="en-US"/>
        </w:rPr>
        <w:t xml:space="preserve">: tab q4_cat </w:t>
      </w:r>
    </w:p>
    <w:p w14:paraId="3B120FF9" w14:textId="77777777" w:rsidR="009E5737" w:rsidRPr="009E5737" w:rsidRDefault="009E5737" w:rsidP="009E5737">
      <w:pPr>
        <w:pStyle w:val="BodyText"/>
        <w:spacing w:after="0"/>
        <w:rPr>
          <w:lang w:val="en-US"/>
        </w:rPr>
      </w:pPr>
      <w:r w:rsidRPr="009E5737">
        <w:rPr>
          <w:lang w:val="en-US"/>
        </w:rPr>
        <w:t xml:space="preserve">Number of </w:t>
      </w:r>
      <w:proofErr w:type="spellStart"/>
      <w:r w:rsidRPr="009E5737">
        <w:rPr>
          <w:lang w:val="en-US"/>
        </w:rPr>
        <w:t>obs</w:t>
      </w:r>
      <w:proofErr w:type="spellEnd"/>
      <w:r w:rsidRPr="009E5737">
        <w:rPr>
          <w:lang w:val="en-US"/>
        </w:rPr>
        <w:tab/>
        <w:t>=</w:t>
      </w:r>
      <w:r w:rsidRPr="009E5737">
        <w:rPr>
          <w:lang w:val="en-US"/>
        </w:rPr>
        <w:tab/>
        <w:t>2,206</w:t>
      </w:r>
    </w:p>
    <w:p w14:paraId="3EFB9834" w14:textId="77777777" w:rsidR="009E5737" w:rsidRPr="009E5737" w:rsidRDefault="009E5737" w:rsidP="009E5737">
      <w:pPr>
        <w:pStyle w:val="BodyText"/>
        <w:spacing w:after="0"/>
        <w:rPr>
          <w:lang w:val="en-US"/>
        </w:rPr>
      </w:pPr>
      <w:r w:rsidRPr="009E5737">
        <w:rPr>
          <w:lang w:val="en-US"/>
        </w:rPr>
        <w:t>Population size</w:t>
      </w:r>
      <w:r w:rsidRPr="009E5737">
        <w:rPr>
          <w:lang w:val="en-US"/>
        </w:rPr>
        <w:tab/>
        <w:t>=</w:t>
      </w:r>
      <w:r w:rsidRPr="009E5737">
        <w:rPr>
          <w:lang w:val="en-US"/>
        </w:rPr>
        <w:tab/>
        <w:t>114,066,684</w:t>
      </w:r>
    </w:p>
    <w:p w14:paraId="550AC713" w14:textId="77777777" w:rsidR="009E5737" w:rsidRPr="009E5737" w:rsidRDefault="009E5737" w:rsidP="009E5737">
      <w:pPr>
        <w:pStyle w:val="BodyText"/>
        <w:rPr>
          <w:lang w:val="en-US"/>
        </w:rPr>
      </w:pPr>
      <w:r w:rsidRPr="009E5737">
        <w:rPr>
          <w:lang w:val="en-US"/>
        </w:rPr>
        <w:t>Replications</w:t>
      </w:r>
      <w:r w:rsidRPr="009E5737">
        <w:rPr>
          <w:lang w:val="en-US"/>
        </w:rPr>
        <w:tab/>
        <w:t>=</w:t>
      </w:r>
      <w:r w:rsidRPr="009E5737">
        <w:rPr>
          <w:lang w:val="en-US"/>
        </w:rPr>
        <w:tab/>
        <w:t>250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89"/>
        <w:gridCol w:w="1689"/>
      </w:tblGrid>
      <w:tr w:rsidR="009E5737" w:rsidRPr="009E5737" w14:paraId="6E4E9ECC" w14:textId="77777777" w:rsidTr="009E5737">
        <w:trPr>
          <w:trHeight w:val="256"/>
        </w:trPr>
        <w:tc>
          <w:tcPr>
            <w:tcW w:w="1689" w:type="dxa"/>
            <w:tcBorders>
              <w:top w:val="single" w:sz="4" w:space="0" w:color="auto"/>
              <w:left w:val="single" w:sz="4" w:space="0" w:color="auto"/>
              <w:bottom w:val="single" w:sz="4" w:space="0" w:color="auto"/>
              <w:right w:val="single" w:sz="4" w:space="0" w:color="auto"/>
            </w:tcBorders>
            <w:shd w:val="clear" w:color="auto" w:fill="48A9C5" w:themeFill="accent1"/>
          </w:tcPr>
          <w:p w14:paraId="7959604B" w14:textId="2AAFEEAF" w:rsidR="009E5737" w:rsidRPr="009E5737" w:rsidRDefault="009E5737" w:rsidP="009E5737">
            <w:pPr>
              <w:pStyle w:val="BodyText"/>
              <w:spacing w:after="0"/>
              <w:jc w:val="center"/>
              <w:rPr>
                <w:rFonts w:ascii="Arial Narrow" w:hAnsi="Arial Narrow"/>
                <w:b/>
                <w:color w:val="FFFFFF" w:themeColor="background1"/>
                <w:sz w:val="20"/>
                <w:lang w:val="en-US"/>
              </w:rPr>
            </w:pPr>
            <w:r w:rsidRPr="009E5737">
              <w:rPr>
                <w:rFonts w:ascii="Arial Narrow" w:hAnsi="Arial Narrow"/>
                <w:b/>
                <w:color w:val="FFFFFF" w:themeColor="background1"/>
                <w:sz w:val="20"/>
                <w:lang w:val="en-US"/>
              </w:rPr>
              <w:t>Organization's Main</w:t>
            </w:r>
            <w:r w:rsidR="00AA41AB">
              <w:rPr>
                <w:rFonts w:ascii="Arial Narrow" w:hAnsi="Arial Narrow"/>
                <w:b/>
                <w:color w:val="FFFFFF" w:themeColor="background1"/>
                <w:sz w:val="20"/>
                <w:lang w:val="en-US"/>
              </w:rPr>
              <w:t xml:space="preserve"> </w:t>
            </w:r>
            <w:r w:rsidRPr="009E5737">
              <w:rPr>
                <w:rFonts w:ascii="Arial Narrow" w:hAnsi="Arial Narrow"/>
                <w:b/>
                <w:color w:val="FFFFFF" w:themeColor="background1"/>
                <w:sz w:val="20"/>
                <w:lang w:val="en-US"/>
              </w:rPr>
              <w:t>Industry</w:t>
            </w:r>
          </w:p>
        </w:tc>
        <w:tc>
          <w:tcPr>
            <w:tcW w:w="1689" w:type="dxa"/>
            <w:tcBorders>
              <w:top w:val="single" w:sz="4" w:space="0" w:color="auto"/>
              <w:left w:val="single" w:sz="4" w:space="0" w:color="auto"/>
              <w:bottom w:val="single" w:sz="4" w:space="0" w:color="auto"/>
            </w:tcBorders>
            <w:shd w:val="clear" w:color="auto" w:fill="48A9C5" w:themeFill="accent1"/>
          </w:tcPr>
          <w:p w14:paraId="74D018A6" w14:textId="4638C222" w:rsidR="009E5737" w:rsidRPr="009E5737" w:rsidRDefault="009E5737" w:rsidP="009E5737">
            <w:pPr>
              <w:pStyle w:val="BodyText"/>
              <w:spacing w:after="0"/>
              <w:jc w:val="center"/>
              <w:rPr>
                <w:rFonts w:ascii="Arial Narrow" w:hAnsi="Arial Narrow"/>
                <w:b/>
                <w:color w:val="FFFFFF" w:themeColor="background1"/>
                <w:sz w:val="20"/>
                <w:lang w:val="en-US"/>
              </w:rPr>
            </w:pPr>
            <w:r w:rsidRPr="009E5737">
              <w:rPr>
                <w:rFonts w:ascii="Arial Narrow" w:hAnsi="Arial Narrow"/>
                <w:b/>
                <w:color w:val="FFFFFF" w:themeColor="background1"/>
                <w:sz w:val="20"/>
                <w:lang w:val="en-US"/>
              </w:rPr>
              <w:t>Proportion</w:t>
            </w:r>
          </w:p>
        </w:tc>
      </w:tr>
      <w:tr w:rsidR="009E5737" w:rsidRPr="009E5737" w14:paraId="335560EF" w14:textId="77777777" w:rsidTr="009E5737">
        <w:trPr>
          <w:trHeight w:val="268"/>
        </w:trPr>
        <w:tc>
          <w:tcPr>
            <w:tcW w:w="1689" w:type="dxa"/>
            <w:tcBorders>
              <w:top w:val="single" w:sz="4" w:space="0" w:color="auto"/>
              <w:left w:val="single" w:sz="4" w:space="0" w:color="auto"/>
              <w:bottom w:val="nil"/>
              <w:right w:val="single" w:sz="4" w:space="0" w:color="auto"/>
            </w:tcBorders>
            <w:shd w:val="clear" w:color="auto" w:fill="DAEDF3" w:themeFill="accent1" w:themeFillTint="33"/>
          </w:tcPr>
          <w:p w14:paraId="592EFA1C" w14:textId="77777777" w:rsidR="009E5737" w:rsidRPr="009E5737" w:rsidRDefault="009E5737" w:rsidP="009E5737">
            <w:pPr>
              <w:pStyle w:val="BodyText"/>
              <w:spacing w:after="0"/>
              <w:rPr>
                <w:rFonts w:ascii="Arial Narrow" w:hAnsi="Arial Narrow"/>
                <w:sz w:val="20"/>
                <w:lang w:val="en-US"/>
              </w:rPr>
            </w:pPr>
            <w:r w:rsidRPr="009E5737">
              <w:rPr>
                <w:rFonts w:ascii="Arial Narrow" w:hAnsi="Arial Narrow"/>
                <w:sz w:val="20"/>
                <w:lang w:val="en-US"/>
              </w:rPr>
              <w:t>Manufacturing</w:t>
            </w:r>
          </w:p>
        </w:tc>
        <w:tc>
          <w:tcPr>
            <w:tcW w:w="1689" w:type="dxa"/>
            <w:tcBorders>
              <w:top w:val="single" w:sz="4" w:space="0" w:color="auto"/>
              <w:left w:val="single" w:sz="4" w:space="0" w:color="auto"/>
            </w:tcBorders>
          </w:tcPr>
          <w:p w14:paraId="7A3DE3B4" w14:textId="77777777" w:rsidR="009E5737" w:rsidRPr="009E5737" w:rsidRDefault="009E5737" w:rsidP="009E5737">
            <w:pPr>
              <w:pStyle w:val="BodyText"/>
              <w:spacing w:after="0"/>
              <w:jc w:val="right"/>
              <w:rPr>
                <w:rFonts w:ascii="Arial Narrow" w:hAnsi="Arial Narrow"/>
                <w:sz w:val="20"/>
                <w:lang w:val="en-US"/>
              </w:rPr>
            </w:pPr>
            <w:r w:rsidRPr="009E5737">
              <w:rPr>
                <w:rFonts w:ascii="Arial Narrow" w:hAnsi="Arial Narrow"/>
                <w:sz w:val="20"/>
                <w:lang w:val="en-US"/>
              </w:rPr>
              <w:t>.166</w:t>
            </w:r>
          </w:p>
        </w:tc>
      </w:tr>
      <w:tr w:rsidR="009E5737" w:rsidRPr="009E5737" w14:paraId="2F568820" w14:textId="77777777" w:rsidTr="009E5737">
        <w:trPr>
          <w:trHeight w:val="256"/>
        </w:trPr>
        <w:tc>
          <w:tcPr>
            <w:tcW w:w="1689" w:type="dxa"/>
            <w:tcBorders>
              <w:top w:val="nil"/>
              <w:left w:val="single" w:sz="4" w:space="0" w:color="auto"/>
              <w:bottom w:val="nil"/>
              <w:right w:val="single" w:sz="4" w:space="0" w:color="auto"/>
            </w:tcBorders>
            <w:shd w:val="clear" w:color="auto" w:fill="DAEDF3" w:themeFill="accent1" w:themeFillTint="33"/>
          </w:tcPr>
          <w:p w14:paraId="6D748411" w14:textId="77777777" w:rsidR="009E5737" w:rsidRPr="009E5737" w:rsidRDefault="009E5737" w:rsidP="009E5737">
            <w:pPr>
              <w:pStyle w:val="BodyText"/>
              <w:spacing w:after="0"/>
              <w:rPr>
                <w:rFonts w:ascii="Arial Narrow" w:hAnsi="Arial Narrow"/>
                <w:sz w:val="20"/>
                <w:lang w:val="en-US"/>
              </w:rPr>
            </w:pPr>
            <w:r w:rsidRPr="009E5737">
              <w:rPr>
                <w:rFonts w:ascii="Arial Narrow" w:hAnsi="Arial Narrow"/>
                <w:sz w:val="20"/>
                <w:lang w:val="en-US"/>
              </w:rPr>
              <w:t>Retail</w:t>
            </w:r>
          </w:p>
        </w:tc>
        <w:tc>
          <w:tcPr>
            <w:tcW w:w="1689" w:type="dxa"/>
            <w:tcBorders>
              <w:left w:val="single" w:sz="4" w:space="0" w:color="auto"/>
            </w:tcBorders>
          </w:tcPr>
          <w:p w14:paraId="29FB78D0" w14:textId="77777777" w:rsidR="009E5737" w:rsidRPr="009E5737" w:rsidRDefault="009E5737" w:rsidP="009E5737">
            <w:pPr>
              <w:pStyle w:val="BodyText"/>
              <w:spacing w:after="0"/>
              <w:jc w:val="right"/>
              <w:rPr>
                <w:rFonts w:ascii="Arial Narrow" w:hAnsi="Arial Narrow"/>
                <w:sz w:val="20"/>
                <w:lang w:val="en-US"/>
              </w:rPr>
            </w:pPr>
            <w:r w:rsidRPr="009E5737">
              <w:rPr>
                <w:rFonts w:ascii="Arial Narrow" w:hAnsi="Arial Narrow"/>
                <w:sz w:val="20"/>
                <w:lang w:val="en-US"/>
              </w:rPr>
              <w:t>.2266</w:t>
            </w:r>
          </w:p>
        </w:tc>
      </w:tr>
      <w:tr w:rsidR="009E5737" w:rsidRPr="009E5737" w14:paraId="5512CD06" w14:textId="77777777" w:rsidTr="009E5737">
        <w:trPr>
          <w:trHeight w:val="268"/>
        </w:trPr>
        <w:tc>
          <w:tcPr>
            <w:tcW w:w="1689" w:type="dxa"/>
            <w:tcBorders>
              <w:top w:val="nil"/>
              <w:left w:val="single" w:sz="4" w:space="0" w:color="auto"/>
              <w:bottom w:val="nil"/>
              <w:right w:val="single" w:sz="4" w:space="0" w:color="auto"/>
            </w:tcBorders>
            <w:shd w:val="clear" w:color="auto" w:fill="DAEDF3" w:themeFill="accent1" w:themeFillTint="33"/>
          </w:tcPr>
          <w:p w14:paraId="25B0EED2" w14:textId="77777777" w:rsidR="009E5737" w:rsidRPr="009E5737" w:rsidRDefault="009E5737" w:rsidP="009E5737">
            <w:pPr>
              <w:pStyle w:val="BodyText"/>
              <w:spacing w:after="0"/>
              <w:rPr>
                <w:rFonts w:ascii="Arial Narrow" w:hAnsi="Arial Narrow"/>
                <w:sz w:val="20"/>
                <w:lang w:val="en-US"/>
              </w:rPr>
            </w:pPr>
            <w:r w:rsidRPr="009E5737">
              <w:rPr>
                <w:rFonts w:ascii="Arial Narrow" w:hAnsi="Arial Narrow"/>
                <w:sz w:val="20"/>
                <w:lang w:val="en-US"/>
              </w:rPr>
              <w:t>Services</w:t>
            </w:r>
          </w:p>
        </w:tc>
        <w:tc>
          <w:tcPr>
            <w:tcW w:w="1689" w:type="dxa"/>
            <w:tcBorders>
              <w:left w:val="single" w:sz="4" w:space="0" w:color="auto"/>
            </w:tcBorders>
          </w:tcPr>
          <w:p w14:paraId="0FC6B4CD" w14:textId="77777777" w:rsidR="009E5737" w:rsidRPr="009E5737" w:rsidRDefault="009E5737" w:rsidP="009E5737">
            <w:pPr>
              <w:pStyle w:val="BodyText"/>
              <w:spacing w:after="0"/>
              <w:jc w:val="right"/>
              <w:rPr>
                <w:rFonts w:ascii="Arial Narrow" w:hAnsi="Arial Narrow"/>
                <w:sz w:val="20"/>
                <w:lang w:val="en-US"/>
              </w:rPr>
            </w:pPr>
            <w:r w:rsidRPr="009E5737">
              <w:rPr>
                <w:rFonts w:ascii="Arial Narrow" w:hAnsi="Arial Narrow"/>
                <w:sz w:val="20"/>
                <w:lang w:val="en-US"/>
              </w:rPr>
              <w:t>.2522</w:t>
            </w:r>
          </w:p>
        </w:tc>
      </w:tr>
      <w:tr w:rsidR="009E5737" w:rsidRPr="009E5737" w14:paraId="7AA9EB6F" w14:textId="77777777" w:rsidTr="009E5737">
        <w:trPr>
          <w:trHeight w:val="256"/>
        </w:trPr>
        <w:tc>
          <w:tcPr>
            <w:tcW w:w="1689" w:type="dxa"/>
            <w:tcBorders>
              <w:top w:val="nil"/>
              <w:left w:val="single" w:sz="4" w:space="0" w:color="auto"/>
              <w:bottom w:val="single" w:sz="4" w:space="0" w:color="auto"/>
              <w:right w:val="single" w:sz="4" w:space="0" w:color="auto"/>
            </w:tcBorders>
            <w:shd w:val="clear" w:color="auto" w:fill="DAEDF3" w:themeFill="accent1" w:themeFillTint="33"/>
          </w:tcPr>
          <w:p w14:paraId="4D5053FE" w14:textId="77777777" w:rsidR="009E5737" w:rsidRPr="009E5737" w:rsidRDefault="009E5737" w:rsidP="009E5737">
            <w:pPr>
              <w:pStyle w:val="BodyText"/>
              <w:spacing w:after="0"/>
              <w:rPr>
                <w:rFonts w:ascii="Arial Narrow" w:hAnsi="Arial Narrow"/>
                <w:sz w:val="20"/>
                <w:lang w:val="en-US"/>
              </w:rPr>
            </w:pPr>
            <w:r w:rsidRPr="009E5737">
              <w:rPr>
                <w:rFonts w:ascii="Arial Narrow" w:hAnsi="Arial Narrow"/>
                <w:sz w:val="20"/>
                <w:lang w:val="en-US"/>
              </w:rPr>
              <w:t>Other</w:t>
            </w:r>
          </w:p>
        </w:tc>
        <w:tc>
          <w:tcPr>
            <w:tcW w:w="1689" w:type="dxa"/>
            <w:tcBorders>
              <w:left w:val="single" w:sz="4" w:space="0" w:color="auto"/>
              <w:bottom w:val="single" w:sz="4" w:space="0" w:color="auto"/>
            </w:tcBorders>
          </w:tcPr>
          <w:p w14:paraId="1DB317EF" w14:textId="77777777" w:rsidR="009E5737" w:rsidRPr="009E5737" w:rsidRDefault="009E5737" w:rsidP="009E5737">
            <w:pPr>
              <w:pStyle w:val="BodyText"/>
              <w:spacing w:after="0"/>
              <w:jc w:val="right"/>
              <w:rPr>
                <w:rFonts w:ascii="Arial Narrow" w:hAnsi="Arial Narrow"/>
                <w:sz w:val="20"/>
                <w:lang w:val="en-US"/>
              </w:rPr>
            </w:pPr>
            <w:r w:rsidRPr="009E5737">
              <w:rPr>
                <w:rFonts w:ascii="Arial Narrow" w:hAnsi="Arial Narrow"/>
                <w:sz w:val="20"/>
                <w:lang w:val="en-US"/>
              </w:rPr>
              <w:t>.3552</w:t>
            </w:r>
          </w:p>
        </w:tc>
      </w:tr>
      <w:tr w:rsidR="009E5737" w:rsidRPr="009E5737" w14:paraId="30B480F4" w14:textId="77777777" w:rsidTr="009E5737">
        <w:trPr>
          <w:trHeight w:val="256"/>
        </w:trPr>
        <w:tc>
          <w:tcPr>
            <w:tcW w:w="1689" w:type="dxa"/>
            <w:tcBorders>
              <w:top w:val="single" w:sz="4" w:space="0" w:color="auto"/>
              <w:left w:val="single" w:sz="4" w:space="0" w:color="auto"/>
              <w:bottom w:val="single" w:sz="4" w:space="0" w:color="auto"/>
              <w:right w:val="single" w:sz="4" w:space="0" w:color="auto"/>
            </w:tcBorders>
            <w:shd w:val="clear" w:color="auto" w:fill="DAEDF3" w:themeFill="accent1" w:themeFillTint="33"/>
          </w:tcPr>
          <w:p w14:paraId="63BA09B1" w14:textId="2BF18FA3" w:rsidR="009E5737" w:rsidRPr="009E5737" w:rsidRDefault="009E5737" w:rsidP="009E5737">
            <w:pPr>
              <w:pStyle w:val="BodyText"/>
              <w:spacing w:after="0"/>
              <w:rPr>
                <w:rFonts w:ascii="Arial Narrow" w:hAnsi="Arial Narrow"/>
                <w:b/>
                <w:sz w:val="20"/>
                <w:lang w:val="en-US"/>
              </w:rPr>
            </w:pPr>
            <w:r w:rsidRPr="009E5737">
              <w:rPr>
                <w:rFonts w:ascii="Arial Narrow" w:hAnsi="Arial Narrow"/>
                <w:b/>
                <w:sz w:val="20"/>
                <w:lang w:val="en-US"/>
              </w:rPr>
              <w:t>Total</w:t>
            </w:r>
            <w:r w:rsidR="00AA41AB">
              <w:rPr>
                <w:rFonts w:ascii="Arial Narrow" w:hAnsi="Arial Narrow"/>
                <w:b/>
                <w:sz w:val="20"/>
                <w:lang w:val="en-US"/>
              </w:rPr>
              <w:t xml:space="preserve"> </w:t>
            </w:r>
          </w:p>
        </w:tc>
        <w:tc>
          <w:tcPr>
            <w:tcW w:w="1689" w:type="dxa"/>
            <w:tcBorders>
              <w:top w:val="single" w:sz="4" w:space="0" w:color="auto"/>
              <w:left w:val="single" w:sz="4" w:space="0" w:color="auto"/>
              <w:bottom w:val="single" w:sz="4" w:space="0" w:color="auto"/>
            </w:tcBorders>
          </w:tcPr>
          <w:p w14:paraId="7312BB9E" w14:textId="77777777" w:rsidR="009E5737" w:rsidRPr="009E5737" w:rsidRDefault="009E5737" w:rsidP="009E5737">
            <w:pPr>
              <w:pStyle w:val="BodyText"/>
              <w:spacing w:after="0"/>
              <w:jc w:val="right"/>
              <w:rPr>
                <w:rFonts w:ascii="Arial Narrow" w:hAnsi="Arial Narrow"/>
                <w:b/>
                <w:sz w:val="20"/>
                <w:lang w:val="en-US"/>
              </w:rPr>
            </w:pPr>
            <w:r w:rsidRPr="009E5737">
              <w:rPr>
                <w:rFonts w:ascii="Arial Narrow" w:hAnsi="Arial Narrow"/>
                <w:b/>
                <w:sz w:val="20"/>
                <w:lang w:val="en-US"/>
              </w:rPr>
              <w:t>1</w:t>
            </w:r>
          </w:p>
        </w:tc>
      </w:tr>
    </w:tbl>
    <w:p w14:paraId="17C3E17E" w14:textId="77777777" w:rsidR="009E5737" w:rsidRPr="009E5737" w:rsidRDefault="009E5737" w:rsidP="009E5737">
      <w:pPr>
        <w:pStyle w:val="BodyText"/>
        <w:rPr>
          <w:lang w:val="en-US"/>
        </w:rPr>
      </w:pPr>
    </w:p>
    <w:p w14:paraId="50AE51E0" w14:textId="531FF004" w:rsidR="009E5737" w:rsidRPr="009E5737" w:rsidRDefault="009E5737" w:rsidP="009E5737">
      <w:pPr>
        <w:pStyle w:val="BodyText"/>
        <w:rPr>
          <w:lang w:val="en-US"/>
        </w:rPr>
      </w:pPr>
      <w:r w:rsidRPr="009E5737">
        <w:rPr>
          <w:lang w:val="en-US"/>
        </w:rPr>
        <w:t>Key:</w:t>
      </w:r>
      <w:r w:rsidR="00AA41AB">
        <w:rPr>
          <w:lang w:val="en-US"/>
        </w:rPr>
        <w:t xml:space="preserve"> </w:t>
      </w:r>
      <w:r w:rsidRPr="009E5737">
        <w:rPr>
          <w:lang w:val="en-US"/>
        </w:rPr>
        <w:t>proportion =</w:t>
      </w:r>
      <w:r w:rsidRPr="009E5737">
        <w:rPr>
          <w:lang w:val="en-US"/>
        </w:rPr>
        <w:tab/>
        <w:t>cell proportion</w:t>
      </w:r>
    </w:p>
    <w:p w14:paraId="30EBF424" w14:textId="77777777" w:rsidR="000D335E" w:rsidRPr="00E33B05" w:rsidRDefault="000D335E" w:rsidP="000D335E">
      <w:pPr>
        <w:pStyle w:val="Heading6"/>
      </w:pPr>
      <w:r w:rsidRPr="00E33B05">
        <w:t xml:space="preserve">Mean </w:t>
      </w:r>
      <w:r>
        <w:t>p</w:t>
      </w:r>
      <w:r w:rsidRPr="00E33B05">
        <w:t xml:space="preserve">ercentage of </w:t>
      </w:r>
      <w:r>
        <w:t>f</w:t>
      </w:r>
      <w:r w:rsidRPr="00E33B05">
        <w:t xml:space="preserve">emale </w:t>
      </w:r>
      <w:r>
        <w:t>e</w:t>
      </w:r>
      <w:r w:rsidRPr="00E33B05">
        <w:t xml:space="preserve">mployees </w:t>
      </w:r>
      <w:r>
        <w:t>across</w:t>
      </w:r>
      <w:r w:rsidRPr="00E33B05">
        <w:t xml:space="preserve"> </w:t>
      </w:r>
      <w:r>
        <w:t>f</w:t>
      </w:r>
      <w:r w:rsidRPr="00E33B05">
        <w:t xml:space="preserve">ull </w:t>
      </w:r>
      <w:r>
        <w:t>s</w:t>
      </w:r>
      <w:r w:rsidRPr="00E33B05">
        <w:t>ample</w:t>
      </w:r>
    </w:p>
    <w:p w14:paraId="2DAE445F" w14:textId="77777777" w:rsidR="009E5737" w:rsidRPr="009E5737" w:rsidRDefault="009E5737" w:rsidP="009E5737">
      <w:pPr>
        <w:pStyle w:val="BodyText"/>
        <w:rPr>
          <w:lang w:val="en-US"/>
        </w:rPr>
      </w:pPr>
      <w:proofErr w:type="spellStart"/>
      <w:proofErr w:type="gramStart"/>
      <w:r w:rsidRPr="009E5737">
        <w:rPr>
          <w:lang w:val="en-US"/>
        </w:rPr>
        <w:t>svy</w:t>
      </w:r>
      <w:proofErr w:type="spellEnd"/>
      <w:proofErr w:type="gramEnd"/>
      <w:r w:rsidRPr="009E5737">
        <w:rPr>
          <w:lang w:val="en-US"/>
        </w:rPr>
        <w:t xml:space="preserve">: mean q7_pct </w:t>
      </w:r>
    </w:p>
    <w:p w14:paraId="19A395F4" w14:textId="77777777" w:rsidR="000D335E" w:rsidRPr="00BC408B" w:rsidRDefault="000D335E" w:rsidP="000D335E">
      <w:pPr>
        <w:pStyle w:val="Heading6"/>
      </w:pPr>
      <w:r w:rsidRPr="00BC408B">
        <w:t xml:space="preserve">Industry frequencies </w:t>
      </w:r>
      <w:r>
        <w:t>on</w:t>
      </w:r>
      <w:r w:rsidRPr="00BC408B">
        <w:t xml:space="preserve"> subsample of worksites that self-report being covered by FMLA</w:t>
      </w:r>
    </w:p>
    <w:p w14:paraId="22A6FFC1" w14:textId="77777777" w:rsidR="009E5737" w:rsidRPr="009E5737" w:rsidRDefault="009E5737" w:rsidP="009E5737">
      <w:pPr>
        <w:pStyle w:val="BodyText"/>
        <w:rPr>
          <w:lang w:val="en-US"/>
        </w:rPr>
      </w:pPr>
      <w:proofErr w:type="spellStart"/>
      <w:proofErr w:type="gramStart"/>
      <w:r w:rsidRPr="009E5737">
        <w:rPr>
          <w:lang w:val="en-US"/>
        </w:rPr>
        <w:t>svy</w:t>
      </w:r>
      <w:proofErr w:type="spellEnd"/>
      <w:proofErr w:type="gramEnd"/>
      <w:r w:rsidRPr="009E5737">
        <w:rPr>
          <w:lang w:val="en-US"/>
        </w:rPr>
        <w:t xml:space="preserve">, </w:t>
      </w:r>
      <w:proofErr w:type="spellStart"/>
      <w:r w:rsidRPr="009E5737">
        <w:rPr>
          <w:lang w:val="en-US"/>
        </w:rPr>
        <w:t>subpop</w:t>
      </w:r>
      <w:proofErr w:type="spellEnd"/>
      <w:r w:rsidRPr="009E5737">
        <w:rPr>
          <w:lang w:val="en-US"/>
        </w:rPr>
        <w:t xml:space="preserve">(if </w:t>
      </w:r>
      <w:proofErr w:type="spellStart"/>
      <w:r w:rsidRPr="009E5737">
        <w:rPr>
          <w:lang w:val="en-US"/>
        </w:rPr>
        <w:t>covered_self_reported</w:t>
      </w:r>
      <w:proofErr w:type="spellEnd"/>
      <w:r w:rsidRPr="009E5737" w:rsidDel="00807EBE">
        <w:rPr>
          <w:lang w:val="en-US"/>
        </w:rPr>
        <w:t xml:space="preserve"> </w:t>
      </w:r>
      <w:r w:rsidRPr="009E5737">
        <w:rPr>
          <w:lang w:val="en-US"/>
        </w:rPr>
        <w:t xml:space="preserve">==1): tab q4_cat </w:t>
      </w:r>
    </w:p>
    <w:p w14:paraId="5E8E3569" w14:textId="77777777" w:rsidR="000D335E" w:rsidRPr="00BC408B" w:rsidRDefault="000D335E" w:rsidP="000D335E">
      <w:pPr>
        <w:pStyle w:val="Heading6"/>
      </w:pPr>
      <w:r w:rsidRPr="00BC408B">
        <w:t>Mean percentage of female employees by self-reported FMLA coverage status</w:t>
      </w:r>
    </w:p>
    <w:p w14:paraId="30EC35E4" w14:textId="2E9383C6" w:rsidR="000D7B37" w:rsidRDefault="009E5737" w:rsidP="009E5737">
      <w:pPr>
        <w:pStyle w:val="BodyText"/>
      </w:pPr>
      <w:proofErr w:type="spellStart"/>
      <w:proofErr w:type="gramStart"/>
      <w:r w:rsidRPr="009E5737">
        <w:rPr>
          <w:lang w:val="en-US"/>
        </w:rPr>
        <w:t>svy</w:t>
      </w:r>
      <w:proofErr w:type="spellEnd"/>
      <w:proofErr w:type="gramEnd"/>
      <w:r w:rsidRPr="009E5737">
        <w:rPr>
          <w:lang w:val="en-US"/>
        </w:rPr>
        <w:t>: mean q7_pct, over(</w:t>
      </w:r>
      <w:proofErr w:type="spellStart"/>
      <w:r w:rsidRPr="009E5737">
        <w:rPr>
          <w:lang w:val="en-US"/>
        </w:rPr>
        <w:t>covered_self_reported</w:t>
      </w:r>
      <w:proofErr w:type="spellEnd"/>
      <w:r w:rsidRPr="009E5737">
        <w:rPr>
          <w:lang w:val="en-US"/>
        </w:rPr>
        <w:t>)</w:t>
      </w:r>
    </w:p>
    <w:p w14:paraId="5E9E66DC" w14:textId="3137311B" w:rsidR="00BC408B" w:rsidRDefault="009E5737" w:rsidP="006A2A90">
      <w:pPr>
        <w:pStyle w:val="Heading2NoNumbering"/>
      </w:pPr>
      <w:r w:rsidRPr="009E5737">
        <w:t>Section 2: Survey Context</w:t>
      </w:r>
    </w:p>
    <w:p w14:paraId="26BF4651" w14:textId="77777777" w:rsidR="009E5737" w:rsidRPr="009E5737" w:rsidRDefault="009E5737" w:rsidP="009E5737">
      <w:pPr>
        <w:pStyle w:val="BodyText"/>
        <w:rPr>
          <w:i/>
          <w:lang w:val="en-US"/>
        </w:rPr>
      </w:pPr>
      <w:r w:rsidRPr="009E5737">
        <w:rPr>
          <w:lang w:val="en-US"/>
        </w:rPr>
        <w:t>This Section provides important survey context and detailed explanations of modifications to variables in the PUF dataset. This Section begins by detailing considerations related to response option experiments and question context. The next subsection describes modifications to survey variables. The final subsection provides detailed definitions of important survey constructs.</w:t>
      </w:r>
    </w:p>
    <w:p w14:paraId="721918EF" w14:textId="77777777" w:rsidR="009E5737" w:rsidRPr="009E5737" w:rsidRDefault="009E5737" w:rsidP="006A2A90">
      <w:pPr>
        <w:pStyle w:val="Heading3NoNumbering"/>
      </w:pPr>
      <w:bookmarkStart w:id="9" w:name="_Toc31721039"/>
      <w:r w:rsidRPr="009E5737">
        <w:t>Response Option Experiments</w:t>
      </w:r>
      <w:bookmarkEnd w:id="9"/>
    </w:p>
    <w:p w14:paraId="47DE826F" w14:textId="77777777" w:rsidR="009E5737" w:rsidRPr="009E5737" w:rsidRDefault="009E5737" w:rsidP="009E5737">
      <w:pPr>
        <w:pStyle w:val="BodyText"/>
        <w:rPr>
          <w:lang w:val="en-US"/>
        </w:rPr>
      </w:pPr>
      <w:r w:rsidRPr="009E5737">
        <w:rPr>
          <w:lang w:val="en-US"/>
        </w:rPr>
        <w:t>A few questions on the 2018 FMLA Worksite Survey were the subject of wording or ordering experiments. In these experiment questions, response options could be presented to a given respondent in one of two slightly different ways. The two sets of response options either had slightly different labels (for example, “Most (half or more)” versus “Half or more”), or they were presented in a slightly different order (for example, “Neither positive nor negative” could either be presented last among the options, or between the options “Somewhat positive” and “Somewhat negative”). The experiments involved questions Q11, Q14a, Q25, Q27, Q52, and Q56. Each respondent was randomly assigned once, to see either the first set of response options for all experiment questions or to see the second set of response options for all experiment questions. The results of these response option experiments are described in the FMLA 2018 Methodology Report.</w:t>
      </w:r>
    </w:p>
    <w:p w14:paraId="05BFC7DE" w14:textId="77777777" w:rsidR="009E5737" w:rsidRPr="009E5737" w:rsidRDefault="009E5737" w:rsidP="009E5737">
      <w:pPr>
        <w:pStyle w:val="BodyText"/>
        <w:rPr>
          <w:lang w:val="en-US"/>
        </w:rPr>
      </w:pPr>
      <w:r w:rsidRPr="009E5737">
        <w:rPr>
          <w:lang w:val="en-US"/>
        </w:rPr>
        <w:t xml:space="preserve">In the PUF, the </w:t>
      </w:r>
      <w:r w:rsidRPr="009E5737">
        <w:rPr>
          <w:i/>
          <w:lang w:val="en-US"/>
        </w:rPr>
        <w:t xml:space="preserve">RESPONSE_OPTION_VARIANT </w:t>
      </w:r>
      <w:r w:rsidRPr="009E5737">
        <w:rPr>
          <w:lang w:val="en-US"/>
        </w:rPr>
        <w:t xml:space="preserve">variable indicates whether a respondent saw the first set of response options for all experiment questions or saw the second set of response options for all experiment questions. The </w:t>
      </w:r>
      <w:r w:rsidRPr="009E5737">
        <w:rPr>
          <w:i/>
          <w:lang w:val="en-US"/>
        </w:rPr>
        <w:t xml:space="preserve">RESPONSE_OPTION_VARIANT </w:t>
      </w:r>
      <w:r w:rsidRPr="009E5737">
        <w:rPr>
          <w:lang w:val="en-US"/>
        </w:rPr>
        <w:t>variable</w:t>
      </w:r>
      <w:r w:rsidRPr="009E5737">
        <w:rPr>
          <w:i/>
          <w:lang w:val="en-US"/>
        </w:rPr>
        <w:t xml:space="preserve"> </w:t>
      </w:r>
      <w:r w:rsidRPr="009E5737">
        <w:rPr>
          <w:lang w:val="en-US"/>
        </w:rPr>
        <w:t xml:space="preserve">is identical to the </w:t>
      </w:r>
      <w:r w:rsidRPr="009E5737">
        <w:rPr>
          <w:i/>
          <w:lang w:val="en-US"/>
        </w:rPr>
        <w:t>samp1</w:t>
      </w:r>
      <w:r w:rsidRPr="009E5737">
        <w:rPr>
          <w:lang w:val="en-US"/>
        </w:rPr>
        <w:t xml:space="preserve"> variable that can be found on the instrument.</w:t>
      </w:r>
    </w:p>
    <w:p w14:paraId="5E864624" w14:textId="77777777" w:rsidR="009E5737" w:rsidRPr="009E5737" w:rsidRDefault="009E5737" w:rsidP="009E5737">
      <w:pPr>
        <w:pStyle w:val="BodyText"/>
        <w:rPr>
          <w:lang w:val="en-US"/>
        </w:rPr>
      </w:pPr>
      <w:r w:rsidRPr="009E5737">
        <w:rPr>
          <w:lang w:val="en-US"/>
        </w:rPr>
        <w:t xml:space="preserve">For each question in the experiment, all responses to that question are presented in a single variable. For example, the variable Q14A contains the combined responses of both respondents who saw the first set of </w:t>
      </w:r>
      <w:r w:rsidRPr="009E5737">
        <w:rPr>
          <w:lang w:val="en-US"/>
        </w:rPr>
        <w:lastRenderedPageBreak/>
        <w:t xml:space="preserve">response options (“All”, “Most (half or more), “Some (less than half)”, or “None”) and respondents who saw the second set of response options (“All,” “Half or more”, “Less than half”, and “None”). </w:t>
      </w:r>
    </w:p>
    <w:p w14:paraId="4E8241DD" w14:textId="77777777" w:rsidR="009E5737" w:rsidRPr="009E5737" w:rsidRDefault="009E5737" w:rsidP="006A2A90">
      <w:pPr>
        <w:pStyle w:val="Heading3NoNumbering"/>
      </w:pPr>
      <w:bookmarkStart w:id="10" w:name="_Toc31721040"/>
      <w:r w:rsidRPr="009E5737">
        <w:t>Question Context</w:t>
      </w:r>
      <w:bookmarkEnd w:id="10"/>
    </w:p>
    <w:p w14:paraId="7625A1A2" w14:textId="77777777" w:rsidR="009E5737" w:rsidRPr="009E5737" w:rsidRDefault="009E5737" w:rsidP="009E5737">
      <w:pPr>
        <w:pStyle w:val="BodyText"/>
        <w:rPr>
          <w:lang w:val="en-US"/>
        </w:rPr>
      </w:pPr>
      <w:r w:rsidRPr="009E5737">
        <w:rPr>
          <w:b/>
          <w:i/>
          <w:lang w:val="en-US"/>
        </w:rPr>
        <w:t xml:space="preserve">Instrument format: </w:t>
      </w:r>
      <w:r w:rsidRPr="009E5737">
        <w:rPr>
          <w:lang w:val="en-US"/>
        </w:rPr>
        <w:t>The 2018 FMLA Worksite Survey was originally administered via phone and web to knowledgeable respondents from worksites after initial phone contacts with the worksites. Shortly after data collection began, the mode of initial contact transitioned from phone to mail and email, and screening questions were added to the web survey. With this transition, prospective respondents were emailed a choice of survey access including a unique link to their web survey and general survey website and login information. Respondents who could not be reached or did not complete the web survey were then called by interviewers to take the survey via phone using CATI software. The majority of 2018 FMLA Worksite Survey responses (86%) are web-based. More information about the data collection protocol can be found in the publically available FMLA 2018 Methodology Report.</w:t>
      </w:r>
    </w:p>
    <w:p w14:paraId="1CB6C8B4" w14:textId="29704C32" w:rsidR="009E5737" w:rsidRPr="009E5737" w:rsidRDefault="009E5737" w:rsidP="009E5737">
      <w:pPr>
        <w:pStyle w:val="BodyText"/>
        <w:rPr>
          <w:lang w:val="en-US"/>
        </w:rPr>
      </w:pPr>
      <w:r w:rsidRPr="009E5737">
        <w:rPr>
          <w:b/>
          <w:i/>
          <w:lang w:val="en-US"/>
        </w:rPr>
        <w:t>Skip Logic</w:t>
      </w:r>
      <w:r w:rsidRPr="009E5737">
        <w:rPr>
          <w:lang w:val="en-US"/>
        </w:rPr>
        <w:t>:</w:t>
      </w:r>
      <w:r w:rsidR="00AA41AB">
        <w:rPr>
          <w:lang w:val="en-US"/>
        </w:rPr>
        <w:t xml:space="preserve"> </w:t>
      </w:r>
      <w:r w:rsidRPr="009E5737">
        <w:rPr>
          <w:lang w:val="en-US"/>
        </w:rPr>
        <w:t>The survey skip logic is the same in the phone interviews and web surveys.</w:t>
      </w:r>
      <w:r w:rsidR="00AA41AB">
        <w:rPr>
          <w:lang w:val="en-US"/>
        </w:rPr>
        <w:t xml:space="preserve"> </w:t>
      </w:r>
    </w:p>
    <w:p w14:paraId="2B3E56D1" w14:textId="1A1C4F4F" w:rsidR="009E5737" w:rsidRPr="009E5737" w:rsidRDefault="009E5737" w:rsidP="009E5737">
      <w:pPr>
        <w:pStyle w:val="BodyText"/>
        <w:rPr>
          <w:b/>
          <w:i/>
          <w:lang w:val="en-US"/>
        </w:rPr>
      </w:pPr>
      <w:r w:rsidRPr="009E5737">
        <w:rPr>
          <w:b/>
          <w:i/>
          <w:lang w:val="en-US"/>
        </w:rPr>
        <w:t>Questions Added During Data Collection:</w:t>
      </w:r>
      <w:r w:rsidR="00AA41AB">
        <w:rPr>
          <w:b/>
          <w:i/>
          <w:lang w:val="en-US"/>
        </w:rPr>
        <w:t xml:space="preserve"> </w:t>
      </w:r>
      <w:r w:rsidRPr="009E5737">
        <w:rPr>
          <w:lang w:val="en-US"/>
        </w:rPr>
        <w:t>Screening questions were added to the web survey a few weeks after the start of data collection, when the initial contact mode was changed from phone to email and mail. The screening questions were intended to verify the eligibility of the firm and identify the correct respondent at the firm who would be sufficiently knowledgeable to answer the survey.</w:t>
      </w:r>
    </w:p>
    <w:p w14:paraId="119556F6" w14:textId="77777777" w:rsidR="009E5737" w:rsidRPr="009E5737" w:rsidRDefault="009E5737" w:rsidP="009E5737">
      <w:pPr>
        <w:pStyle w:val="BodyText"/>
        <w:rPr>
          <w:i/>
          <w:lang w:val="en-US"/>
        </w:rPr>
      </w:pPr>
      <w:r w:rsidRPr="009E5737">
        <w:rPr>
          <w:b/>
          <w:i/>
          <w:lang w:val="en-US"/>
        </w:rPr>
        <w:t>Question Numbering:</w:t>
      </w:r>
      <w:r w:rsidRPr="009E5737">
        <w:rPr>
          <w:lang w:val="en-US"/>
        </w:rPr>
        <w:t xml:space="preserve"> The survey question numbering is designed to maximize consistency with the 2012 FMLA Worksite Survey</w:t>
      </w:r>
      <w:r w:rsidRPr="009E5737" w:rsidDel="0023623A">
        <w:rPr>
          <w:lang w:val="en-US"/>
        </w:rPr>
        <w:t xml:space="preserve"> </w:t>
      </w:r>
      <w:r w:rsidRPr="009E5737">
        <w:rPr>
          <w:lang w:val="en-US"/>
        </w:rPr>
        <w:t>question numbering. In some cases, 2012 FMLA Worksite Survey questions were omitted in the 2018 FMLA Worksite Survey. Consequently, consecutive survey questions in 2018 FMLA Worksite Survey (such as Q35 and Q37) are not always numbered consecutively.</w:t>
      </w:r>
    </w:p>
    <w:p w14:paraId="2935D656" w14:textId="77777777" w:rsidR="009E5737" w:rsidRPr="009E5737" w:rsidRDefault="009E5737" w:rsidP="009E5737">
      <w:pPr>
        <w:pStyle w:val="BodyText"/>
        <w:rPr>
          <w:b/>
          <w:i/>
          <w:lang w:val="en-US"/>
        </w:rPr>
      </w:pPr>
      <w:r w:rsidRPr="009E5737">
        <w:rPr>
          <w:b/>
          <w:i/>
          <w:lang w:val="en-US"/>
        </w:rPr>
        <w:t xml:space="preserve">Variable Naming: </w:t>
      </w:r>
      <w:r w:rsidRPr="009E5737">
        <w:rPr>
          <w:lang w:val="en-US"/>
        </w:rPr>
        <w:t>The “n” prefix is included in variable names for survey questions that are new in the 2018 FMLA Worksite Survey</w:t>
      </w:r>
      <w:r w:rsidRPr="009E5737" w:rsidDel="0023623A">
        <w:rPr>
          <w:lang w:val="en-US"/>
        </w:rPr>
        <w:t xml:space="preserve"> </w:t>
      </w:r>
      <w:r w:rsidRPr="009E5737">
        <w:rPr>
          <w:lang w:val="en-US"/>
        </w:rPr>
        <w:t xml:space="preserve">and for survey questions where response options are different from those in the 2012 FMLA Worksite Survey. </w:t>
      </w:r>
    </w:p>
    <w:p w14:paraId="116C7936" w14:textId="77777777" w:rsidR="009E5737" w:rsidRPr="009E5737" w:rsidRDefault="009E5737" w:rsidP="009E5737">
      <w:pPr>
        <w:pStyle w:val="BodyText"/>
        <w:rPr>
          <w:lang w:val="en-US"/>
        </w:rPr>
      </w:pPr>
      <w:r w:rsidRPr="009E5737">
        <w:rPr>
          <w:b/>
          <w:i/>
          <w:lang w:val="en-US"/>
        </w:rPr>
        <w:t xml:space="preserve">Variable Types: </w:t>
      </w:r>
      <w:r w:rsidRPr="009E5737">
        <w:rPr>
          <w:lang w:val="en-US"/>
        </w:rPr>
        <w:t>All variables in the PUF are numeric.</w:t>
      </w:r>
    </w:p>
    <w:p w14:paraId="37FFA799" w14:textId="77777777" w:rsidR="006A2A90" w:rsidRPr="006A2A90" w:rsidRDefault="006A2A90" w:rsidP="006A2A90">
      <w:pPr>
        <w:pStyle w:val="BodyText"/>
        <w:rPr>
          <w:lang w:val="en-US"/>
        </w:rPr>
      </w:pPr>
      <w:r w:rsidRPr="006A2A90">
        <w:rPr>
          <w:b/>
          <w:i/>
          <w:lang w:val="en-US"/>
        </w:rPr>
        <w:t>Missing Codes</w:t>
      </w:r>
      <w:r w:rsidRPr="006A2A90">
        <w:rPr>
          <w:lang w:val="en-US"/>
        </w:rPr>
        <w:t>: The codebook and value labels detail which types of missing values are associated with each variable. The universe of missing codes includes the following:</w:t>
      </w:r>
    </w:p>
    <w:p w14:paraId="65CD6289" w14:textId="77777777" w:rsidR="006A2A90" w:rsidRPr="006A2A90" w:rsidRDefault="006A2A90" w:rsidP="006A2A90">
      <w:pPr>
        <w:pStyle w:val="Bullets"/>
      </w:pPr>
      <w:r w:rsidRPr="006A2A90">
        <w:t xml:space="preserve">“.”: A general missing code representing responses of “don’t know” or “refused” to survey questions. In some cases, this code also includes special missing scenarios (e.g., inconsistent answers). </w:t>
      </w:r>
    </w:p>
    <w:p w14:paraId="134A0654" w14:textId="77777777" w:rsidR="006A2A90" w:rsidRPr="006A2A90" w:rsidRDefault="006A2A90" w:rsidP="006A2A90">
      <w:pPr>
        <w:pStyle w:val="Bullets"/>
      </w:pPr>
      <w:r w:rsidRPr="006A2A90">
        <w:t>“.S”: The respondent skipped the question due to their previous responses (valid skip). In a limited number of cases, respondents answered questions they were not supposed to have been shown. These responses are also set to .S.</w:t>
      </w:r>
    </w:p>
    <w:p w14:paraId="4936E9CD" w14:textId="77777777" w:rsidR="006A2A90" w:rsidRPr="006A2A90" w:rsidRDefault="006A2A90" w:rsidP="006A2A90">
      <w:pPr>
        <w:pStyle w:val="Heading3NoNumbering"/>
      </w:pPr>
      <w:bookmarkStart w:id="11" w:name="_Toc31721041"/>
      <w:r w:rsidRPr="006A2A90">
        <w:t>Suppressed and Modified Variables</w:t>
      </w:r>
      <w:bookmarkEnd w:id="11"/>
    </w:p>
    <w:p w14:paraId="5AB427F3" w14:textId="77777777" w:rsidR="006A2A90" w:rsidRPr="006A2A90" w:rsidRDefault="006A2A90" w:rsidP="006A2A90">
      <w:pPr>
        <w:pStyle w:val="BodyText"/>
        <w:rPr>
          <w:lang w:val="en-US"/>
        </w:rPr>
      </w:pPr>
      <w:r w:rsidRPr="006A2A90">
        <w:rPr>
          <w:lang w:val="en-US"/>
        </w:rPr>
        <w:t xml:space="preserve">For the PUF, modifications were made to some variables in order to protect respondent privacy. Modifications included collapsing response categories, top-coding, and suppressing variables completely. </w:t>
      </w:r>
    </w:p>
    <w:p w14:paraId="4C6D843F" w14:textId="77777777" w:rsidR="006A2A90" w:rsidRPr="006A2A90" w:rsidRDefault="006A2A90" w:rsidP="006A2A90">
      <w:pPr>
        <w:pStyle w:val="Bullets"/>
      </w:pPr>
      <w:r w:rsidRPr="006A2A90">
        <w:t xml:space="preserve">With the exception of S8, no screener variables are included in the PUF. </w:t>
      </w:r>
    </w:p>
    <w:p w14:paraId="20773F1A" w14:textId="77777777" w:rsidR="006A2A90" w:rsidRPr="006A2A90" w:rsidRDefault="006A2A90" w:rsidP="006A2A90">
      <w:pPr>
        <w:pStyle w:val="Bullets"/>
      </w:pPr>
      <w:r w:rsidRPr="006A2A90">
        <w:t xml:space="preserve">Q5 (NAICS code) was suppressed to protect respondent privacy. The respondent’s industry is provided in the Q4_CAT PUF variable. </w:t>
      </w:r>
    </w:p>
    <w:p w14:paraId="19BC9699" w14:textId="77777777" w:rsidR="006A2A90" w:rsidRPr="006A2A90" w:rsidRDefault="006A2A90" w:rsidP="006A2A90">
      <w:pPr>
        <w:pStyle w:val="Bullets"/>
      </w:pPr>
      <w:r w:rsidRPr="006A2A90">
        <w:t>All “other, specify” text responses are suppressed to protect respondent privacy.</w:t>
      </w:r>
    </w:p>
    <w:p w14:paraId="72EA305D" w14:textId="77777777" w:rsidR="006A2A90" w:rsidRPr="006A2A90" w:rsidRDefault="006A2A90" w:rsidP="006A2A90">
      <w:pPr>
        <w:pStyle w:val="Bullets"/>
      </w:pPr>
      <w:r w:rsidRPr="006A2A90">
        <w:lastRenderedPageBreak/>
        <w:t>The only geographic information on 2018 FMLA Worksite Survey respondents included in the PUF are the respondent’s Census region and an indicator for whether the worksite was located in a paid leave state. Information on paid leave state classification can be found in the “Identifiers and Other Important Constructs” subsection below. All geographic information on respondents other than Census region and paid leave state was suppressed to protect respondent privacy.</w:t>
      </w:r>
    </w:p>
    <w:p w14:paraId="7C0D215E" w14:textId="77777777" w:rsidR="006A2A90" w:rsidRPr="006A2A90" w:rsidRDefault="006A2A90" w:rsidP="006A2A90">
      <w:pPr>
        <w:pStyle w:val="BodyText"/>
        <w:rPr>
          <w:lang w:val="en-US"/>
        </w:rPr>
      </w:pPr>
      <w:r w:rsidRPr="006A2A90">
        <w:rPr>
          <w:lang w:val="en-US"/>
        </w:rPr>
        <w:t>In addition, some survey questions with small cell sizes were modified to protect respondent privacy. Variables that were originally continuous and that have been grouped into categories are indicated by the suffixes of “_CAT” in the variable name.</w:t>
      </w:r>
    </w:p>
    <w:p w14:paraId="2FDE55A6" w14:textId="77777777" w:rsidR="006A2A90" w:rsidRPr="006A2A90" w:rsidRDefault="006A2A90" w:rsidP="006A2A90">
      <w:pPr>
        <w:pStyle w:val="Bullets"/>
        <w:rPr>
          <w:b/>
        </w:rPr>
      </w:pPr>
      <w:r w:rsidRPr="006A2A90">
        <w:rPr>
          <w:b/>
        </w:rPr>
        <w:t xml:space="preserve">Variables with discrete response options </w:t>
      </w:r>
    </w:p>
    <w:p w14:paraId="7F888663" w14:textId="77777777" w:rsidR="006A2A90" w:rsidRPr="006A2A90" w:rsidRDefault="006A2A90" w:rsidP="006A2A90">
      <w:pPr>
        <w:pStyle w:val="Bullet2"/>
      </w:pPr>
      <w:r w:rsidRPr="006A2A90">
        <w:t>For Q27_CAT, a new code of 1 was created encompassing categories 1 (“All”) and 2 (“Most (half or more)” for response option variant 1, “Half or more” for response option variant 2).</w:t>
      </w:r>
    </w:p>
    <w:p w14:paraId="7A0B1A48" w14:textId="77777777" w:rsidR="006A2A90" w:rsidRPr="006A2A90" w:rsidRDefault="006A2A90" w:rsidP="006A2A90">
      <w:pPr>
        <w:pStyle w:val="Bullets"/>
        <w:rPr>
          <w:b/>
        </w:rPr>
      </w:pPr>
      <w:r w:rsidRPr="006A2A90">
        <w:rPr>
          <w:b/>
        </w:rPr>
        <w:t>Continuous variables grouped into categories</w:t>
      </w:r>
    </w:p>
    <w:p w14:paraId="16FC4308" w14:textId="77777777" w:rsidR="006A2A90" w:rsidRPr="006A2A90" w:rsidRDefault="006A2A90" w:rsidP="006A2A90">
      <w:pPr>
        <w:pStyle w:val="Bullet2"/>
      </w:pPr>
      <w:r w:rsidRPr="006A2A90">
        <w:t>For Q1, a continuous variable was first created based on responses to Q1, Q1.1, and Q1.2. When a respondent provided an exact number of employees in Q1, that value was used for the continuous variable. Alternatively, when a respondent indicated a nonzero number of employees in Q1.1 and then only provided a range in Q1.2 (rather than an exact number in Q1), the midpoint of that range was taken for the continuous variable. A categorical variable, Q1_CAT, was then created by grouping the values of that continuous variable into categories. Note that the categories in Q1_CAT are identical to the Q1.2 ranges, so responses to Q1.2 are preserved exactly in Q1_CAT. The same recoding was also done for Q2, Q2.1, and Q2.2 to create Q2_CAT, and for Q3 and Q3.1 to create Q3_CAT.</w:t>
      </w:r>
    </w:p>
    <w:p w14:paraId="458EAD61" w14:textId="77777777" w:rsidR="006A2A90" w:rsidRPr="006A2A90" w:rsidRDefault="006A2A90" w:rsidP="006A2A90">
      <w:pPr>
        <w:pStyle w:val="Bullet2"/>
      </w:pPr>
      <w:r w:rsidRPr="006A2A90">
        <w:t>To create Q57_1_A_CAT, responses to Q57_A were converted into days to create a single continuous variable as described in the “Other Variable Changes” subsection below. A categorical variable was then created by grouping the values of that continuous variable in days into categories. The same was done for Q57_1_B to create Q57_1_B_CAT, for Q57_1_C to create Q57_1_C_CAT, for Q57_1_D to create Q57_1_D_CAT, for Q57_1_E to create Q57_1_E_CAT, and for Q57_1_F to create Q57_1_F_CAT.</w:t>
      </w:r>
    </w:p>
    <w:p w14:paraId="07F579A7" w14:textId="77777777" w:rsidR="006A2A90" w:rsidRPr="006A2A90" w:rsidRDefault="006A2A90" w:rsidP="006A2A90">
      <w:pPr>
        <w:pStyle w:val="Bullet2"/>
      </w:pPr>
      <w:r w:rsidRPr="006A2A90">
        <w:t>To create Q58_CAT, values of Q58 that were 4 or higher were grouped into a new category, “4 or more.”</w:t>
      </w:r>
    </w:p>
    <w:p w14:paraId="51827AFA" w14:textId="77777777" w:rsidR="006A2A90" w:rsidRPr="006A2A90" w:rsidRDefault="006A2A90" w:rsidP="006A2A90">
      <w:pPr>
        <w:pStyle w:val="Bullet2"/>
      </w:pPr>
      <w:r w:rsidRPr="006A2A90">
        <w:t>To create Q59_CAT, values of Q59 that were 1 or higher were grouped into a new category, “1 or more.” The same was done for Q60 to create Q60_CAT.</w:t>
      </w:r>
    </w:p>
    <w:p w14:paraId="3CD33FEA" w14:textId="77777777" w:rsidR="006A2A90" w:rsidRPr="006A2A90" w:rsidRDefault="006A2A90" w:rsidP="006A2A90">
      <w:pPr>
        <w:pStyle w:val="Heading3NoNumbering"/>
      </w:pPr>
      <w:bookmarkStart w:id="12" w:name="_Toc31721042"/>
      <w:r w:rsidRPr="006A2A90">
        <w:t>Other Variable Changes</w:t>
      </w:r>
      <w:bookmarkEnd w:id="12"/>
    </w:p>
    <w:p w14:paraId="0F47B726" w14:textId="6EFE1968" w:rsidR="006A2A90" w:rsidRPr="006A2A90" w:rsidRDefault="006A2A90" w:rsidP="006A2A90">
      <w:pPr>
        <w:pStyle w:val="BodyText"/>
        <w:rPr>
          <w:lang w:val="en-US"/>
        </w:rPr>
      </w:pPr>
      <w:r w:rsidRPr="006A2A90">
        <w:rPr>
          <w:lang w:val="en-US"/>
        </w:rPr>
        <w:t>In addition to the above modifications to preserve respondent confidentiality, several other changes were made for other reasons.</w:t>
      </w:r>
      <w:r w:rsidR="00AA41AB">
        <w:rPr>
          <w:lang w:val="en-US"/>
        </w:rPr>
        <w:t xml:space="preserve"> </w:t>
      </w:r>
      <w:r w:rsidRPr="006A2A90">
        <w:rPr>
          <w:lang w:val="en-US"/>
        </w:rPr>
        <w:t>Specifically:</w:t>
      </w:r>
    </w:p>
    <w:p w14:paraId="4B253F2B" w14:textId="77777777" w:rsidR="006A2A90" w:rsidRPr="006A2A90" w:rsidRDefault="006A2A90" w:rsidP="006A2A90">
      <w:pPr>
        <w:pStyle w:val="Bullets"/>
        <w:rPr>
          <w:b/>
        </w:rPr>
      </w:pPr>
      <w:r w:rsidRPr="006A2A90">
        <w:rPr>
          <w:b/>
        </w:rPr>
        <w:t>Converting time units into a common metric</w:t>
      </w:r>
    </w:p>
    <w:p w14:paraId="6EF5361A" w14:textId="77777777" w:rsidR="006A2A90" w:rsidRPr="006A2A90" w:rsidRDefault="006A2A90" w:rsidP="006A2A90">
      <w:pPr>
        <w:pStyle w:val="BodyText"/>
        <w:ind w:left="360"/>
      </w:pPr>
      <w:r w:rsidRPr="006A2A90">
        <w:t>Survey questions that asked respondents to provide a duration of time (e.g. the items in the Q57_1 series) were converted into units of “days” as follows:</w:t>
      </w:r>
    </w:p>
    <w:p w14:paraId="5FBB565E" w14:textId="77777777" w:rsidR="006A2A90" w:rsidRPr="006A2A90" w:rsidRDefault="006A2A90" w:rsidP="006A2A90">
      <w:pPr>
        <w:pStyle w:val="Bullet2"/>
      </w:pPr>
      <w:r w:rsidRPr="006A2A90">
        <w:t xml:space="preserve">Converting hours to 1 day = </w:t>
      </w:r>
      <w:r w:rsidRPr="006A2A90">
        <w:rPr>
          <w:i/>
        </w:rPr>
        <w:t>T</w:t>
      </w:r>
      <w:r w:rsidRPr="006A2A90">
        <w:t xml:space="preserve"> hours/8; i.e., 8 working hours per day.</w:t>
      </w:r>
    </w:p>
    <w:p w14:paraId="30ED4897" w14:textId="77777777" w:rsidR="006A2A90" w:rsidRPr="006A2A90" w:rsidRDefault="006A2A90" w:rsidP="006A2A90">
      <w:pPr>
        <w:pStyle w:val="Bullet2"/>
      </w:pPr>
      <w:r w:rsidRPr="006A2A90">
        <w:t xml:space="preserve">Converting weeks to 1 day = </w:t>
      </w:r>
      <w:r w:rsidRPr="006A2A90">
        <w:rPr>
          <w:i/>
        </w:rPr>
        <w:t>T</w:t>
      </w:r>
      <w:r w:rsidRPr="006A2A90" w:rsidDel="000C5E3D">
        <w:t xml:space="preserve"> </w:t>
      </w:r>
      <w:r w:rsidRPr="006A2A90">
        <w:t>weeks × 5; i.e., 5 working days per week.</w:t>
      </w:r>
    </w:p>
    <w:p w14:paraId="1A0686AD" w14:textId="77777777" w:rsidR="006A2A90" w:rsidRPr="006A2A90" w:rsidRDefault="006A2A90" w:rsidP="006A2A90">
      <w:pPr>
        <w:pStyle w:val="Bullet2"/>
      </w:pPr>
      <w:r w:rsidRPr="006A2A90">
        <w:t xml:space="preserve">Converting months to 1 day = </w:t>
      </w:r>
      <w:r w:rsidRPr="006A2A90">
        <w:rPr>
          <w:i/>
        </w:rPr>
        <w:t>T</w:t>
      </w:r>
      <w:r w:rsidRPr="006A2A90" w:rsidDel="000C5E3D">
        <w:t xml:space="preserve"> </w:t>
      </w:r>
      <w:r w:rsidRPr="006A2A90">
        <w:t>months × 22.5; i.e., 4.5 weeks per month × 5 working days per week.</w:t>
      </w:r>
    </w:p>
    <w:p w14:paraId="6D170185" w14:textId="77777777" w:rsidR="006A2A90" w:rsidRPr="006A2A90" w:rsidRDefault="006A2A90" w:rsidP="006A2A90">
      <w:pPr>
        <w:pStyle w:val="Bullets"/>
        <w:rPr>
          <w:b/>
        </w:rPr>
      </w:pPr>
      <w:r w:rsidRPr="006A2A90">
        <w:rPr>
          <w:b/>
        </w:rPr>
        <w:lastRenderedPageBreak/>
        <w:t>Updating firm size variable</w:t>
      </w:r>
    </w:p>
    <w:p w14:paraId="26A24D3E" w14:textId="77777777" w:rsidR="006A2A90" w:rsidRPr="006A2A90" w:rsidRDefault="006A2A90" w:rsidP="006A2A90">
      <w:pPr>
        <w:pStyle w:val="BodyText"/>
        <w:ind w:left="360"/>
      </w:pPr>
      <w:r w:rsidRPr="006A2A90">
        <w:t>In some cases, respondents reported total firm sizes in Q1 that were smaller than the worksite size reported in Q2 or the number of employees within 75 miles reported in Q3. In these cases Q1 was updated to be the larger of Q2 and Q3, and a flag (Q1_CHANGED_BY_Q2_OR_Q3) was created to document the change.</w:t>
      </w:r>
    </w:p>
    <w:p w14:paraId="19DE0ADD" w14:textId="77777777" w:rsidR="006A2A90" w:rsidRPr="006A2A90" w:rsidRDefault="006A2A90" w:rsidP="006A2A90">
      <w:pPr>
        <w:pStyle w:val="Heading3NoNumbering"/>
      </w:pPr>
      <w:bookmarkStart w:id="13" w:name="_Toc31721043"/>
      <w:r w:rsidRPr="006A2A90">
        <w:t>Identifiers and Other Important Constructs</w:t>
      </w:r>
      <w:bookmarkEnd w:id="13"/>
    </w:p>
    <w:p w14:paraId="7AEE8D1D" w14:textId="13B2A506" w:rsidR="006A2A90" w:rsidRPr="006A2A90" w:rsidRDefault="006A2A90" w:rsidP="006A2A90">
      <w:pPr>
        <w:pStyle w:val="BodyText"/>
        <w:rPr>
          <w:lang w:val="en-US"/>
        </w:rPr>
      </w:pPr>
      <w:r w:rsidRPr="006A2A90">
        <w:rPr>
          <w:lang w:val="en-US"/>
        </w:rPr>
        <w:t>This subsection discusses the identifier variables in the PUF, as well as other important constructs derived from firm profile data or survey responses.</w:t>
      </w:r>
      <w:r w:rsidR="00AA41AB">
        <w:rPr>
          <w:lang w:val="en-US"/>
        </w:rPr>
        <w:t xml:space="preserve"> </w:t>
      </w:r>
    </w:p>
    <w:p w14:paraId="68094437" w14:textId="77777777" w:rsidR="006A2A90" w:rsidRPr="006A2A90" w:rsidRDefault="006A2A90" w:rsidP="006A2A90">
      <w:pPr>
        <w:pStyle w:val="Bullets"/>
        <w:rPr>
          <w:b/>
        </w:rPr>
      </w:pPr>
      <w:r w:rsidRPr="006A2A90">
        <w:rPr>
          <w:b/>
        </w:rPr>
        <w:t>Identifier variables:</w:t>
      </w:r>
    </w:p>
    <w:p w14:paraId="468ADE07" w14:textId="77777777" w:rsidR="006A2A90" w:rsidRPr="006A2A90" w:rsidRDefault="006A2A90" w:rsidP="006A2A90">
      <w:pPr>
        <w:pStyle w:val="Bullet2"/>
      </w:pPr>
      <w:proofErr w:type="spellStart"/>
      <w:proofErr w:type="gramStart"/>
      <w:r w:rsidRPr="00B80576">
        <w:rPr>
          <w:b/>
        </w:rPr>
        <w:t>worksiteID</w:t>
      </w:r>
      <w:proofErr w:type="spellEnd"/>
      <w:proofErr w:type="gramEnd"/>
      <w:r w:rsidRPr="00B80576">
        <w:rPr>
          <w:b/>
        </w:rPr>
        <w:t>:</w:t>
      </w:r>
      <w:r w:rsidRPr="006A2A90">
        <w:t xml:space="preserve"> randomly generated unique identifier for each Worksite Survey respondent.</w:t>
      </w:r>
    </w:p>
    <w:p w14:paraId="58748989" w14:textId="77777777" w:rsidR="006A2A90" w:rsidRPr="006A2A90" w:rsidRDefault="006A2A90" w:rsidP="006A2A90">
      <w:pPr>
        <w:pStyle w:val="Bullet2"/>
      </w:pPr>
      <w:proofErr w:type="spellStart"/>
      <w:proofErr w:type="gramStart"/>
      <w:r w:rsidRPr="00B80576">
        <w:rPr>
          <w:b/>
        </w:rPr>
        <w:t>interviewerid</w:t>
      </w:r>
      <w:proofErr w:type="spellEnd"/>
      <w:proofErr w:type="gramEnd"/>
      <w:r w:rsidRPr="00B80576">
        <w:rPr>
          <w:b/>
        </w:rPr>
        <w:t>:</w:t>
      </w:r>
      <w:r w:rsidRPr="006A2A90">
        <w:t xml:space="preserve"> randomly generated unique identifier for each interviewer who administered the phone interview (web surveys did not involve interviewers).</w:t>
      </w:r>
    </w:p>
    <w:p w14:paraId="09CD2231" w14:textId="77777777" w:rsidR="006A2A90" w:rsidRPr="006A2A90" w:rsidRDefault="006A2A90" w:rsidP="006A2A90">
      <w:pPr>
        <w:pStyle w:val="Bullet2"/>
      </w:pPr>
      <w:proofErr w:type="spellStart"/>
      <w:r w:rsidRPr="00B80576">
        <w:rPr>
          <w:b/>
        </w:rPr>
        <w:t>survey_type</w:t>
      </w:r>
      <w:proofErr w:type="spellEnd"/>
      <w:r w:rsidRPr="00B80576">
        <w:rPr>
          <w:b/>
        </w:rPr>
        <w:t>:</w:t>
      </w:r>
      <w:r w:rsidRPr="006A2A90">
        <w:t xml:space="preserve"> identifier of survey mode (phone survey vs. web-based survey).</w:t>
      </w:r>
    </w:p>
    <w:p w14:paraId="6D92A1CE" w14:textId="77777777" w:rsidR="006A2A90" w:rsidRPr="006A2A90" w:rsidRDefault="006A2A90" w:rsidP="006A2A90">
      <w:pPr>
        <w:pStyle w:val="Bullets"/>
        <w:rPr>
          <w:b/>
        </w:rPr>
      </w:pPr>
      <w:r w:rsidRPr="006A2A90">
        <w:rPr>
          <w:b/>
        </w:rPr>
        <w:t xml:space="preserve">Important constructs: </w:t>
      </w:r>
    </w:p>
    <w:p w14:paraId="2D5660AF" w14:textId="77777777" w:rsidR="006A2A90" w:rsidRPr="006A2A90" w:rsidRDefault="006A2A90" w:rsidP="006A2A90">
      <w:pPr>
        <w:pStyle w:val="Bullet2"/>
      </w:pPr>
      <w:proofErr w:type="spellStart"/>
      <w:r w:rsidRPr="00B80576">
        <w:rPr>
          <w:b/>
        </w:rPr>
        <w:t>paid_leave_state</w:t>
      </w:r>
      <w:proofErr w:type="spellEnd"/>
      <w:r w:rsidRPr="00B80576">
        <w:rPr>
          <w:b/>
        </w:rPr>
        <w:t>:</w:t>
      </w:r>
      <w:r w:rsidRPr="006A2A90">
        <w:t xml:space="preserve"> Denotes whether worksite is in a paid-leave state based on sampling frame data. All worksites in California, New Jersey, and Rhode Island were coded as being in paid leave states, as these states had paid leave laws in effect throughout the 12-month survey recall period for all respondents. New York implemented a paid leave program on January 1, 2018, which was after the survey fielding period had started. Worksites in New York were coded as being in a paid leave state if at least half of the survey recall period occurred after paid leave went into effect, and not otherwise.</w:t>
      </w:r>
      <w:r w:rsidRPr="006A2A90">
        <w:rPr>
          <w:vertAlign w:val="superscript"/>
        </w:rPr>
        <w:footnoteReference w:id="2"/>
      </w:r>
      <w:r w:rsidRPr="006A2A90">
        <w:t xml:space="preserve"> </w:t>
      </w:r>
    </w:p>
    <w:p w14:paraId="65C7F55C" w14:textId="77777777" w:rsidR="006A2A90" w:rsidRPr="006A2A90" w:rsidRDefault="006A2A90" w:rsidP="006A2A90">
      <w:pPr>
        <w:pStyle w:val="Bullet2"/>
      </w:pPr>
      <w:proofErr w:type="spellStart"/>
      <w:r w:rsidRPr="00B80576">
        <w:rPr>
          <w:b/>
        </w:rPr>
        <w:t>fmla_eligible_pct</w:t>
      </w:r>
      <w:proofErr w:type="spellEnd"/>
      <w:r w:rsidRPr="00B80576">
        <w:rPr>
          <w:b/>
        </w:rPr>
        <w:t>:</w:t>
      </w:r>
      <w:r w:rsidRPr="006A2A90">
        <w:t xml:space="preserve"> Calculated percentage of employees at worksite estimated to be eligible for FMLA. Estimated eligibility was calculated based on survey responses about the number of employees at the worksite provided in Q2, the number of employees who had worked at the firm for at least one year provided in Q8, and the number of employees with sufficient tenure who had worked at least 1,250 hours during the reference period provided in Q9. </w:t>
      </w:r>
    </w:p>
    <w:p w14:paraId="431CB7D1" w14:textId="77777777" w:rsidR="006A2A90" w:rsidRPr="006A2A90" w:rsidRDefault="006A2A90" w:rsidP="006A2A90">
      <w:pPr>
        <w:pStyle w:val="Bullet2"/>
      </w:pPr>
      <w:proofErr w:type="spellStart"/>
      <w:r w:rsidRPr="00B80576">
        <w:rPr>
          <w:b/>
        </w:rPr>
        <w:t>covered_self_reported</w:t>
      </w:r>
      <w:proofErr w:type="spellEnd"/>
      <w:r w:rsidRPr="00B80576">
        <w:rPr>
          <w:b/>
        </w:rPr>
        <w:t>:</w:t>
      </w:r>
      <w:r w:rsidRPr="006A2A90">
        <w:t xml:space="preserve"> Indicator for whether the respondent reports that FMLA applies to the worksite in Q17. Respondents who answered “Applies” to Q17 were coded as reporting they were covered by FMLA. Respondents who answered “Does not apply” or “Not sure” in Q17, or who refused to answer the question, were coded as not reporting they were covered by FMLA. This construct was used to conduct subgroup analysis in the survey report.</w:t>
      </w:r>
    </w:p>
    <w:p w14:paraId="3818BAA2" w14:textId="00DADE01" w:rsidR="009E5737" w:rsidRDefault="006A2A90" w:rsidP="006A2A90">
      <w:pPr>
        <w:pStyle w:val="Heading2NoNumbering"/>
      </w:pPr>
      <w:r w:rsidRPr="006A2A90">
        <w:t>Section 3: Other PUF and Contextual Files</w:t>
      </w:r>
    </w:p>
    <w:p w14:paraId="25790164" w14:textId="629FBD10" w:rsidR="006A2A90" w:rsidRPr="006A2A90" w:rsidRDefault="006A2A90" w:rsidP="006A2A90">
      <w:pPr>
        <w:pStyle w:val="BodyText"/>
        <w:rPr>
          <w:lang w:val="en-US"/>
        </w:rPr>
      </w:pPr>
      <w:r w:rsidRPr="006A2A90">
        <w:rPr>
          <w:lang w:val="en-US"/>
        </w:rPr>
        <w:t>In addition to the data files discussed in Section 1 of this chapter, the 2018 FMLA Worksite Survey codebook is provided as a part of the PUF download package. The codebook is included in the documentation package as an Excel workbook named “FMLA_2018_Worksite_PUF_Codebook.xlsx.”</w:t>
      </w:r>
      <w:r w:rsidR="00AA41AB">
        <w:rPr>
          <w:lang w:val="en-US"/>
        </w:rPr>
        <w:t xml:space="preserve"> </w:t>
      </w:r>
      <w:r w:rsidRPr="006A2A90">
        <w:rPr>
          <w:lang w:val="en-US"/>
        </w:rPr>
        <w:t>The 2018 FMLA Worksite Survey instrument can be found in the appendices of the FMLA 2018 Methodology Report.</w:t>
      </w:r>
      <w:r w:rsidR="00AA41AB">
        <w:rPr>
          <w:lang w:val="en-US"/>
        </w:rPr>
        <w:t xml:space="preserve"> </w:t>
      </w:r>
    </w:p>
    <w:p w14:paraId="13040408" w14:textId="77777777" w:rsidR="006A2A90" w:rsidRDefault="006A2A90" w:rsidP="00BC408B">
      <w:pPr>
        <w:pStyle w:val="BodyText"/>
        <w:sectPr w:rsidR="006A2A90" w:rsidSect="00837793">
          <w:headerReference w:type="default" r:id="rId23"/>
          <w:pgSz w:w="12240" w:h="15840" w:code="1"/>
          <w:pgMar w:top="1440" w:right="1440" w:bottom="1440" w:left="1440" w:header="720" w:footer="720" w:gutter="0"/>
          <w:cols w:space="720"/>
          <w:docGrid w:linePitch="299"/>
        </w:sectPr>
      </w:pPr>
    </w:p>
    <w:p w14:paraId="5DF93DA6" w14:textId="3222AC02" w:rsidR="009E5813" w:rsidRDefault="006A2A90" w:rsidP="006A2A90">
      <w:pPr>
        <w:pStyle w:val="Heading1NoNumbering"/>
      </w:pPr>
      <w:bookmarkStart w:id="14" w:name="_Toc25571787"/>
      <w:bookmarkStart w:id="15" w:name="_Toc31721045"/>
      <w:r w:rsidRPr="006A2A90">
        <w:lastRenderedPageBreak/>
        <w:t>Chapter 2: 2018 FMLA Employee Survey</w:t>
      </w:r>
      <w:bookmarkEnd w:id="14"/>
      <w:bookmarkEnd w:id="15"/>
    </w:p>
    <w:p w14:paraId="0BDE0CAF" w14:textId="77777777" w:rsidR="00A10B7D" w:rsidRPr="00A10B7D" w:rsidRDefault="00A10B7D" w:rsidP="00A10B7D">
      <w:pPr>
        <w:pStyle w:val="BodyText"/>
        <w:rPr>
          <w:b/>
          <w:lang w:val="en-US"/>
        </w:rPr>
      </w:pPr>
      <w:r w:rsidRPr="00A10B7D">
        <w:rPr>
          <w:lang w:val="en-US"/>
        </w:rPr>
        <w:t>This chapter provides detailed information about the data files, analysis code, survey context, identifiers and other specific variables, and other related documents for the 2018 FMLA Employee Survey.</w:t>
      </w:r>
    </w:p>
    <w:p w14:paraId="60995663" w14:textId="77777777" w:rsidR="00A10B7D" w:rsidRPr="00A10B7D" w:rsidRDefault="00A10B7D" w:rsidP="00A10B7D">
      <w:pPr>
        <w:pStyle w:val="Heading2NoNumbering"/>
      </w:pPr>
      <w:bookmarkStart w:id="16" w:name="_Toc31721046"/>
      <w:r w:rsidRPr="00A10B7D">
        <w:t>Section 1: Datasets and Code</w:t>
      </w:r>
      <w:bookmarkEnd w:id="16"/>
    </w:p>
    <w:p w14:paraId="47C6219E" w14:textId="77777777" w:rsidR="00A10B7D" w:rsidRPr="00A10B7D" w:rsidRDefault="00A10B7D" w:rsidP="00A10B7D">
      <w:pPr>
        <w:pStyle w:val="Heading3NoNumbering"/>
      </w:pPr>
      <w:bookmarkStart w:id="17" w:name="_Toc31721047"/>
      <w:r w:rsidRPr="00A10B7D">
        <w:t>Data Files</w:t>
      </w:r>
      <w:bookmarkEnd w:id="17"/>
    </w:p>
    <w:p w14:paraId="0329503C" w14:textId="77777777" w:rsidR="00A10B7D" w:rsidRPr="00A10B7D" w:rsidRDefault="00A10B7D" w:rsidP="00A10B7D">
      <w:pPr>
        <w:pStyle w:val="BodyText"/>
        <w:rPr>
          <w:lang w:val="en-US"/>
        </w:rPr>
      </w:pPr>
      <w:r w:rsidRPr="00A10B7D">
        <w:rPr>
          <w:lang w:val="en-US"/>
        </w:rPr>
        <w:t>The public use data file for the 2018 FMLA Employee Survey is provided in both SAS and Stata formats. The files are named:</w:t>
      </w:r>
    </w:p>
    <w:p w14:paraId="62F7CE4F" w14:textId="19030689" w:rsidR="00A10B7D" w:rsidRPr="00A10B7D" w:rsidRDefault="00A10B7D" w:rsidP="00A10B7D">
      <w:pPr>
        <w:pStyle w:val="Bullets"/>
        <w:rPr>
          <w:b/>
        </w:rPr>
      </w:pPr>
      <w:r w:rsidRPr="00A10B7D">
        <w:t>&lt;SAS format&gt;</w:t>
      </w:r>
      <w:r w:rsidR="00AA41AB">
        <w:t xml:space="preserve"> </w:t>
      </w:r>
      <w:r w:rsidRPr="00A10B7D">
        <w:rPr>
          <w:b/>
        </w:rPr>
        <w:t>FMLA</w:t>
      </w:r>
      <w:r w:rsidRPr="00A10B7D">
        <w:rPr>
          <w:b/>
          <w:u w:val="single"/>
        </w:rPr>
        <w:t>_</w:t>
      </w:r>
      <w:r w:rsidRPr="00A10B7D">
        <w:rPr>
          <w:b/>
        </w:rPr>
        <w:t>2018</w:t>
      </w:r>
      <w:r w:rsidRPr="00A10B7D">
        <w:rPr>
          <w:b/>
          <w:u w:val="single"/>
        </w:rPr>
        <w:t>_</w:t>
      </w:r>
      <w:r w:rsidRPr="00A10B7D">
        <w:rPr>
          <w:b/>
        </w:rPr>
        <w:t>Employee</w:t>
      </w:r>
      <w:r w:rsidRPr="00A10B7D">
        <w:rPr>
          <w:b/>
          <w:u w:val="single"/>
        </w:rPr>
        <w:t>_</w:t>
      </w:r>
      <w:r w:rsidRPr="00A10B7D">
        <w:rPr>
          <w:b/>
        </w:rPr>
        <w:t>PUF.sas7bdat</w:t>
      </w:r>
    </w:p>
    <w:p w14:paraId="57B2959A" w14:textId="3D8D4980" w:rsidR="00A10B7D" w:rsidRPr="00A10B7D" w:rsidRDefault="00A10B7D" w:rsidP="00A10B7D">
      <w:pPr>
        <w:pStyle w:val="Bullets"/>
        <w:rPr>
          <w:b/>
        </w:rPr>
      </w:pPr>
      <w:r w:rsidRPr="00A10B7D">
        <w:t>&lt;Stata format&gt;</w:t>
      </w:r>
      <w:r w:rsidR="00AA41AB">
        <w:t xml:space="preserve"> </w:t>
      </w:r>
      <w:r w:rsidRPr="00A10B7D">
        <w:rPr>
          <w:b/>
        </w:rPr>
        <w:t>FMLA</w:t>
      </w:r>
      <w:r w:rsidRPr="00A10B7D">
        <w:rPr>
          <w:b/>
          <w:u w:val="single"/>
        </w:rPr>
        <w:t>_</w:t>
      </w:r>
      <w:r w:rsidRPr="00A10B7D">
        <w:rPr>
          <w:b/>
        </w:rPr>
        <w:t>2018</w:t>
      </w:r>
      <w:r w:rsidRPr="00A10B7D">
        <w:rPr>
          <w:b/>
          <w:u w:val="single"/>
        </w:rPr>
        <w:t>_</w:t>
      </w:r>
      <w:r w:rsidRPr="00A10B7D">
        <w:rPr>
          <w:b/>
        </w:rPr>
        <w:t>Employee</w:t>
      </w:r>
      <w:r w:rsidRPr="00A10B7D">
        <w:rPr>
          <w:b/>
          <w:u w:val="single"/>
        </w:rPr>
        <w:t>_</w:t>
      </w:r>
      <w:r w:rsidRPr="00A10B7D">
        <w:rPr>
          <w:b/>
        </w:rPr>
        <w:t>PUF.dta</w:t>
      </w:r>
    </w:p>
    <w:p w14:paraId="79220ACF" w14:textId="77777777" w:rsidR="00A10B7D" w:rsidRPr="00A10B7D" w:rsidRDefault="00A10B7D" w:rsidP="00A10B7D">
      <w:pPr>
        <w:pStyle w:val="BodyText"/>
        <w:rPr>
          <w:lang w:val="en-US"/>
        </w:rPr>
      </w:pPr>
      <w:r w:rsidRPr="00A10B7D">
        <w:rPr>
          <w:lang w:val="en-US"/>
        </w:rPr>
        <w:t>A SAS format catalog called “fmla_2018_employee_formats.sas7bcat” and a SAS program called “FMLA_2018_Employee_Read_in_SAS_Dataset.sas” are also provided. This program reads in the SAS dataset above and assigns SAS formats from the provided formats catalog to the relevant variables.</w:t>
      </w:r>
    </w:p>
    <w:p w14:paraId="43A9D5B4" w14:textId="77777777" w:rsidR="00A10B7D" w:rsidRPr="00A10B7D" w:rsidRDefault="00A10B7D" w:rsidP="00A10B7D">
      <w:pPr>
        <w:pStyle w:val="Heading3NoNumbering"/>
        <w:rPr>
          <w:i/>
        </w:rPr>
      </w:pPr>
      <w:bookmarkStart w:id="18" w:name="_Toc31721048"/>
      <w:r w:rsidRPr="00A10B7D">
        <w:t>Data Analysis</w:t>
      </w:r>
      <w:bookmarkEnd w:id="18"/>
    </w:p>
    <w:p w14:paraId="65783C8B" w14:textId="4E72CECA" w:rsidR="00A10B7D" w:rsidRPr="00A10B7D" w:rsidRDefault="00A10B7D" w:rsidP="00A10B7D">
      <w:pPr>
        <w:pStyle w:val="BodyText"/>
        <w:rPr>
          <w:lang w:val="en-US"/>
        </w:rPr>
      </w:pPr>
      <w:r w:rsidRPr="00A10B7D">
        <w:rPr>
          <w:lang w:val="en-US"/>
        </w:rPr>
        <w:t xml:space="preserve">To accommodate the complex sampling design of the 2018 FMLA Employee Survey, the appropriate survey software and procedures should be used. A set of </w:t>
      </w:r>
      <w:r w:rsidRPr="00A10B7D">
        <w:t xml:space="preserve">bootstrap replicate weights </w:t>
      </w:r>
      <w:r w:rsidRPr="00A10B7D">
        <w:rPr>
          <w:lang w:val="en-US"/>
        </w:rPr>
        <w:t xml:space="preserve">was created </w:t>
      </w:r>
      <w:r w:rsidRPr="00A10B7D">
        <w:t>to facilitate correct variance estimation</w:t>
      </w:r>
      <w:r w:rsidRPr="00A10B7D">
        <w:rPr>
          <w:lang w:val="en-US"/>
        </w:rPr>
        <w:t xml:space="preserve"> in analysis of 2018 FMLA Employee Survey data. More information about these weights can be found in the FMLA 2018 Methodology Report.</w:t>
      </w:r>
      <w:r w:rsidR="00AA41AB">
        <w:rPr>
          <w:lang w:val="en-US"/>
        </w:rPr>
        <w:t xml:space="preserve"> </w:t>
      </w:r>
    </w:p>
    <w:p w14:paraId="50B79EC0" w14:textId="77777777" w:rsidR="00A10B7D" w:rsidRPr="00A10B7D" w:rsidRDefault="00A10B7D" w:rsidP="00A10B7D">
      <w:pPr>
        <w:pStyle w:val="BodyText"/>
        <w:rPr>
          <w:lang w:val="en-US"/>
        </w:rPr>
      </w:pPr>
      <w:r w:rsidRPr="00A10B7D">
        <w:rPr>
          <w:lang w:val="en-US"/>
        </w:rPr>
        <w:t>Below, we present examples of the SAS® and Stata® syntax that must be used to properly calculate weighted frequencies. In addition, for both the SAS and Stata code examples, the code output is provided for the first frequencies for illustrative purposes.</w:t>
      </w:r>
    </w:p>
    <w:p w14:paraId="6869A164" w14:textId="77777777" w:rsidR="00A10B7D" w:rsidRPr="00A10B7D" w:rsidRDefault="00A10B7D" w:rsidP="007769FE">
      <w:pPr>
        <w:pStyle w:val="Heading4"/>
      </w:pPr>
      <w:bookmarkStart w:id="19" w:name="_Toc25571788"/>
      <w:r w:rsidRPr="00A10B7D">
        <w:t xml:space="preserve">SAS </w:t>
      </w:r>
      <w:bookmarkEnd w:id="19"/>
      <w:r w:rsidRPr="00A10B7D">
        <w:t>Code</w:t>
      </w:r>
    </w:p>
    <w:p w14:paraId="3197270B" w14:textId="77777777" w:rsidR="00A10B7D" w:rsidRPr="00A10B7D" w:rsidRDefault="00A10B7D" w:rsidP="00A10B7D">
      <w:pPr>
        <w:pStyle w:val="BodyText"/>
        <w:rPr>
          <w:lang w:val="en-US"/>
        </w:rPr>
      </w:pPr>
      <w:r w:rsidRPr="00A10B7D">
        <w:rPr>
          <w:lang w:val="en-US"/>
        </w:rPr>
        <w:t>Appropriate code to run the analysis in SAS follows.</w:t>
      </w:r>
    </w:p>
    <w:p w14:paraId="37815CE1" w14:textId="77777777" w:rsidR="00A10B7D" w:rsidRPr="00A10B7D" w:rsidRDefault="00A10B7D" w:rsidP="007769FE">
      <w:pPr>
        <w:pStyle w:val="Heading6"/>
      </w:pPr>
      <w:r w:rsidRPr="00A10B7D">
        <w:t>Frequencies of FMLA eligibility on full sample</w:t>
      </w:r>
    </w:p>
    <w:p w14:paraId="78D4F9AE" w14:textId="77777777" w:rsidR="00A10B7D" w:rsidRPr="00A10B7D" w:rsidRDefault="00A10B7D" w:rsidP="006F7B56">
      <w:pPr>
        <w:pStyle w:val="BodyText"/>
        <w:spacing w:after="0"/>
        <w:rPr>
          <w:lang w:val="en-US"/>
        </w:rPr>
      </w:pPr>
      <w:r w:rsidRPr="00A10B7D">
        <w:rPr>
          <w:lang w:val="en-US"/>
        </w:rPr>
        <w:t xml:space="preserve">PROC SURVEYFREQ data=&lt;LIBNAME&gt;. FMLA_2018_employee_PUF </w:t>
      </w:r>
    </w:p>
    <w:p w14:paraId="1D7B6F2A" w14:textId="77777777" w:rsidR="00A10B7D" w:rsidRPr="00A10B7D" w:rsidRDefault="00A10B7D" w:rsidP="00850F1C">
      <w:pPr>
        <w:pStyle w:val="BodyText"/>
        <w:spacing w:after="0"/>
        <w:ind w:firstLine="360"/>
        <w:rPr>
          <w:lang w:val="en-US"/>
        </w:rPr>
      </w:pPr>
      <w:r w:rsidRPr="00A10B7D">
        <w:rPr>
          <w:lang w:val="en-US"/>
        </w:rPr>
        <w:t xml:space="preserve">VARMETHOD = </w:t>
      </w:r>
      <w:proofErr w:type="spellStart"/>
      <w:r w:rsidRPr="00A10B7D">
        <w:rPr>
          <w:lang w:val="en-US"/>
        </w:rPr>
        <w:t>brr</w:t>
      </w:r>
      <w:proofErr w:type="spellEnd"/>
      <w:r w:rsidRPr="00A10B7D">
        <w:rPr>
          <w:lang w:val="en-US"/>
        </w:rPr>
        <w:t>;</w:t>
      </w:r>
    </w:p>
    <w:p w14:paraId="236467EA" w14:textId="1B69423E" w:rsidR="00A10B7D" w:rsidRPr="00A10B7D" w:rsidRDefault="00A10B7D" w:rsidP="00B80576">
      <w:pPr>
        <w:pStyle w:val="BodyText"/>
        <w:spacing w:after="0"/>
        <w:ind w:firstLine="360"/>
        <w:rPr>
          <w:lang w:val="en-US"/>
        </w:rPr>
      </w:pPr>
      <w:r w:rsidRPr="00A10B7D">
        <w:rPr>
          <w:lang w:val="en-US"/>
        </w:rPr>
        <w:t xml:space="preserve">WEIGHT </w:t>
      </w:r>
      <w:proofErr w:type="spellStart"/>
      <w:r w:rsidRPr="00A10B7D">
        <w:rPr>
          <w:lang w:val="en-US"/>
        </w:rPr>
        <w:t>combo_trimmed_weight</w:t>
      </w:r>
      <w:proofErr w:type="spellEnd"/>
      <w:r w:rsidRPr="00A10B7D">
        <w:rPr>
          <w:lang w:val="en-US"/>
        </w:rPr>
        <w:t>;</w:t>
      </w:r>
    </w:p>
    <w:p w14:paraId="5DF344B0" w14:textId="2FB262F3" w:rsidR="00A10B7D" w:rsidRPr="00A10B7D" w:rsidRDefault="00A10B7D" w:rsidP="00B80576">
      <w:pPr>
        <w:pStyle w:val="BodyText"/>
        <w:spacing w:after="0"/>
        <w:ind w:firstLine="360"/>
        <w:rPr>
          <w:lang w:val="en-US"/>
        </w:rPr>
      </w:pPr>
      <w:r w:rsidRPr="00A10B7D">
        <w:rPr>
          <w:lang w:val="en-US"/>
        </w:rPr>
        <w:t>REPWEIGHT cmb_bsrw1 - cmb_bsrw200;</w:t>
      </w:r>
    </w:p>
    <w:p w14:paraId="589EF51E" w14:textId="0C085E26" w:rsidR="00A10B7D" w:rsidRPr="00A10B7D" w:rsidRDefault="00A10B7D" w:rsidP="00B80576">
      <w:pPr>
        <w:pStyle w:val="BodyText"/>
        <w:ind w:firstLine="360"/>
        <w:rPr>
          <w:lang w:val="en-US"/>
        </w:rPr>
      </w:pPr>
      <w:proofErr w:type="gramStart"/>
      <w:r w:rsidRPr="00A10B7D">
        <w:rPr>
          <w:lang w:val="en-US"/>
        </w:rPr>
        <w:t>TABLES</w:t>
      </w:r>
      <w:proofErr w:type="gramEnd"/>
      <w:r w:rsidRPr="00A10B7D">
        <w:rPr>
          <w:lang w:val="en-US"/>
        </w:rPr>
        <w:t xml:space="preserve"> </w:t>
      </w:r>
      <w:proofErr w:type="spellStart"/>
      <w:r w:rsidRPr="00A10B7D">
        <w:rPr>
          <w:lang w:val="en-US"/>
        </w:rPr>
        <w:t>fmla_eligible</w:t>
      </w:r>
      <w:proofErr w:type="spellEnd"/>
      <w:r w:rsidRPr="00A10B7D">
        <w:rPr>
          <w:lang w:val="en-US"/>
        </w:rPr>
        <w:t>;</w:t>
      </w:r>
    </w:p>
    <w:p w14:paraId="652E704A" w14:textId="6C475235" w:rsidR="00A10B7D" w:rsidRPr="00A10B7D" w:rsidRDefault="00A10B7D" w:rsidP="00A10B7D">
      <w:pPr>
        <w:pStyle w:val="BodyText"/>
        <w:rPr>
          <w:lang w:val="en-US"/>
        </w:rPr>
      </w:pPr>
      <w:r w:rsidRPr="00A10B7D">
        <w:rPr>
          <w:lang w:val="en-US"/>
        </w:rPr>
        <w:t>RUN;</w:t>
      </w:r>
      <w:r w:rsidR="00AA41AB">
        <w:rPr>
          <w:lang w:val="en-US"/>
        </w:rPr>
        <w:t xml:space="preserve"> </w:t>
      </w:r>
    </w:p>
    <w:p w14:paraId="4239377C" w14:textId="77777777" w:rsidR="00850F1C" w:rsidRPr="00850F1C" w:rsidRDefault="00850F1C" w:rsidP="00850F1C">
      <w:pPr>
        <w:pStyle w:val="BodyText"/>
        <w:rPr>
          <w:i/>
          <w:lang w:val="en-US"/>
        </w:rPr>
      </w:pPr>
      <w:r w:rsidRPr="00850F1C">
        <w:rPr>
          <w:i/>
          <w:lang w:val="en-US"/>
        </w:rPr>
        <w:t>Output:</w:t>
      </w:r>
    </w:p>
    <w:tbl>
      <w:tblPr>
        <w:tblW w:w="0" w:type="auto"/>
        <w:tblLayout w:type="fixed"/>
        <w:tblCellMar>
          <w:left w:w="0" w:type="dxa"/>
          <w:right w:w="0" w:type="dxa"/>
        </w:tblCellMar>
        <w:tblLook w:val="0000" w:firstRow="0" w:lastRow="0" w:firstColumn="0" w:lastColumn="0" w:noHBand="0" w:noVBand="0"/>
      </w:tblPr>
      <w:tblGrid>
        <w:gridCol w:w="2896"/>
        <w:gridCol w:w="1206"/>
      </w:tblGrid>
      <w:tr w:rsidR="00850F1C" w:rsidRPr="00850F1C" w14:paraId="5762D504" w14:textId="77777777" w:rsidTr="00850F1C">
        <w:trPr>
          <w:cantSplit/>
          <w:trHeight w:val="45"/>
          <w:tblHeader/>
        </w:trPr>
        <w:tc>
          <w:tcPr>
            <w:tcW w:w="4102"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67B9A103" w14:textId="77777777" w:rsidR="00850F1C" w:rsidRPr="00850F1C" w:rsidRDefault="00850F1C" w:rsidP="00850F1C">
            <w:pPr>
              <w:pStyle w:val="BodyText"/>
              <w:spacing w:after="0"/>
              <w:jc w:val="center"/>
              <w:rPr>
                <w:rFonts w:ascii="Arial Narrow" w:hAnsi="Arial Narrow"/>
                <w:b/>
                <w:bCs/>
                <w:sz w:val="20"/>
                <w:lang w:val="en-US"/>
              </w:rPr>
            </w:pPr>
            <w:r w:rsidRPr="00850F1C">
              <w:rPr>
                <w:rFonts w:ascii="Arial Narrow" w:hAnsi="Arial Narrow"/>
                <w:b/>
                <w:bCs/>
                <w:color w:val="FFFFFF" w:themeColor="background1"/>
                <w:sz w:val="20"/>
                <w:lang w:val="en-US"/>
              </w:rPr>
              <w:t>Data Summary</w:t>
            </w:r>
          </w:p>
        </w:tc>
      </w:tr>
      <w:tr w:rsidR="00850F1C" w:rsidRPr="00850F1C" w14:paraId="38257B42" w14:textId="77777777" w:rsidTr="00850F1C">
        <w:trPr>
          <w:cantSplit/>
          <w:trHeight w:val="55"/>
        </w:trPr>
        <w:tc>
          <w:tcPr>
            <w:tcW w:w="2896"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0592EDFF"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Number of Observations</w:t>
            </w:r>
          </w:p>
        </w:tc>
        <w:tc>
          <w:tcPr>
            <w:tcW w:w="12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C1068E"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4470</w:t>
            </w:r>
          </w:p>
        </w:tc>
      </w:tr>
      <w:tr w:rsidR="00850F1C" w:rsidRPr="00850F1C" w14:paraId="312F3759" w14:textId="77777777" w:rsidTr="00850F1C">
        <w:trPr>
          <w:cantSplit/>
          <w:trHeight w:val="55"/>
        </w:trPr>
        <w:tc>
          <w:tcPr>
            <w:tcW w:w="2896"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10F66E9E"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Sum of Weights</w:t>
            </w:r>
          </w:p>
        </w:tc>
        <w:tc>
          <w:tcPr>
            <w:tcW w:w="12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FE5C7E"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140590310</w:t>
            </w:r>
          </w:p>
        </w:tc>
      </w:tr>
    </w:tbl>
    <w:p w14:paraId="58FF6D2E" w14:textId="21EB8CEA" w:rsidR="00850F1C" w:rsidRDefault="00850F1C" w:rsidP="00850F1C">
      <w:pPr>
        <w:pStyle w:val="BodyText"/>
        <w:rPr>
          <w:lang w:val="en-US"/>
        </w:rPr>
      </w:pPr>
    </w:p>
    <w:tbl>
      <w:tblPr>
        <w:tblW w:w="0" w:type="auto"/>
        <w:tblLayout w:type="fixed"/>
        <w:tblCellMar>
          <w:left w:w="0" w:type="dxa"/>
          <w:right w:w="0" w:type="dxa"/>
        </w:tblCellMar>
        <w:tblLook w:val="0000" w:firstRow="0" w:lastRow="0" w:firstColumn="0" w:lastColumn="0" w:noHBand="0" w:noVBand="0"/>
      </w:tblPr>
      <w:tblGrid>
        <w:gridCol w:w="2472"/>
        <w:gridCol w:w="3197"/>
      </w:tblGrid>
      <w:tr w:rsidR="00850F1C" w:rsidRPr="00850F1C" w14:paraId="2AD75C3C" w14:textId="77777777" w:rsidTr="00850F1C">
        <w:trPr>
          <w:cantSplit/>
          <w:trHeight w:val="45"/>
          <w:tblHeader/>
        </w:trPr>
        <w:tc>
          <w:tcPr>
            <w:tcW w:w="5669" w:type="dxa"/>
            <w:gridSpan w:val="2"/>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5A0C7452" w14:textId="77777777" w:rsidR="00850F1C" w:rsidRPr="00850F1C" w:rsidRDefault="00850F1C" w:rsidP="00850F1C">
            <w:pPr>
              <w:pStyle w:val="BodyText"/>
              <w:spacing w:after="0"/>
              <w:jc w:val="center"/>
              <w:rPr>
                <w:rFonts w:ascii="Arial Narrow" w:hAnsi="Arial Narrow"/>
                <w:b/>
                <w:bCs/>
                <w:sz w:val="20"/>
                <w:lang w:val="en-US"/>
              </w:rPr>
            </w:pPr>
            <w:r w:rsidRPr="00850F1C">
              <w:rPr>
                <w:rFonts w:ascii="Arial Narrow" w:hAnsi="Arial Narrow"/>
                <w:b/>
                <w:bCs/>
                <w:color w:val="FFFFFF" w:themeColor="background1"/>
                <w:sz w:val="20"/>
                <w:lang w:val="en-US"/>
              </w:rPr>
              <w:t>Variance Estimation</w:t>
            </w:r>
          </w:p>
        </w:tc>
      </w:tr>
      <w:tr w:rsidR="00850F1C" w:rsidRPr="00850F1C" w14:paraId="7D049181" w14:textId="77777777" w:rsidTr="00850F1C">
        <w:trPr>
          <w:cantSplit/>
          <w:trHeight w:val="55"/>
        </w:trPr>
        <w:tc>
          <w:tcPr>
            <w:tcW w:w="247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22FA3999"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Method</w:t>
            </w:r>
          </w:p>
        </w:tc>
        <w:tc>
          <w:tcPr>
            <w:tcW w:w="3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806737"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BRR</w:t>
            </w:r>
          </w:p>
        </w:tc>
      </w:tr>
      <w:tr w:rsidR="00850F1C" w:rsidRPr="00850F1C" w14:paraId="6D448B34" w14:textId="77777777" w:rsidTr="00850F1C">
        <w:trPr>
          <w:cantSplit/>
          <w:trHeight w:val="55"/>
        </w:trPr>
        <w:tc>
          <w:tcPr>
            <w:tcW w:w="2472"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334EEAB0"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Replicate Weights</w:t>
            </w:r>
          </w:p>
        </w:tc>
        <w:tc>
          <w:tcPr>
            <w:tcW w:w="3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8E4045"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FMLA_2018_EMPLOYEE_PUF</w:t>
            </w:r>
          </w:p>
        </w:tc>
      </w:tr>
      <w:tr w:rsidR="00850F1C" w:rsidRPr="00850F1C" w14:paraId="42225B08" w14:textId="77777777" w:rsidTr="00850F1C">
        <w:trPr>
          <w:cantSplit/>
          <w:trHeight w:val="55"/>
        </w:trPr>
        <w:tc>
          <w:tcPr>
            <w:tcW w:w="2472"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799D38B5"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Number of Replicates</w:t>
            </w:r>
          </w:p>
        </w:tc>
        <w:tc>
          <w:tcPr>
            <w:tcW w:w="3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F956A79"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200</w:t>
            </w:r>
          </w:p>
        </w:tc>
      </w:tr>
    </w:tbl>
    <w:p w14:paraId="3B0B08CA" w14:textId="77777777" w:rsidR="00850F1C" w:rsidRPr="00850F1C" w:rsidRDefault="00850F1C" w:rsidP="00850F1C">
      <w:pPr>
        <w:pStyle w:val="BodyText"/>
        <w:rPr>
          <w:lang w:val="en-US"/>
        </w:rPr>
      </w:pPr>
    </w:p>
    <w:tbl>
      <w:tblPr>
        <w:tblW w:w="0" w:type="auto"/>
        <w:tblLayout w:type="fixed"/>
        <w:tblCellMar>
          <w:left w:w="0" w:type="dxa"/>
          <w:right w:w="0" w:type="dxa"/>
        </w:tblCellMar>
        <w:tblLook w:val="0000" w:firstRow="0" w:lastRow="0" w:firstColumn="0" w:lastColumn="0" w:noHBand="0" w:noVBand="0"/>
      </w:tblPr>
      <w:tblGrid>
        <w:gridCol w:w="1657"/>
        <w:gridCol w:w="1389"/>
        <w:gridCol w:w="1389"/>
        <w:gridCol w:w="1328"/>
        <w:gridCol w:w="1077"/>
        <w:gridCol w:w="1333"/>
      </w:tblGrid>
      <w:tr w:rsidR="00850F1C" w:rsidRPr="00850F1C" w14:paraId="3B13BB08" w14:textId="77777777" w:rsidTr="00850F1C">
        <w:trPr>
          <w:cantSplit/>
          <w:trHeight w:val="45"/>
          <w:tblHeader/>
        </w:trPr>
        <w:tc>
          <w:tcPr>
            <w:tcW w:w="8173" w:type="dxa"/>
            <w:gridSpan w:val="6"/>
            <w:tcBorders>
              <w:top w:val="single" w:sz="6" w:space="0" w:color="000000"/>
              <w:left w:val="single" w:sz="6" w:space="0" w:color="000000"/>
              <w:bottom w:val="single" w:sz="2" w:space="0" w:color="000000"/>
              <w:right w:val="single" w:sz="6" w:space="0" w:color="000000"/>
            </w:tcBorders>
            <w:shd w:val="clear" w:color="auto" w:fill="48A9C5" w:themeFill="accent1"/>
            <w:tcMar>
              <w:left w:w="60" w:type="dxa"/>
              <w:right w:w="60" w:type="dxa"/>
            </w:tcMar>
            <w:vAlign w:val="bottom"/>
          </w:tcPr>
          <w:p w14:paraId="57F3B280"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bookmarkStart w:id="20" w:name="IDX2"/>
            <w:bookmarkEnd w:id="20"/>
            <w:r w:rsidRPr="00850F1C">
              <w:rPr>
                <w:rFonts w:ascii="Arial Narrow" w:hAnsi="Arial Narrow"/>
                <w:b/>
                <w:bCs/>
                <w:color w:val="FFFFFF" w:themeColor="background1"/>
                <w:sz w:val="20"/>
                <w:lang w:val="en-US"/>
              </w:rPr>
              <w:lastRenderedPageBreak/>
              <w:t>Respondent was eligible for FMLA at start of reference period (12 months prior to survey date) based on stated work tenure, weekly hours, and employer size.</w:t>
            </w:r>
          </w:p>
        </w:tc>
      </w:tr>
      <w:tr w:rsidR="00850F1C" w:rsidRPr="00850F1C" w14:paraId="5C649415" w14:textId="77777777" w:rsidTr="00850F1C">
        <w:trPr>
          <w:cantSplit/>
          <w:trHeight w:val="55"/>
          <w:tblHeader/>
        </w:trPr>
        <w:tc>
          <w:tcPr>
            <w:tcW w:w="1657" w:type="dxa"/>
            <w:tcBorders>
              <w:top w:val="nil"/>
              <w:left w:val="single" w:sz="6" w:space="0" w:color="000000"/>
              <w:bottom w:val="single" w:sz="2" w:space="0" w:color="000000"/>
              <w:right w:val="nil"/>
            </w:tcBorders>
            <w:shd w:val="clear" w:color="auto" w:fill="48A9C5" w:themeFill="accent1"/>
            <w:tcMar>
              <w:left w:w="60" w:type="dxa"/>
              <w:right w:w="60" w:type="dxa"/>
            </w:tcMar>
            <w:vAlign w:val="bottom"/>
          </w:tcPr>
          <w:p w14:paraId="7EFAF646"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proofErr w:type="spellStart"/>
            <w:r w:rsidRPr="00850F1C">
              <w:rPr>
                <w:rFonts w:ascii="Arial Narrow" w:hAnsi="Arial Narrow"/>
                <w:b/>
                <w:bCs/>
                <w:color w:val="FFFFFF" w:themeColor="background1"/>
                <w:sz w:val="20"/>
                <w:lang w:val="en-US"/>
              </w:rPr>
              <w:t>fmla_eligible</w:t>
            </w:r>
            <w:proofErr w:type="spellEnd"/>
          </w:p>
        </w:tc>
        <w:tc>
          <w:tcPr>
            <w:tcW w:w="1389"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7CC6C97F"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r w:rsidRPr="00850F1C">
              <w:rPr>
                <w:rFonts w:ascii="Arial Narrow" w:hAnsi="Arial Narrow"/>
                <w:b/>
                <w:bCs/>
                <w:color w:val="FFFFFF" w:themeColor="background1"/>
                <w:sz w:val="20"/>
                <w:lang w:val="en-US"/>
              </w:rPr>
              <w:t>Frequency</w:t>
            </w:r>
          </w:p>
        </w:tc>
        <w:tc>
          <w:tcPr>
            <w:tcW w:w="1389"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712D06E4"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r w:rsidRPr="00850F1C">
              <w:rPr>
                <w:rFonts w:ascii="Arial Narrow" w:hAnsi="Arial Narrow"/>
                <w:b/>
                <w:bCs/>
                <w:color w:val="FFFFFF" w:themeColor="background1"/>
                <w:sz w:val="20"/>
                <w:lang w:val="en-US"/>
              </w:rPr>
              <w:t>Weighted</w:t>
            </w:r>
            <w:r w:rsidRPr="00850F1C">
              <w:rPr>
                <w:rFonts w:ascii="Arial Narrow" w:hAnsi="Arial Narrow"/>
                <w:b/>
                <w:bCs/>
                <w:color w:val="FFFFFF" w:themeColor="background1"/>
                <w:sz w:val="20"/>
                <w:lang w:val="en-US"/>
              </w:rPr>
              <w:br/>
              <w:t>Frequency</w:t>
            </w:r>
          </w:p>
        </w:tc>
        <w:tc>
          <w:tcPr>
            <w:tcW w:w="1328"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676E5F79"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proofErr w:type="spellStart"/>
            <w:r w:rsidRPr="00850F1C">
              <w:rPr>
                <w:rFonts w:ascii="Arial Narrow" w:hAnsi="Arial Narrow"/>
                <w:b/>
                <w:bCs/>
                <w:color w:val="FFFFFF" w:themeColor="background1"/>
                <w:sz w:val="20"/>
                <w:lang w:val="en-US"/>
              </w:rPr>
              <w:t>Std</w:t>
            </w:r>
            <w:proofErr w:type="spellEnd"/>
            <w:r w:rsidRPr="00850F1C">
              <w:rPr>
                <w:rFonts w:ascii="Arial Narrow" w:hAnsi="Arial Narrow"/>
                <w:b/>
                <w:bCs/>
                <w:color w:val="FFFFFF" w:themeColor="background1"/>
                <w:sz w:val="20"/>
                <w:lang w:val="en-US"/>
              </w:rPr>
              <w:t> Err of</w:t>
            </w:r>
            <w:r w:rsidRPr="00850F1C">
              <w:rPr>
                <w:rFonts w:ascii="Arial Narrow" w:hAnsi="Arial Narrow"/>
                <w:b/>
                <w:bCs/>
                <w:color w:val="FFFFFF" w:themeColor="background1"/>
                <w:sz w:val="20"/>
                <w:lang w:val="en-US"/>
              </w:rPr>
              <w:br/>
            </w:r>
            <w:proofErr w:type="spellStart"/>
            <w:r w:rsidRPr="00850F1C">
              <w:rPr>
                <w:rFonts w:ascii="Arial Narrow" w:hAnsi="Arial Narrow"/>
                <w:b/>
                <w:bCs/>
                <w:color w:val="FFFFFF" w:themeColor="background1"/>
                <w:sz w:val="20"/>
                <w:lang w:val="en-US"/>
              </w:rPr>
              <w:t>Wgt</w:t>
            </w:r>
            <w:proofErr w:type="spellEnd"/>
            <w:r w:rsidRPr="00850F1C">
              <w:rPr>
                <w:rFonts w:ascii="Arial Narrow" w:hAnsi="Arial Narrow"/>
                <w:b/>
                <w:bCs/>
                <w:color w:val="FFFFFF" w:themeColor="background1"/>
                <w:sz w:val="20"/>
                <w:lang w:val="en-US"/>
              </w:rPr>
              <w:t> </w:t>
            </w:r>
            <w:proofErr w:type="spellStart"/>
            <w:r w:rsidRPr="00850F1C">
              <w:rPr>
                <w:rFonts w:ascii="Arial Narrow" w:hAnsi="Arial Narrow"/>
                <w:b/>
                <w:bCs/>
                <w:color w:val="FFFFFF" w:themeColor="background1"/>
                <w:sz w:val="20"/>
                <w:lang w:val="en-US"/>
              </w:rPr>
              <w:t>Freq</w:t>
            </w:r>
            <w:proofErr w:type="spellEnd"/>
          </w:p>
        </w:tc>
        <w:tc>
          <w:tcPr>
            <w:tcW w:w="1077" w:type="dxa"/>
            <w:tcBorders>
              <w:top w:val="nil"/>
              <w:left w:val="single" w:sz="2" w:space="0" w:color="000000"/>
              <w:bottom w:val="single" w:sz="2" w:space="0" w:color="000000"/>
              <w:right w:val="nil"/>
            </w:tcBorders>
            <w:shd w:val="clear" w:color="auto" w:fill="48A9C5" w:themeFill="accent1"/>
            <w:tcMar>
              <w:left w:w="60" w:type="dxa"/>
              <w:right w:w="60" w:type="dxa"/>
            </w:tcMar>
            <w:vAlign w:val="bottom"/>
          </w:tcPr>
          <w:p w14:paraId="10518E89"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r w:rsidRPr="00850F1C">
              <w:rPr>
                <w:rFonts w:ascii="Arial Narrow" w:hAnsi="Arial Narrow"/>
                <w:b/>
                <w:bCs/>
                <w:color w:val="FFFFFF" w:themeColor="background1"/>
                <w:sz w:val="20"/>
                <w:lang w:val="en-US"/>
              </w:rPr>
              <w:t>Percent</w:t>
            </w:r>
          </w:p>
        </w:tc>
        <w:tc>
          <w:tcPr>
            <w:tcW w:w="1333" w:type="dxa"/>
            <w:tcBorders>
              <w:top w:val="nil"/>
              <w:left w:val="single" w:sz="2" w:space="0" w:color="000000"/>
              <w:bottom w:val="single" w:sz="2" w:space="0" w:color="000000"/>
              <w:right w:val="single" w:sz="6" w:space="0" w:color="000000"/>
            </w:tcBorders>
            <w:shd w:val="clear" w:color="auto" w:fill="48A9C5" w:themeFill="accent1"/>
            <w:tcMar>
              <w:left w:w="60" w:type="dxa"/>
              <w:right w:w="60" w:type="dxa"/>
            </w:tcMar>
            <w:vAlign w:val="bottom"/>
          </w:tcPr>
          <w:p w14:paraId="23D5CEA0" w14:textId="77777777" w:rsidR="00850F1C" w:rsidRPr="00850F1C" w:rsidRDefault="00850F1C" w:rsidP="00850F1C">
            <w:pPr>
              <w:pStyle w:val="BodyText"/>
              <w:spacing w:after="0"/>
              <w:jc w:val="center"/>
              <w:rPr>
                <w:rFonts w:ascii="Arial Narrow" w:hAnsi="Arial Narrow"/>
                <w:b/>
                <w:bCs/>
                <w:color w:val="FFFFFF" w:themeColor="background1"/>
                <w:sz w:val="20"/>
                <w:lang w:val="en-US"/>
              </w:rPr>
            </w:pPr>
            <w:proofErr w:type="spellStart"/>
            <w:r w:rsidRPr="00850F1C">
              <w:rPr>
                <w:rFonts w:ascii="Arial Narrow" w:hAnsi="Arial Narrow"/>
                <w:b/>
                <w:bCs/>
                <w:color w:val="FFFFFF" w:themeColor="background1"/>
                <w:sz w:val="20"/>
                <w:lang w:val="en-US"/>
              </w:rPr>
              <w:t>Std</w:t>
            </w:r>
            <w:proofErr w:type="spellEnd"/>
            <w:r w:rsidRPr="00850F1C">
              <w:rPr>
                <w:rFonts w:ascii="Arial Narrow" w:hAnsi="Arial Narrow"/>
                <w:b/>
                <w:bCs/>
                <w:color w:val="FFFFFF" w:themeColor="background1"/>
                <w:sz w:val="20"/>
                <w:lang w:val="en-US"/>
              </w:rPr>
              <w:t> Err of</w:t>
            </w:r>
            <w:r w:rsidRPr="00850F1C">
              <w:rPr>
                <w:rFonts w:ascii="Arial Narrow" w:hAnsi="Arial Narrow"/>
                <w:b/>
                <w:bCs/>
                <w:color w:val="FFFFFF" w:themeColor="background1"/>
                <w:sz w:val="20"/>
                <w:lang w:val="en-US"/>
              </w:rPr>
              <w:br/>
              <w:t>Percent</w:t>
            </w:r>
          </w:p>
        </w:tc>
      </w:tr>
      <w:tr w:rsidR="00850F1C" w:rsidRPr="00850F1C" w14:paraId="6B441A32" w14:textId="77777777" w:rsidTr="00850F1C">
        <w:trPr>
          <w:cantSplit/>
          <w:trHeight w:val="55"/>
        </w:trPr>
        <w:tc>
          <w:tcPr>
            <w:tcW w:w="1657" w:type="dxa"/>
            <w:tcBorders>
              <w:top w:val="nil"/>
              <w:left w:val="single" w:sz="6" w:space="0" w:color="000000"/>
              <w:bottom w:val="single" w:sz="2" w:space="0" w:color="000000"/>
              <w:right w:val="nil"/>
            </w:tcBorders>
            <w:shd w:val="clear" w:color="auto" w:fill="DAEDF3" w:themeFill="accent1" w:themeFillTint="33"/>
            <w:tcMar>
              <w:left w:w="60" w:type="dxa"/>
              <w:right w:w="60" w:type="dxa"/>
            </w:tcMar>
          </w:tcPr>
          <w:p w14:paraId="1991E02B"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Not FMLA eligible</w:t>
            </w:r>
          </w:p>
        </w:tc>
        <w:tc>
          <w:tcPr>
            <w:tcW w:w="1389" w:type="dxa"/>
            <w:tcBorders>
              <w:top w:val="nil"/>
              <w:left w:val="single" w:sz="2" w:space="0" w:color="000000"/>
              <w:bottom w:val="single" w:sz="2" w:space="0" w:color="000000"/>
              <w:right w:val="nil"/>
            </w:tcBorders>
            <w:shd w:val="clear" w:color="auto" w:fill="FFFFFF"/>
            <w:tcMar>
              <w:left w:w="60" w:type="dxa"/>
              <w:right w:w="60" w:type="dxa"/>
            </w:tcMar>
          </w:tcPr>
          <w:p w14:paraId="0C5192BD"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1775</w:t>
            </w:r>
          </w:p>
        </w:tc>
        <w:tc>
          <w:tcPr>
            <w:tcW w:w="1389" w:type="dxa"/>
            <w:tcBorders>
              <w:top w:val="nil"/>
              <w:left w:val="single" w:sz="2" w:space="0" w:color="000000"/>
              <w:bottom w:val="single" w:sz="2" w:space="0" w:color="000000"/>
              <w:right w:val="nil"/>
            </w:tcBorders>
            <w:shd w:val="clear" w:color="auto" w:fill="FFFFFF"/>
            <w:tcMar>
              <w:left w:w="60" w:type="dxa"/>
              <w:right w:w="60" w:type="dxa"/>
            </w:tcMar>
          </w:tcPr>
          <w:p w14:paraId="30770A38"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58091904</w:t>
            </w:r>
          </w:p>
        </w:tc>
        <w:tc>
          <w:tcPr>
            <w:tcW w:w="1328" w:type="dxa"/>
            <w:tcBorders>
              <w:top w:val="nil"/>
              <w:left w:val="single" w:sz="2" w:space="0" w:color="000000"/>
              <w:bottom w:val="single" w:sz="2" w:space="0" w:color="000000"/>
              <w:right w:val="nil"/>
            </w:tcBorders>
            <w:shd w:val="clear" w:color="auto" w:fill="FFFFFF"/>
            <w:tcMar>
              <w:left w:w="60" w:type="dxa"/>
              <w:right w:w="60" w:type="dxa"/>
            </w:tcMar>
          </w:tcPr>
          <w:p w14:paraId="61CFCA9A"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2179192</w:t>
            </w:r>
          </w:p>
        </w:tc>
        <w:tc>
          <w:tcPr>
            <w:tcW w:w="1077" w:type="dxa"/>
            <w:tcBorders>
              <w:top w:val="nil"/>
              <w:left w:val="single" w:sz="2" w:space="0" w:color="000000"/>
              <w:bottom w:val="single" w:sz="2" w:space="0" w:color="000000"/>
              <w:right w:val="nil"/>
            </w:tcBorders>
            <w:shd w:val="clear" w:color="auto" w:fill="FFFFFF"/>
            <w:tcMar>
              <w:left w:w="60" w:type="dxa"/>
              <w:right w:w="60" w:type="dxa"/>
            </w:tcMar>
          </w:tcPr>
          <w:p w14:paraId="7B9C61FD"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44.2839</w:t>
            </w:r>
          </w:p>
        </w:tc>
        <w:tc>
          <w:tcPr>
            <w:tcW w:w="13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682444"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1.6637</w:t>
            </w:r>
          </w:p>
        </w:tc>
      </w:tr>
      <w:tr w:rsidR="00850F1C" w:rsidRPr="00850F1C" w14:paraId="32E66645" w14:textId="77777777" w:rsidTr="00850F1C">
        <w:trPr>
          <w:cantSplit/>
          <w:trHeight w:val="55"/>
        </w:trPr>
        <w:tc>
          <w:tcPr>
            <w:tcW w:w="1657" w:type="dxa"/>
            <w:tcBorders>
              <w:top w:val="nil"/>
              <w:left w:val="single" w:sz="6" w:space="0" w:color="000000"/>
              <w:bottom w:val="single" w:sz="6" w:space="0" w:color="000000"/>
              <w:right w:val="nil"/>
            </w:tcBorders>
            <w:shd w:val="clear" w:color="auto" w:fill="DAEDF3" w:themeFill="accent1" w:themeFillTint="33"/>
            <w:tcMar>
              <w:left w:w="60" w:type="dxa"/>
              <w:right w:w="60" w:type="dxa"/>
            </w:tcMar>
          </w:tcPr>
          <w:p w14:paraId="2EADD3AC"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FMLA Eligible</w:t>
            </w:r>
          </w:p>
        </w:tc>
        <w:tc>
          <w:tcPr>
            <w:tcW w:w="1389" w:type="dxa"/>
            <w:tcBorders>
              <w:top w:val="nil"/>
              <w:left w:val="single" w:sz="2" w:space="0" w:color="000000"/>
              <w:bottom w:val="single" w:sz="6" w:space="0" w:color="000000"/>
              <w:right w:val="nil"/>
            </w:tcBorders>
            <w:shd w:val="clear" w:color="auto" w:fill="FFFFFF"/>
            <w:tcMar>
              <w:left w:w="60" w:type="dxa"/>
              <w:right w:w="60" w:type="dxa"/>
            </w:tcMar>
          </w:tcPr>
          <w:p w14:paraId="5D9E295A"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2350</w:t>
            </w:r>
          </w:p>
        </w:tc>
        <w:tc>
          <w:tcPr>
            <w:tcW w:w="1389" w:type="dxa"/>
            <w:tcBorders>
              <w:top w:val="nil"/>
              <w:left w:val="single" w:sz="2" w:space="0" w:color="000000"/>
              <w:bottom w:val="single" w:sz="6" w:space="0" w:color="000000"/>
              <w:right w:val="nil"/>
            </w:tcBorders>
            <w:shd w:val="clear" w:color="auto" w:fill="FFFFFF"/>
            <w:tcMar>
              <w:left w:w="60" w:type="dxa"/>
              <w:right w:w="60" w:type="dxa"/>
            </w:tcMar>
          </w:tcPr>
          <w:p w14:paraId="17A5408F"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73088800</w:t>
            </w:r>
          </w:p>
        </w:tc>
        <w:tc>
          <w:tcPr>
            <w:tcW w:w="1328" w:type="dxa"/>
            <w:tcBorders>
              <w:top w:val="nil"/>
              <w:left w:val="single" w:sz="2" w:space="0" w:color="000000"/>
              <w:bottom w:val="single" w:sz="6" w:space="0" w:color="000000"/>
              <w:right w:val="nil"/>
            </w:tcBorders>
            <w:shd w:val="clear" w:color="auto" w:fill="FFFFFF"/>
            <w:tcMar>
              <w:left w:w="60" w:type="dxa"/>
              <w:right w:w="60" w:type="dxa"/>
            </w:tcMar>
          </w:tcPr>
          <w:p w14:paraId="39AA5FC7"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2372930</w:t>
            </w:r>
          </w:p>
        </w:tc>
        <w:tc>
          <w:tcPr>
            <w:tcW w:w="1077" w:type="dxa"/>
            <w:tcBorders>
              <w:top w:val="nil"/>
              <w:left w:val="single" w:sz="2" w:space="0" w:color="000000"/>
              <w:bottom w:val="single" w:sz="6" w:space="0" w:color="000000"/>
              <w:right w:val="nil"/>
            </w:tcBorders>
            <w:shd w:val="clear" w:color="auto" w:fill="FFFFFF"/>
            <w:tcMar>
              <w:left w:w="60" w:type="dxa"/>
              <w:right w:w="60" w:type="dxa"/>
            </w:tcMar>
          </w:tcPr>
          <w:p w14:paraId="5829271D"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55.7161</w:t>
            </w:r>
          </w:p>
        </w:tc>
        <w:tc>
          <w:tcPr>
            <w:tcW w:w="13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DCE6ADD"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1.6637</w:t>
            </w:r>
          </w:p>
        </w:tc>
      </w:tr>
      <w:tr w:rsidR="00850F1C" w:rsidRPr="00850F1C" w14:paraId="11E4B042" w14:textId="77777777" w:rsidTr="00850F1C">
        <w:trPr>
          <w:cantSplit/>
          <w:trHeight w:val="45"/>
        </w:trPr>
        <w:tc>
          <w:tcPr>
            <w:tcW w:w="1657" w:type="dxa"/>
            <w:tcBorders>
              <w:top w:val="single" w:sz="6" w:space="0" w:color="000000"/>
              <w:left w:val="single" w:sz="6" w:space="0" w:color="000000"/>
              <w:bottom w:val="single" w:sz="2" w:space="0" w:color="000000"/>
              <w:right w:val="nil"/>
            </w:tcBorders>
            <w:shd w:val="clear" w:color="auto" w:fill="DAEDF3" w:themeFill="accent1" w:themeFillTint="33"/>
            <w:tcMar>
              <w:left w:w="60" w:type="dxa"/>
              <w:right w:w="60" w:type="dxa"/>
            </w:tcMar>
          </w:tcPr>
          <w:p w14:paraId="04FEB234" w14:textId="77777777" w:rsidR="00850F1C" w:rsidRPr="00850F1C" w:rsidRDefault="00850F1C" w:rsidP="00850F1C">
            <w:pPr>
              <w:pStyle w:val="BodyText"/>
              <w:spacing w:after="0"/>
              <w:rPr>
                <w:rFonts w:ascii="Arial Narrow" w:hAnsi="Arial Narrow"/>
                <w:b/>
                <w:bCs/>
                <w:sz w:val="20"/>
                <w:lang w:val="en-US"/>
              </w:rPr>
            </w:pPr>
            <w:r w:rsidRPr="00850F1C">
              <w:rPr>
                <w:rFonts w:ascii="Arial Narrow" w:hAnsi="Arial Narrow"/>
                <w:b/>
                <w:bCs/>
                <w:sz w:val="20"/>
                <w:lang w:val="en-US"/>
              </w:rPr>
              <w:t>Total</w:t>
            </w:r>
          </w:p>
        </w:tc>
        <w:tc>
          <w:tcPr>
            <w:tcW w:w="1389"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3A072C30"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4125</w:t>
            </w:r>
          </w:p>
        </w:tc>
        <w:tc>
          <w:tcPr>
            <w:tcW w:w="1389"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4037093A"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131180703</w:t>
            </w:r>
          </w:p>
        </w:tc>
        <w:tc>
          <w:tcPr>
            <w:tcW w:w="1328"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1A69BD1B"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1300132</w:t>
            </w:r>
          </w:p>
        </w:tc>
        <w:tc>
          <w:tcPr>
            <w:tcW w:w="107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65886FC6" w14:textId="77777777" w:rsidR="00850F1C" w:rsidRPr="00850F1C" w:rsidRDefault="00850F1C" w:rsidP="00850F1C">
            <w:pPr>
              <w:pStyle w:val="BodyText"/>
              <w:spacing w:after="0"/>
              <w:jc w:val="right"/>
              <w:rPr>
                <w:rFonts w:ascii="Arial Narrow" w:hAnsi="Arial Narrow"/>
                <w:sz w:val="20"/>
                <w:lang w:val="en-US"/>
              </w:rPr>
            </w:pPr>
            <w:r w:rsidRPr="00850F1C">
              <w:rPr>
                <w:rFonts w:ascii="Arial Narrow" w:hAnsi="Arial Narrow"/>
                <w:sz w:val="20"/>
                <w:lang w:val="en-US"/>
              </w:rPr>
              <w:t>100.0000</w:t>
            </w:r>
          </w:p>
        </w:tc>
        <w:tc>
          <w:tcPr>
            <w:tcW w:w="133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E34FD42" w14:textId="77777777" w:rsidR="00850F1C" w:rsidRPr="00850F1C" w:rsidRDefault="00850F1C" w:rsidP="00850F1C">
            <w:pPr>
              <w:pStyle w:val="BodyText"/>
              <w:spacing w:after="0"/>
              <w:jc w:val="right"/>
              <w:rPr>
                <w:rFonts w:ascii="Arial Narrow" w:hAnsi="Arial Narrow"/>
                <w:sz w:val="20"/>
                <w:lang w:val="en-US"/>
              </w:rPr>
            </w:pPr>
          </w:p>
        </w:tc>
      </w:tr>
      <w:tr w:rsidR="00850F1C" w:rsidRPr="00850F1C" w14:paraId="031AF233" w14:textId="77777777" w:rsidTr="00850F1C">
        <w:trPr>
          <w:cantSplit/>
          <w:trHeight w:val="55"/>
        </w:trPr>
        <w:tc>
          <w:tcPr>
            <w:tcW w:w="8173" w:type="dxa"/>
            <w:gridSpan w:val="6"/>
            <w:tcBorders>
              <w:top w:val="nil"/>
              <w:left w:val="single" w:sz="6" w:space="0" w:color="000000"/>
              <w:bottom w:val="single" w:sz="6" w:space="0" w:color="000000"/>
              <w:right w:val="single" w:sz="6" w:space="0" w:color="000000"/>
            </w:tcBorders>
            <w:shd w:val="clear" w:color="auto" w:fill="DAEDF3" w:themeFill="accent1" w:themeFillTint="33"/>
            <w:tcMar>
              <w:left w:w="60" w:type="dxa"/>
              <w:right w:w="60" w:type="dxa"/>
            </w:tcMar>
            <w:vAlign w:val="bottom"/>
          </w:tcPr>
          <w:p w14:paraId="0D4AA14E" w14:textId="77777777" w:rsidR="00850F1C" w:rsidRPr="00850F1C" w:rsidRDefault="00850F1C" w:rsidP="006F7B56">
            <w:pPr>
              <w:pStyle w:val="BodyText"/>
              <w:spacing w:after="0"/>
              <w:jc w:val="center"/>
              <w:rPr>
                <w:rFonts w:ascii="Arial Narrow" w:hAnsi="Arial Narrow"/>
                <w:b/>
                <w:bCs/>
                <w:sz w:val="20"/>
                <w:lang w:val="en-US"/>
              </w:rPr>
            </w:pPr>
            <w:r w:rsidRPr="00850F1C">
              <w:rPr>
                <w:rFonts w:ascii="Arial Narrow" w:hAnsi="Arial Narrow"/>
                <w:b/>
                <w:bCs/>
                <w:sz w:val="20"/>
                <w:lang w:val="en-US"/>
              </w:rPr>
              <w:t>Frequency Missing = 345</w:t>
            </w:r>
          </w:p>
        </w:tc>
      </w:tr>
    </w:tbl>
    <w:p w14:paraId="3BCA3F3B" w14:textId="77777777" w:rsidR="00850F1C" w:rsidRPr="00850F1C" w:rsidRDefault="00850F1C" w:rsidP="00850F1C">
      <w:pPr>
        <w:pStyle w:val="BodyText"/>
        <w:rPr>
          <w:b/>
          <w:i/>
          <w:lang w:val="en-US"/>
        </w:rPr>
      </w:pPr>
    </w:p>
    <w:p w14:paraId="379E43BA" w14:textId="77777777" w:rsidR="006F7B56" w:rsidRPr="006F7B56" w:rsidRDefault="006F7B56" w:rsidP="007769FE">
      <w:pPr>
        <w:pStyle w:val="Heading6"/>
      </w:pPr>
      <w:r w:rsidRPr="006F7B56">
        <w:t>Frequencies of FMLA eligibility on subsample of males</w:t>
      </w:r>
    </w:p>
    <w:p w14:paraId="4D98F775" w14:textId="77777777" w:rsidR="006F7B56" w:rsidRPr="006F7B56" w:rsidRDefault="006F7B56" w:rsidP="006F7B56">
      <w:pPr>
        <w:pStyle w:val="BodyText"/>
        <w:spacing w:after="0"/>
        <w:rPr>
          <w:lang w:val="en-US"/>
        </w:rPr>
      </w:pPr>
      <w:r w:rsidRPr="006F7B56">
        <w:rPr>
          <w:lang w:val="en-US"/>
        </w:rPr>
        <w:t xml:space="preserve">PROC SURVEYFREQ data=&lt;LIBNAME&gt;. FMLA_2018_EMPLOYEE _PUF </w:t>
      </w:r>
    </w:p>
    <w:p w14:paraId="005A28E3" w14:textId="77777777" w:rsidR="006F7B56" w:rsidRPr="006F7B56" w:rsidRDefault="006F7B56" w:rsidP="006F7B56">
      <w:pPr>
        <w:pStyle w:val="BodyText"/>
        <w:spacing w:after="0"/>
        <w:ind w:firstLine="360"/>
        <w:rPr>
          <w:lang w:val="en-US"/>
        </w:rPr>
      </w:pPr>
      <w:r w:rsidRPr="006F7B56">
        <w:rPr>
          <w:lang w:val="en-US"/>
        </w:rPr>
        <w:t xml:space="preserve">VARMETHOD = </w:t>
      </w:r>
      <w:proofErr w:type="spellStart"/>
      <w:r w:rsidRPr="006F7B56">
        <w:rPr>
          <w:lang w:val="en-US"/>
        </w:rPr>
        <w:t>brr</w:t>
      </w:r>
      <w:proofErr w:type="spellEnd"/>
      <w:r w:rsidRPr="006F7B56">
        <w:rPr>
          <w:lang w:val="en-US"/>
        </w:rPr>
        <w:t>;</w:t>
      </w:r>
    </w:p>
    <w:p w14:paraId="1DDF36BA" w14:textId="6CED2423" w:rsidR="006F7B56" w:rsidRPr="006F7B56" w:rsidRDefault="006F7B56" w:rsidP="00B80576">
      <w:pPr>
        <w:pStyle w:val="BodyText"/>
        <w:spacing w:after="0"/>
        <w:ind w:firstLine="360"/>
        <w:rPr>
          <w:lang w:val="en-US"/>
        </w:rPr>
      </w:pPr>
      <w:r w:rsidRPr="006F7B56">
        <w:rPr>
          <w:lang w:val="en-US"/>
        </w:rPr>
        <w:t xml:space="preserve">WEIGHT </w:t>
      </w:r>
      <w:proofErr w:type="spellStart"/>
      <w:r w:rsidRPr="006F7B56">
        <w:rPr>
          <w:lang w:val="en-US"/>
        </w:rPr>
        <w:t>combo_trimmed_weight</w:t>
      </w:r>
      <w:proofErr w:type="spellEnd"/>
      <w:r w:rsidRPr="006F7B56">
        <w:rPr>
          <w:lang w:val="en-US"/>
        </w:rPr>
        <w:t>;</w:t>
      </w:r>
    </w:p>
    <w:p w14:paraId="17434222" w14:textId="1A31A57C" w:rsidR="006F7B56" w:rsidRPr="006F7B56" w:rsidRDefault="006F7B56" w:rsidP="00B80576">
      <w:pPr>
        <w:pStyle w:val="BodyText"/>
        <w:spacing w:after="0"/>
        <w:ind w:firstLine="360"/>
        <w:rPr>
          <w:lang w:val="en-US"/>
        </w:rPr>
      </w:pPr>
      <w:r w:rsidRPr="006F7B56">
        <w:rPr>
          <w:lang w:val="en-US"/>
        </w:rPr>
        <w:t>REPWEIGHT cmb_bsrw1 - cmb_bsrw200;</w:t>
      </w:r>
    </w:p>
    <w:p w14:paraId="0A4CDBEF" w14:textId="6F695F49" w:rsidR="006F7B56" w:rsidRPr="006F7B56" w:rsidRDefault="006F7B56" w:rsidP="00B80576">
      <w:pPr>
        <w:pStyle w:val="BodyText"/>
        <w:ind w:firstLine="360"/>
        <w:rPr>
          <w:lang w:val="en-US"/>
        </w:rPr>
      </w:pPr>
      <w:r w:rsidRPr="006F7B56">
        <w:rPr>
          <w:lang w:val="en-US"/>
        </w:rPr>
        <w:t xml:space="preserve">TABLES </w:t>
      </w:r>
      <w:proofErr w:type="spellStart"/>
      <w:r w:rsidRPr="006F7B56">
        <w:rPr>
          <w:lang w:val="en-US"/>
        </w:rPr>
        <w:t>fmla_eligible</w:t>
      </w:r>
      <w:proofErr w:type="spellEnd"/>
      <w:r w:rsidRPr="006F7B56">
        <w:rPr>
          <w:lang w:val="en-US"/>
        </w:rPr>
        <w:t xml:space="preserve"> * male;</w:t>
      </w:r>
    </w:p>
    <w:p w14:paraId="419E2189" w14:textId="1A4C55EB" w:rsidR="006F7B56" w:rsidRPr="006F7B56" w:rsidRDefault="006F7B56" w:rsidP="006F7B56">
      <w:pPr>
        <w:pStyle w:val="BodyText"/>
        <w:rPr>
          <w:lang w:val="en-US"/>
        </w:rPr>
      </w:pPr>
      <w:r w:rsidRPr="006F7B56">
        <w:rPr>
          <w:lang w:val="en-US"/>
        </w:rPr>
        <w:t>RUN;</w:t>
      </w:r>
      <w:r w:rsidR="00AA41AB">
        <w:rPr>
          <w:lang w:val="en-US"/>
        </w:rPr>
        <w:t xml:space="preserve"> </w:t>
      </w:r>
    </w:p>
    <w:p w14:paraId="50F687F0" w14:textId="77777777" w:rsidR="006F7B56" w:rsidRPr="006F7B56" w:rsidRDefault="006F7B56" w:rsidP="007769FE">
      <w:pPr>
        <w:pStyle w:val="Heading4"/>
      </w:pPr>
      <w:bookmarkStart w:id="21" w:name="_Toc25571789"/>
      <w:r w:rsidRPr="006F7B56">
        <w:t>Stata Code</w:t>
      </w:r>
      <w:bookmarkEnd w:id="21"/>
    </w:p>
    <w:p w14:paraId="1CC9DA61" w14:textId="77777777" w:rsidR="006F7B56" w:rsidRPr="006F7B56" w:rsidRDefault="006F7B56" w:rsidP="006F7B56">
      <w:pPr>
        <w:pStyle w:val="BodyText"/>
        <w:rPr>
          <w:lang w:val="en-US"/>
        </w:rPr>
      </w:pPr>
      <w:r w:rsidRPr="006F7B56">
        <w:rPr>
          <w:lang w:val="en-US"/>
        </w:rPr>
        <w:t>Appropriate code to run the analysis in Stata follows.</w:t>
      </w:r>
    </w:p>
    <w:p w14:paraId="49EF5FC6" w14:textId="77777777" w:rsidR="006F7B56" w:rsidRPr="006F7B56" w:rsidRDefault="006F7B56" w:rsidP="006F7B56">
      <w:pPr>
        <w:pStyle w:val="BodyText"/>
        <w:rPr>
          <w:lang w:val="en-US"/>
        </w:rPr>
      </w:pPr>
      <w:r w:rsidRPr="006F7B56">
        <w:rPr>
          <w:lang w:val="en-US"/>
        </w:rPr>
        <w:t>Use the following “settings” for each of the analyses that follow:</w:t>
      </w:r>
    </w:p>
    <w:p w14:paraId="7F3A1B46" w14:textId="77777777" w:rsidR="006F7B56" w:rsidRPr="006F7B56" w:rsidRDefault="006F7B56" w:rsidP="006F7B56">
      <w:pPr>
        <w:pStyle w:val="BodyText"/>
        <w:rPr>
          <w:lang w:val="en-US"/>
        </w:rPr>
      </w:pPr>
      <w:proofErr w:type="spellStart"/>
      <w:proofErr w:type="gramStart"/>
      <w:r w:rsidRPr="006F7B56">
        <w:rPr>
          <w:lang w:val="en-US"/>
        </w:rPr>
        <w:t>svyset</w:t>
      </w:r>
      <w:proofErr w:type="spellEnd"/>
      <w:proofErr w:type="gramEnd"/>
      <w:r w:rsidRPr="006F7B56">
        <w:rPr>
          <w:lang w:val="en-US"/>
        </w:rPr>
        <w:t xml:space="preserve"> [pw=</w:t>
      </w:r>
      <w:proofErr w:type="spellStart"/>
      <w:r w:rsidRPr="006F7B56">
        <w:rPr>
          <w:lang w:val="en-US"/>
        </w:rPr>
        <w:t>combo_trimmed_weight</w:t>
      </w:r>
      <w:proofErr w:type="spellEnd"/>
      <w:r w:rsidRPr="006F7B56">
        <w:rPr>
          <w:lang w:val="en-US"/>
        </w:rPr>
        <w:t xml:space="preserve">], </w:t>
      </w:r>
      <w:proofErr w:type="spellStart"/>
      <w:r w:rsidRPr="006F7B56">
        <w:rPr>
          <w:lang w:val="en-US"/>
        </w:rPr>
        <w:t>vce</w:t>
      </w:r>
      <w:proofErr w:type="spellEnd"/>
      <w:r w:rsidRPr="006F7B56">
        <w:rPr>
          <w:lang w:val="en-US"/>
        </w:rPr>
        <w:t xml:space="preserve">(bootstrap) </w:t>
      </w:r>
      <w:proofErr w:type="spellStart"/>
      <w:r w:rsidRPr="006F7B56">
        <w:rPr>
          <w:lang w:val="en-US"/>
        </w:rPr>
        <w:t>bsrw</w:t>
      </w:r>
      <w:proofErr w:type="spellEnd"/>
      <w:r w:rsidRPr="006F7B56">
        <w:rPr>
          <w:lang w:val="en-US"/>
        </w:rPr>
        <w:t>(</w:t>
      </w:r>
      <w:proofErr w:type="spellStart"/>
      <w:r w:rsidRPr="006F7B56">
        <w:rPr>
          <w:lang w:val="en-US"/>
        </w:rPr>
        <w:t>cmb_bsrw</w:t>
      </w:r>
      <w:proofErr w:type="spellEnd"/>
      <w:r w:rsidRPr="006F7B56">
        <w:rPr>
          <w:lang w:val="en-US"/>
        </w:rPr>
        <w:t xml:space="preserve">*) </w:t>
      </w:r>
      <w:proofErr w:type="spellStart"/>
      <w:r w:rsidRPr="006F7B56">
        <w:rPr>
          <w:lang w:val="en-US"/>
        </w:rPr>
        <w:t>mse</w:t>
      </w:r>
      <w:proofErr w:type="spellEnd"/>
    </w:p>
    <w:p w14:paraId="73174B5E" w14:textId="77777777" w:rsidR="006F7B56" w:rsidRPr="006F7B56" w:rsidRDefault="006F7B56" w:rsidP="006F7B56">
      <w:pPr>
        <w:pStyle w:val="BodyText"/>
        <w:rPr>
          <w:lang w:val="en-US"/>
        </w:rPr>
      </w:pPr>
      <w:r w:rsidRPr="006F7B56">
        <w:rPr>
          <w:lang w:val="en-US"/>
        </w:rPr>
        <w:t>As noted, each of the following analyses needs to be preceded by the “settings” command above.</w:t>
      </w:r>
    </w:p>
    <w:p w14:paraId="3DA054DB" w14:textId="77777777" w:rsidR="006F7B56" w:rsidRPr="006F7B56" w:rsidRDefault="006F7B56" w:rsidP="007769FE">
      <w:pPr>
        <w:pStyle w:val="Heading6"/>
      </w:pPr>
      <w:r w:rsidRPr="006F7B56">
        <w:t>Frequencies of FMLA eligibility on full sample</w:t>
      </w:r>
    </w:p>
    <w:p w14:paraId="4AE41C97" w14:textId="77777777" w:rsidR="006F7B56" w:rsidRPr="006F7B56" w:rsidRDefault="006F7B56" w:rsidP="006F7B56">
      <w:pPr>
        <w:pStyle w:val="BodyText"/>
        <w:rPr>
          <w:lang w:val="en-US"/>
        </w:rPr>
      </w:pPr>
      <w:proofErr w:type="spellStart"/>
      <w:proofErr w:type="gramStart"/>
      <w:r w:rsidRPr="006F7B56">
        <w:rPr>
          <w:lang w:val="en-US"/>
        </w:rPr>
        <w:t>svy</w:t>
      </w:r>
      <w:proofErr w:type="spellEnd"/>
      <w:proofErr w:type="gramEnd"/>
      <w:r w:rsidRPr="006F7B56">
        <w:rPr>
          <w:lang w:val="en-US"/>
        </w:rPr>
        <w:t xml:space="preserve">: tab </w:t>
      </w:r>
      <w:proofErr w:type="spellStart"/>
      <w:r w:rsidRPr="006F7B56">
        <w:rPr>
          <w:lang w:val="en-US"/>
        </w:rPr>
        <w:t>fmla_eligible</w:t>
      </w:r>
      <w:proofErr w:type="spellEnd"/>
    </w:p>
    <w:p w14:paraId="560C3F67" w14:textId="77777777" w:rsidR="006F7B56" w:rsidRPr="006F7B56" w:rsidRDefault="006F7B56" w:rsidP="006F7B56">
      <w:pPr>
        <w:pStyle w:val="BodyText"/>
        <w:rPr>
          <w:i/>
          <w:lang w:val="en-US"/>
        </w:rPr>
      </w:pPr>
      <w:r w:rsidRPr="006F7B56">
        <w:rPr>
          <w:i/>
          <w:lang w:val="en-US"/>
        </w:rPr>
        <w:t>Output:</w:t>
      </w:r>
    </w:p>
    <w:p w14:paraId="43BDE15A" w14:textId="0642DB83" w:rsidR="006F7B56" w:rsidRPr="006F7B56" w:rsidRDefault="006F7B56" w:rsidP="006F7B56">
      <w:pPr>
        <w:pStyle w:val="BodyText"/>
        <w:spacing w:after="0"/>
        <w:rPr>
          <w:lang w:val="en-US"/>
        </w:rPr>
      </w:pPr>
      <w:r w:rsidRPr="006F7B56">
        <w:rPr>
          <w:lang w:val="en-US"/>
        </w:rPr>
        <w:t>Number of</w:t>
      </w:r>
      <w:r w:rsidR="00AA41AB">
        <w:rPr>
          <w:lang w:val="en-US"/>
        </w:rPr>
        <w:t xml:space="preserve"> </w:t>
      </w:r>
      <w:proofErr w:type="spellStart"/>
      <w:r w:rsidRPr="006F7B56">
        <w:rPr>
          <w:lang w:val="en-US"/>
        </w:rPr>
        <w:t>obs</w:t>
      </w:r>
      <w:proofErr w:type="spellEnd"/>
      <w:r w:rsidRPr="006F7B56">
        <w:rPr>
          <w:lang w:val="en-US"/>
        </w:rPr>
        <w:tab/>
        <w:t>=</w:t>
      </w:r>
      <w:r w:rsidRPr="006F7B56">
        <w:rPr>
          <w:lang w:val="en-US"/>
        </w:rPr>
        <w:tab/>
        <w:t>4,125</w:t>
      </w:r>
    </w:p>
    <w:p w14:paraId="667B24EA" w14:textId="77777777" w:rsidR="006F7B56" w:rsidRPr="006F7B56" w:rsidRDefault="006F7B56" w:rsidP="006F7B56">
      <w:pPr>
        <w:pStyle w:val="BodyText"/>
        <w:spacing w:after="0"/>
        <w:rPr>
          <w:lang w:val="en-US"/>
        </w:rPr>
      </w:pPr>
      <w:r w:rsidRPr="006F7B56">
        <w:rPr>
          <w:lang w:val="en-US"/>
        </w:rPr>
        <w:t>Population size</w:t>
      </w:r>
      <w:r w:rsidRPr="006F7B56">
        <w:rPr>
          <w:lang w:val="en-US"/>
        </w:rPr>
        <w:tab/>
        <w:t>=</w:t>
      </w:r>
      <w:r w:rsidRPr="006F7B56">
        <w:rPr>
          <w:lang w:val="en-US"/>
        </w:rPr>
        <w:tab/>
        <w:t>131,180,703</w:t>
      </w:r>
    </w:p>
    <w:p w14:paraId="1D442271" w14:textId="77777777" w:rsidR="006F7B56" w:rsidRPr="006F7B56" w:rsidRDefault="006F7B56" w:rsidP="006F7B56">
      <w:pPr>
        <w:pStyle w:val="BodyText"/>
        <w:rPr>
          <w:lang w:val="en-US"/>
        </w:rPr>
      </w:pPr>
      <w:r w:rsidRPr="006F7B56">
        <w:rPr>
          <w:lang w:val="en-US"/>
        </w:rPr>
        <w:t>Replications</w:t>
      </w:r>
      <w:r w:rsidRPr="006F7B56">
        <w:rPr>
          <w:lang w:val="en-US"/>
        </w:rPr>
        <w:tab/>
        <w:t>=</w:t>
      </w:r>
      <w:r w:rsidRPr="006F7B56">
        <w:rPr>
          <w:lang w:val="en-US"/>
        </w:rPr>
        <w:tab/>
        <w:t>200</w:t>
      </w:r>
    </w:p>
    <w:tbl>
      <w:tblPr>
        <w:tblStyle w:val="TableGrid"/>
        <w:tblW w:w="0" w:type="auto"/>
        <w:tblLook w:val="04A0" w:firstRow="1" w:lastRow="0" w:firstColumn="1" w:lastColumn="0" w:noHBand="0" w:noVBand="1"/>
      </w:tblPr>
      <w:tblGrid>
        <w:gridCol w:w="3690"/>
        <w:gridCol w:w="1260"/>
      </w:tblGrid>
      <w:tr w:rsidR="006F7B56" w:rsidRPr="006F7B56" w14:paraId="1CAB7413" w14:textId="77777777" w:rsidTr="006F7B56">
        <w:tc>
          <w:tcPr>
            <w:tcW w:w="3690" w:type="dxa"/>
            <w:tcBorders>
              <w:top w:val="nil"/>
              <w:left w:val="nil"/>
              <w:bottom w:val="single" w:sz="4" w:space="0" w:color="auto"/>
              <w:right w:val="single" w:sz="4" w:space="0" w:color="auto"/>
            </w:tcBorders>
            <w:shd w:val="clear" w:color="auto" w:fill="48A9C5" w:themeFill="accent1"/>
          </w:tcPr>
          <w:p w14:paraId="19484610" w14:textId="77777777" w:rsidR="006F7B56" w:rsidRPr="006F7B56" w:rsidRDefault="006F7B56" w:rsidP="006F7B56">
            <w:pPr>
              <w:pStyle w:val="BodyText"/>
              <w:spacing w:after="0"/>
              <w:rPr>
                <w:rFonts w:ascii="Arial Narrow" w:hAnsi="Arial Narrow"/>
                <w:b/>
                <w:color w:val="FFFFFF" w:themeColor="background1"/>
                <w:sz w:val="20"/>
                <w:lang w:val="en-US"/>
              </w:rPr>
            </w:pPr>
            <w:r w:rsidRPr="006F7B56">
              <w:rPr>
                <w:rFonts w:ascii="Arial Narrow" w:hAnsi="Arial Narrow"/>
                <w:b/>
                <w:color w:val="FFFFFF" w:themeColor="background1"/>
                <w:sz w:val="20"/>
                <w:lang w:val="en-US"/>
              </w:rPr>
              <w:t>Respondent was eligible for FMLA at start of reference period (12 months prior to survey date) based on stated work tenure, weekly hours, and employer size</w:t>
            </w:r>
          </w:p>
        </w:tc>
        <w:tc>
          <w:tcPr>
            <w:tcW w:w="1260" w:type="dxa"/>
            <w:tcBorders>
              <w:top w:val="nil"/>
              <w:left w:val="single" w:sz="4" w:space="0" w:color="auto"/>
              <w:bottom w:val="single" w:sz="4" w:space="0" w:color="auto"/>
              <w:right w:val="nil"/>
            </w:tcBorders>
            <w:shd w:val="clear" w:color="auto" w:fill="48A9C5" w:themeFill="accent1"/>
            <w:vAlign w:val="bottom"/>
          </w:tcPr>
          <w:p w14:paraId="04B486FE" w14:textId="77777777" w:rsidR="006F7B56" w:rsidRPr="006F7B56" w:rsidRDefault="006F7B56" w:rsidP="006F7B56">
            <w:pPr>
              <w:pStyle w:val="BodyText"/>
              <w:spacing w:after="0"/>
              <w:rPr>
                <w:rFonts w:ascii="Arial Narrow" w:hAnsi="Arial Narrow"/>
                <w:b/>
                <w:color w:val="FFFFFF" w:themeColor="background1"/>
                <w:sz w:val="20"/>
                <w:lang w:val="en-US"/>
              </w:rPr>
            </w:pPr>
            <w:r w:rsidRPr="006F7B56">
              <w:rPr>
                <w:rFonts w:ascii="Arial Narrow" w:hAnsi="Arial Narrow"/>
                <w:b/>
                <w:color w:val="FFFFFF" w:themeColor="background1"/>
                <w:sz w:val="20"/>
                <w:lang w:val="en-US"/>
              </w:rPr>
              <w:t>Proportion</w:t>
            </w:r>
          </w:p>
        </w:tc>
      </w:tr>
      <w:tr w:rsidR="006F7B56" w:rsidRPr="006F7B56" w14:paraId="7DE22AA2" w14:textId="77777777" w:rsidTr="006F7B56">
        <w:tc>
          <w:tcPr>
            <w:tcW w:w="3690" w:type="dxa"/>
            <w:tcBorders>
              <w:top w:val="single" w:sz="4" w:space="0" w:color="auto"/>
              <w:left w:val="nil"/>
              <w:bottom w:val="nil"/>
              <w:right w:val="single" w:sz="4" w:space="0" w:color="auto"/>
            </w:tcBorders>
          </w:tcPr>
          <w:p w14:paraId="7890C069" w14:textId="77777777" w:rsidR="006F7B56" w:rsidRPr="006F7B56" w:rsidRDefault="006F7B56" w:rsidP="006F7B56">
            <w:pPr>
              <w:pStyle w:val="BodyText"/>
              <w:spacing w:after="0"/>
              <w:rPr>
                <w:rFonts w:ascii="Arial Narrow" w:hAnsi="Arial Narrow"/>
                <w:sz w:val="20"/>
                <w:lang w:val="en-US"/>
              </w:rPr>
            </w:pPr>
            <w:r w:rsidRPr="006F7B56">
              <w:rPr>
                <w:rFonts w:ascii="Arial Narrow" w:hAnsi="Arial Narrow"/>
                <w:sz w:val="20"/>
                <w:lang w:val="en-US"/>
              </w:rPr>
              <w:t>Not FMLA eligible</w:t>
            </w:r>
          </w:p>
        </w:tc>
        <w:tc>
          <w:tcPr>
            <w:tcW w:w="1260" w:type="dxa"/>
            <w:tcBorders>
              <w:top w:val="single" w:sz="4" w:space="0" w:color="auto"/>
              <w:left w:val="single" w:sz="4" w:space="0" w:color="auto"/>
              <w:bottom w:val="nil"/>
              <w:right w:val="nil"/>
            </w:tcBorders>
          </w:tcPr>
          <w:p w14:paraId="64326F3C" w14:textId="77777777" w:rsidR="006F7B56" w:rsidRPr="006F7B56" w:rsidRDefault="006F7B56" w:rsidP="006F7B56">
            <w:pPr>
              <w:pStyle w:val="BodyText"/>
              <w:spacing w:after="0"/>
              <w:jc w:val="right"/>
              <w:rPr>
                <w:rFonts w:ascii="Arial Narrow" w:hAnsi="Arial Narrow"/>
                <w:sz w:val="20"/>
                <w:lang w:val="en-US"/>
              </w:rPr>
            </w:pPr>
            <w:r w:rsidRPr="006F7B56">
              <w:rPr>
                <w:rFonts w:ascii="Arial Narrow" w:hAnsi="Arial Narrow"/>
                <w:sz w:val="20"/>
                <w:lang w:val="en-US"/>
              </w:rPr>
              <w:t>.4428</w:t>
            </w:r>
          </w:p>
        </w:tc>
      </w:tr>
      <w:tr w:rsidR="006F7B56" w:rsidRPr="006F7B56" w14:paraId="45462886" w14:textId="77777777" w:rsidTr="006F7B56">
        <w:tc>
          <w:tcPr>
            <w:tcW w:w="3690" w:type="dxa"/>
            <w:tcBorders>
              <w:top w:val="nil"/>
              <w:left w:val="nil"/>
              <w:bottom w:val="nil"/>
              <w:right w:val="single" w:sz="4" w:space="0" w:color="auto"/>
            </w:tcBorders>
          </w:tcPr>
          <w:p w14:paraId="688A80E2" w14:textId="77777777" w:rsidR="006F7B56" w:rsidRPr="006F7B56" w:rsidRDefault="006F7B56" w:rsidP="006F7B56">
            <w:pPr>
              <w:pStyle w:val="BodyText"/>
              <w:spacing w:after="0"/>
              <w:rPr>
                <w:rFonts w:ascii="Arial Narrow" w:hAnsi="Arial Narrow"/>
                <w:sz w:val="20"/>
                <w:lang w:val="en-US"/>
              </w:rPr>
            </w:pPr>
            <w:r w:rsidRPr="006F7B56">
              <w:rPr>
                <w:rFonts w:ascii="Arial Narrow" w:hAnsi="Arial Narrow"/>
                <w:sz w:val="20"/>
                <w:lang w:val="en-US"/>
              </w:rPr>
              <w:t>FMLA Eligible</w:t>
            </w:r>
          </w:p>
        </w:tc>
        <w:tc>
          <w:tcPr>
            <w:tcW w:w="1260" w:type="dxa"/>
            <w:tcBorders>
              <w:top w:val="nil"/>
              <w:left w:val="single" w:sz="4" w:space="0" w:color="auto"/>
              <w:bottom w:val="nil"/>
              <w:right w:val="nil"/>
            </w:tcBorders>
          </w:tcPr>
          <w:p w14:paraId="247F5E02" w14:textId="77777777" w:rsidR="006F7B56" w:rsidRPr="006F7B56" w:rsidRDefault="006F7B56" w:rsidP="006F7B56">
            <w:pPr>
              <w:pStyle w:val="BodyText"/>
              <w:spacing w:after="0"/>
              <w:jc w:val="right"/>
              <w:rPr>
                <w:rFonts w:ascii="Arial Narrow" w:hAnsi="Arial Narrow"/>
                <w:sz w:val="20"/>
                <w:lang w:val="en-US"/>
              </w:rPr>
            </w:pPr>
            <w:r w:rsidRPr="006F7B56">
              <w:rPr>
                <w:rFonts w:ascii="Arial Narrow" w:hAnsi="Arial Narrow"/>
                <w:sz w:val="20"/>
                <w:lang w:val="en-US"/>
              </w:rPr>
              <w:t>.5572</w:t>
            </w:r>
          </w:p>
        </w:tc>
      </w:tr>
      <w:tr w:rsidR="006F7B56" w:rsidRPr="006F7B56" w14:paraId="1F3E4830" w14:textId="77777777" w:rsidTr="006F7B56">
        <w:tc>
          <w:tcPr>
            <w:tcW w:w="3690" w:type="dxa"/>
            <w:tcBorders>
              <w:top w:val="nil"/>
              <w:left w:val="nil"/>
              <w:bottom w:val="single" w:sz="4" w:space="0" w:color="auto"/>
              <w:right w:val="single" w:sz="4" w:space="0" w:color="auto"/>
            </w:tcBorders>
            <w:shd w:val="clear" w:color="auto" w:fill="DAEDF3" w:themeFill="accent1" w:themeFillTint="33"/>
          </w:tcPr>
          <w:p w14:paraId="75F27F96" w14:textId="77777777" w:rsidR="006F7B56" w:rsidRPr="006F7B56" w:rsidRDefault="006F7B56" w:rsidP="006F7B56">
            <w:pPr>
              <w:pStyle w:val="BodyText"/>
              <w:spacing w:after="0"/>
              <w:rPr>
                <w:rFonts w:ascii="Arial Narrow" w:hAnsi="Arial Narrow"/>
                <w:b/>
                <w:sz w:val="20"/>
                <w:lang w:val="en-US"/>
              </w:rPr>
            </w:pPr>
            <w:r w:rsidRPr="006F7B56">
              <w:rPr>
                <w:rFonts w:ascii="Arial Narrow" w:hAnsi="Arial Narrow"/>
                <w:b/>
                <w:sz w:val="20"/>
                <w:lang w:val="en-US"/>
              </w:rPr>
              <w:t>Total</w:t>
            </w:r>
          </w:p>
        </w:tc>
        <w:tc>
          <w:tcPr>
            <w:tcW w:w="1260" w:type="dxa"/>
            <w:tcBorders>
              <w:top w:val="nil"/>
              <w:left w:val="single" w:sz="4" w:space="0" w:color="auto"/>
              <w:bottom w:val="single" w:sz="4" w:space="0" w:color="auto"/>
              <w:right w:val="nil"/>
            </w:tcBorders>
          </w:tcPr>
          <w:p w14:paraId="73159D3E" w14:textId="77777777" w:rsidR="006F7B56" w:rsidRPr="006F7B56" w:rsidRDefault="006F7B56" w:rsidP="006F7B56">
            <w:pPr>
              <w:pStyle w:val="BodyText"/>
              <w:spacing w:after="0"/>
              <w:jc w:val="right"/>
              <w:rPr>
                <w:rFonts w:ascii="Arial Narrow" w:hAnsi="Arial Narrow"/>
                <w:b/>
                <w:sz w:val="20"/>
                <w:lang w:val="en-US"/>
              </w:rPr>
            </w:pPr>
            <w:r w:rsidRPr="006F7B56">
              <w:rPr>
                <w:rFonts w:ascii="Arial Narrow" w:hAnsi="Arial Narrow"/>
                <w:b/>
                <w:sz w:val="20"/>
                <w:lang w:val="en-US"/>
              </w:rPr>
              <w:t>1</w:t>
            </w:r>
          </w:p>
        </w:tc>
      </w:tr>
    </w:tbl>
    <w:p w14:paraId="63E80AEC" w14:textId="77777777" w:rsidR="006A2A90" w:rsidRDefault="006A2A90" w:rsidP="00BC408B">
      <w:pPr>
        <w:pStyle w:val="BodyText"/>
      </w:pPr>
    </w:p>
    <w:p w14:paraId="3BE1D3E7" w14:textId="77777777" w:rsidR="006F7B56" w:rsidRPr="006F7B56" w:rsidRDefault="006F7B56" w:rsidP="007769FE">
      <w:pPr>
        <w:pStyle w:val="Heading6"/>
      </w:pPr>
      <w:r w:rsidRPr="006F7B56">
        <w:t>Frequencies of FMLA eligibility on subsample of males</w:t>
      </w:r>
    </w:p>
    <w:p w14:paraId="57F7EBB4" w14:textId="618B1E3B" w:rsidR="006A2A90" w:rsidRDefault="006F7B56" w:rsidP="006F7B56">
      <w:pPr>
        <w:pStyle w:val="BodyText"/>
      </w:pPr>
      <w:proofErr w:type="spellStart"/>
      <w:proofErr w:type="gramStart"/>
      <w:r w:rsidRPr="006F7B56">
        <w:rPr>
          <w:lang w:val="en-US"/>
        </w:rPr>
        <w:t>svy</w:t>
      </w:r>
      <w:proofErr w:type="spellEnd"/>
      <w:proofErr w:type="gramEnd"/>
      <w:r w:rsidRPr="006F7B56">
        <w:rPr>
          <w:lang w:val="en-US"/>
        </w:rPr>
        <w:t xml:space="preserve">, </w:t>
      </w:r>
      <w:proofErr w:type="spellStart"/>
      <w:r w:rsidRPr="006F7B56">
        <w:rPr>
          <w:lang w:val="en-US"/>
        </w:rPr>
        <w:t>subpop</w:t>
      </w:r>
      <w:proofErr w:type="spellEnd"/>
      <w:r w:rsidRPr="006F7B56">
        <w:rPr>
          <w:lang w:val="en-US"/>
        </w:rPr>
        <w:t xml:space="preserve">(if male==1) : tab </w:t>
      </w:r>
      <w:proofErr w:type="spellStart"/>
      <w:r w:rsidRPr="006F7B56">
        <w:rPr>
          <w:lang w:val="en-US"/>
        </w:rPr>
        <w:t>fmla_eligible</w:t>
      </w:r>
      <w:proofErr w:type="spellEnd"/>
    </w:p>
    <w:p w14:paraId="1FD912D6" w14:textId="77777777" w:rsidR="006F7B56" w:rsidRDefault="006F7B56" w:rsidP="00BC408B">
      <w:pPr>
        <w:pStyle w:val="BodyText"/>
        <w:sectPr w:rsidR="006F7B56" w:rsidSect="00837793">
          <w:headerReference w:type="default" r:id="rId24"/>
          <w:pgSz w:w="12240" w:h="15840" w:code="1"/>
          <w:pgMar w:top="1440" w:right="1440" w:bottom="1440" w:left="1440" w:header="720" w:footer="720" w:gutter="0"/>
          <w:cols w:space="720"/>
          <w:docGrid w:linePitch="299"/>
        </w:sectPr>
      </w:pPr>
    </w:p>
    <w:p w14:paraId="21607EDE" w14:textId="77777777" w:rsidR="006F7B56" w:rsidRPr="006F7B56" w:rsidRDefault="006F7B56" w:rsidP="006F7B56">
      <w:pPr>
        <w:pStyle w:val="Heading2NoNumbering"/>
      </w:pPr>
      <w:bookmarkStart w:id="22" w:name="_Toc25571790"/>
      <w:bookmarkStart w:id="23" w:name="_Toc31721049"/>
      <w:r w:rsidRPr="006F7B56">
        <w:lastRenderedPageBreak/>
        <w:t>Section 2: Survey Context</w:t>
      </w:r>
      <w:bookmarkEnd w:id="22"/>
      <w:bookmarkEnd w:id="23"/>
    </w:p>
    <w:p w14:paraId="0DEFCDF0" w14:textId="77777777" w:rsidR="006F7B56" w:rsidRPr="006F7B56" w:rsidRDefault="006F7B56" w:rsidP="006F7B56">
      <w:pPr>
        <w:pStyle w:val="BodyText"/>
        <w:rPr>
          <w:i/>
          <w:lang w:val="en-US"/>
        </w:rPr>
      </w:pPr>
      <w:r w:rsidRPr="006F7B56">
        <w:rPr>
          <w:lang w:val="en-US"/>
        </w:rPr>
        <w:t>This Section provides important survey context and detailed explanations of modifications to variables in the PUF dataset. This Section begins by detailing considerations related to the change in instrument format, survey loops, skip logic, and unique questions. Next, it describes reasons for modifications to survey variables. The final part of the section provides detailed definitions of important survey constructs.</w:t>
      </w:r>
    </w:p>
    <w:p w14:paraId="5C384569" w14:textId="77777777" w:rsidR="006F7B56" w:rsidRPr="006F7B56" w:rsidRDefault="006F7B56" w:rsidP="006F7B56">
      <w:pPr>
        <w:pStyle w:val="Heading3NoNumbering"/>
      </w:pPr>
      <w:bookmarkStart w:id="24" w:name="_Toc31721050"/>
      <w:r w:rsidRPr="006F7B56">
        <w:t>Question Context</w:t>
      </w:r>
      <w:bookmarkEnd w:id="24"/>
    </w:p>
    <w:p w14:paraId="25A30BBD" w14:textId="6FE39776" w:rsidR="006F7B56" w:rsidRPr="006F7B56" w:rsidRDefault="006F7B56" w:rsidP="006F7B56">
      <w:pPr>
        <w:pStyle w:val="BodyText"/>
        <w:rPr>
          <w:lang w:val="en-US"/>
        </w:rPr>
      </w:pPr>
      <w:r w:rsidRPr="006F7B56">
        <w:rPr>
          <w:b/>
          <w:i/>
          <w:lang w:val="en-US"/>
        </w:rPr>
        <w:t xml:space="preserve">Change in instrument format: </w:t>
      </w:r>
      <w:r w:rsidRPr="006F7B56">
        <w:rPr>
          <w:lang w:val="en-US"/>
        </w:rPr>
        <w:t>The original random digit dialing (RDD) survey was transitioned to a web-based format during survey administration. The data from the two surveys was then combined for analysis. The majority of respondents (83%) are web-based. The screener sections between the RDD and web-based survey differ because the web-based survey company’s respondent profiles already contained respondent demographic data. Section D of the web-based survey does not include a question about sexual orientation for the same reason. Respondents were screened for employment in the past 12 months on the individual level for the web survey and the cell phone version of the RDD survey.</w:t>
      </w:r>
      <w:r w:rsidR="00AA41AB">
        <w:rPr>
          <w:lang w:val="en-US"/>
        </w:rPr>
        <w:t xml:space="preserve"> </w:t>
      </w:r>
      <w:r w:rsidRPr="006F7B56">
        <w:rPr>
          <w:lang w:val="en-US"/>
        </w:rPr>
        <w:t>For the landline version of the RDD survey, respondents were screened for past-year employment at the household level, with attempts made to find an eligible respondent in the household. Moreover, the RDD survey provided prompt questions for interviewers to ask respondents, with the interviewer updating the respondent’s answer if he indicated a different answer upon confirmation. By contrast, the confirmation questions on the web survey were programmed as separate questions. Context on the change from an RDD to web-based survey, as well as information on data collection, response rates, and weight development can be found in the publically available FMLA 2018 Methodology Report.</w:t>
      </w:r>
    </w:p>
    <w:p w14:paraId="7B0627E6" w14:textId="0CC8E160" w:rsidR="006F7B56" w:rsidRPr="006F7B56" w:rsidRDefault="006F7B56" w:rsidP="006F7B56">
      <w:pPr>
        <w:pStyle w:val="BodyText"/>
        <w:rPr>
          <w:lang w:val="en-US"/>
        </w:rPr>
      </w:pPr>
      <w:r w:rsidRPr="006F7B56">
        <w:rPr>
          <w:b/>
          <w:i/>
          <w:lang w:val="en-US"/>
        </w:rPr>
        <w:t>Skip Logic</w:t>
      </w:r>
      <w:r w:rsidRPr="006F7B56">
        <w:rPr>
          <w:lang w:val="en-US"/>
        </w:rPr>
        <w:t>:</w:t>
      </w:r>
      <w:r w:rsidR="00AA41AB">
        <w:rPr>
          <w:lang w:val="en-US"/>
        </w:rPr>
        <w:t xml:space="preserve"> </w:t>
      </w:r>
      <w:r w:rsidRPr="006F7B56">
        <w:rPr>
          <w:lang w:val="en-US"/>
        </w:rPr>
        <w:t>The survey skip logic is the same in the RDD and web surveys. In one case involving questions about how employees covered wages while on leave and leave-related financial hardship (questions A53 and A54), the skip logic for the web survey was modified slightly to better reflect the intent of the original skip logic. Consequently, a small number of RDD respondents were shown A53/A54 although they would not have had they been administered the web survey. The team reviewed these responses and included them in both the public use dataset and the tabulations published in the official report. In a second case involving the survey question about employers requiring multiple doctor visits to obtain initial medical certification (A30), a correction was made to the RDD skip logic when the web survey was developed. Consequently, fourteen RDD Respondents should have answered question A30 but did not and are coded as missing.</w:t>
      </w:r>
    </w:p>
    <w:p w14:paraId="3635A561" w14:textId="77777777" w:rsidR="006F7B56" w:rsidRPr="006F7B56" w:rsidRDefault="006F7B56" w:rsidP="006F7B56">
      <w:pPr>
        <w:pStyle w:val="BodyText"/>
        <w:rPr>
          <w:b/>
          <w:i/>
          <w:lang w:val="en-US"/>
        </w:rPr>
      </w:pPr>
      <w:r w:rsidRPr="006F7B56">
        <w:rPr>
          <w:b/>
          <w:i/>
          <w:lang w:val="en-US"/>
        </w:rPr>
        <w:t xml:space="preserve">Questions Added During Phone Data Collection: </w:t>
      </w:r>
      <w:r w:rsidRPr="006F7B56">
        <w:rPr>
          <w:lang w:val="en-US"/>
        </w:rPr>
        <w:t>The E0K variable series was added shortly after RDD phone interviews began to better handle and clarify inconsistent respondent answers. These variables were present for the entire duration of the web survey.</w:t>
      </w:r>
    </w:p>
    <w:p w14:paraId="431659C6" w14:textId="308C4F8C" w:rsidR="006F7B56" w:rsidRPr="006F7B56" w:rsidRDefault="006F7B56" w:rsidP="006F7B56">
      <w:pPr>
        <w:pStyle w:val="BodyText"/>
        <w:rPr>
          <w:lang w:val="en-US"/>
        </w:rPr>
      </w:pPr>
      <w:r w:rsidRPr="006F7B56">
        <w:rPr>
          <w:b/>
          <w:i/>
          <w:lang w:val="en-US"/>
        </w:rPr>
        <w:t>Longest/Most Recent Leave Loops</w:t>
      </w:r>
      <w:r w:rsidRPr="006F7B56">
        <w:rPr>
          <w:lang w:val="en-US"/>
        </w:rPr>
        <w:t>:</w:t>
      </w:r>
      <w:r w:rsidR="00AA41AB">
        <w:rPr>
          <w:lang w:val="en-US"/>
        </w:rPr>
        <w:t xml:space="preserve"> </w:t>
      </w:r>
      <w:r w:rsidRPr="006F7B56">
        <w:rPr>
          <w:lang w:val="en-US"/>
        </w:rPr>
        <w:t>For employees taking leave, the survey asked about up to two leaves in questions A5 through A19; that is, there were up to two “loops” for each of these questions for each respondent. The loops are indicated with the suffix or pre-suffix</w:t>
      </w:r>
      <w:r w:rsidRPr="006F7B56">
        <w:rPr>
          <w:vertAlign w:val="superscript"/>
          <w:lang w:val="en-US"/>
        </w:rPr>
        <w:footnoteReference w:id="3"/>
      </w:r>
      <w:r w:rsidRPr="006F7B56">
        <w:rPr>
          <w:lang w:val="en-US"/>
        </w:rPr>
        <w:t xml:space="preserve"> “_</w:t>
      </w:r>
      <w:proofErr w:type="spellStart"/>
      <w:r w:rsidRPr="006F7B56">
        <w:rPr>
          <w:lang w:val="en-US"/>
        </w:rPr>
        <w:t>mr</w:t>
      </w:r>
      <w:proofErr w:type="spellEnd"/>
      <w:r w:rsidRPr="006F7B56">
        <w:rPr>
          <w:lang w:val="en-US"/>
        </w:rPr>
        <w:t>” (most recent) or “_long” (longest). When the most recent leave represents the respondent’s longest leave, the “_</w:t>
      </w:r>
      <w:proofErr w:type="spellStart"/>
      <w:r w:rsidRPr="006F7B56">
        <w:rPr>
          <w:lang w:val="en-US"/>
        </w:rPr>
        <w:t>mr</w:t>
      </w:r>
      <w:proofErr w:type="spellEnd"/>
      <w:r w:rsidRPr="006F7B56">
        <w:rPr>
          <w:lang w:val="en-US"/>
        </w:rPr>
        <w:t>” variable represents both the longest and most recent leave and the “long” variables are skipped over (skipped missing code = “.S”).</w:t>
      </w:r>
    </w:p>
    <w:p w14:paraId="4B7ECB1C" w14:textId="77777777" w:rsidR="006F7B56" w:rsidRPr="006F7B56" w:rsidRDefault="006F7B56" w:rsidP="006F7B56">
      <w:pPr>
        <w:pStyle w:val="BodyText"/>
        <w:rPr>
          <w:lang w:val="en-US"/>
        </w:rPr>
      </w:pPr>
      <w:r w:rsidRPr="006F7B56">
        <w:rPr>
          <w:b/>
          <w:i/>
          <w:lang w:val="en-US"/>
        </w:rPr>
        <w:t xml:space="preserve">Variable Types: </w:t>
      </w:r>
      <w:r w:rsidRPr="006F7B56">
        <w:rPr>
          <w:lang w:val="en-US"/>
        </w:rPr>
        <w:t>All variables are numeric, except ne15coded. A character type was used for this variable in order to preserve the response values representing NAICS industry code ranges. For example, codes “31-33” represent manufacturing industries.</w:t>
      </w:r>
    </w:p>
    <w:p w14:paraId="66AA4930" w14:textId="77777777" w:rsidR="006F7B56" w:rsidRPr="006F7B56" w:rsidRDefault="006F7B56" w:rsidP="006F7B56">
      <w:pPr>
        <w:pStyle w:val="BodyText"/>
        <w:rPr>
          <w:lang w:val="en-US"/>
        </w:rPr>
      </w:pPr>
      <w:r w:rsidRPr="006F7B56">
        <w:rPr>
          <w:b/>
          <w:i/>
          <w:lang w:val="en-US"/>
        </w:rPr>
        <w:lastRenderedPageBreak/>
        <w:t>Missing Codes</w:t>
      </w:r>
      <w:r w:rsidRPr="006F7B56">
        <w:rPr>
          <w:lang w:val="en-US"/>
        </w:rPr>
        <w:t>: The Codebook and value labels detail which types of missing scenarios are associated with each variable. The universe of missing codes includes the following:</w:t>
      </w:r>
    </w:p>
    <w:p w14:paraId="2DC6AA5A" w14:textId="77777777" w:rsidR="006F7B56" w:rsidRPr="006F7B56" w:rsidRDefault="006F7B56" w:rsidP="006F7B56">
      <w:pPr>
        <w:pStyle w:val="Bullets"/>
      </w:pPr>
      <w:r w:rsidRPr="006F7B56">
        <w:t>“</w:t>
      </w:r>
      <w:r w:rsidRPr="006F7B56">
        <w:rPr>
          <w:b/>
        </w:rPr>
        <w:t>.</w:t>
      </w:r>
      <w:r w:rsidRPr="006F7B56">
        <w:t xml:space="preserve">”: A general missing code representing responses of “don’t know” or “refused” to survey questions. In some cases, this code also includes special missing scenarios (e.g., inconsistent answers). </w:t>
      </w:r>
    </w:p>
    <w:p w14:paraId="39821876" w14:textId="77777777" w:rsidR="006F7B56" w:rsidRPr="006F7B56" w:rsidRDefault="006F7B56" w:rsidP="006F7B56">
      <w:pPr>
        <w:pStyle w:val="Bullets"/>
      </w:pPr>
      <w:r w:rsidRPr="006F7B56">
        <w:t xml:space="preserve">“.S”: The respondent skipped the question due to their previous responses (valid skip). </w:t>
      </w:r>
    </w:p>
    <w:p w14:paraId="4EF13192" w14:textId="77777777" w:rsidR="006F7B56" w:rsidRPr="006F7B56" w:rsidRDefault="006F7B56" w:rsidP="006F7B56">
      <w:pPr>
        <w:pStyle w:val="Bullets"/>
      </w:pPr>
      <w:r w:rsidRPr="006F7B56">
        <w:t xml:space="preserve">“.U”: For annual earnings questions d3 and d4, this code represents unbelievably high or low values that were deemed likely to be respondent errors. For occupation question e16, this code represents </w:t>
      </w:r>
      <w:proofErr w:type="spellStart"/>
      <w:r w:rsidRPr="006F7B56">
        <w:t>uncodeable</w:t>
      </w:r>
      <w:proofErr w:type="spellEnd"/>
      <w:r w:rsidRPr="006F7B56">
        <w:t xml:space="preserve"> responses. </w:t>
      </w:r>
    </w:p>
    <w:p w14:paraId="16078B8D" w14:textId="77777777" w:rsidR="006F7B56" w:rsidRPr="006F7B56" w:rsidRDefault="006F7B56" w:rsidP="006F7B56">
      <w:pPr>
        <w:pStyle w:val="Bullets"/>
      </w:pPr>
      <w:r w:rsidRPr="006F7B56">
        <w:t>“.N”: In order to ask as broad a range of questions as possible without putting undue burden on respondents, each respondent was randomly asked only 4 of the subparts of the question asking about which types of leave the respondent believes FMLA covers (question e4a). Response options that were not randomly selected for a given respondent take a value of “.N” in the corresponding PUF dummy variables e4a_a – e4a_l. Response options for this question were randomly selected within the following parameters:</w:t>
      </w:r>
    </w:p>
    <w:p w14:paraId="2142B90A" w14:textId="77777777" w:rsidR="006F7B56" w:rsidRPr="006F7B56" w:rsidRDefault="006F7B56" w:rsidP="006F7B56">
      <w:pPr>
        <w:pStyle w:val="Bullet2"/>
      </w:pPr>
      <w:r w:rsidRPr="006F7B56">
        <w:t>2 questions from subpart A, B, C, F, J, K, or L;</w:t>
      </w:r>
    </w:p>
    <w:p w14:paraId="17C179CB" w14:textId="2249C57C" w:rsidR="006F7B56" w:rsidRPr="006F7B56" w:rsidRDefault="006F7B56" w:rsidP="006F7B56">
      <w:pPr>
        <w:pStyle w:val="Bullet2"/>
      </w:pPr>
      <w:r w:rsidRPr="006F7B56">
        <w:t>1 question from subpart</w:t>
      </w:r>
      <w:r w:rsidR="00AA41AB">
        <w:t xml:space="preserve"> </w:t>
      </w:r>
      <w:r w:rsidRPr="006F7B56">
        <w:t>G, H, or I;</w:t>
      </w:r>
    </w:p>
    <w:p w14:paraId="746A2D52" w14:textId="77777777" w:rsidR="006F7B56" w:rsidRPr="006F7B56" w:rsidRDefault="006F7B56" w:rsidP="006F7B56">
      <w:pPr>
        <w:pStyle w:val="Bullet2"/>
      </w:pPr>
      <w:r w:rsidRPr="006F7B56">
        <w:t>1 question from subpart D or E.</w:t>
      </w:r>
    </w:p>
    <w:p w14:paraId="7DDA6564" w14:textId="77777777" w:rsidR="006F7B56" w:rsidRPr="006F7B56" w:rsidRDefault="006F7B56" w:rsidP="006F7B56">
      <w:pPr>
        <w:pStyle w:val="Heading3NoNumbering"/>
      </w:pPr>
      <w:bookmarkStart w:id="25" w:name="_Toc25571792"/>
      <w:bookmarkStart w:id="26" w:name="_Toc31721051"/>
      <w:r w:rsidRPr="006F7B56">
        <w:t>Suppressed and Modified Variables</w:t>
      </w:r>
      <w:bookmarkEnd w:id="25"/>
      <w:bookmarkEnd w:id="26"/>
    </w:p>
    <w:p w14:paraId="3E70BB3E" w14:textId="77777777" w:rsidR="006F7B56" w:rsidRPr="006F7B56" w:rsidRDefault="006F7B56" w:rsidP="006F7B56">
      <w:pPr>
        <w:pStyle w:val="BodyText"/>
        <w:rPr>
          <w:lang w:val="en-US"/>
        </w:rPr>
      </w:pPr>
      <w:r w:rsidRPr="006F7B56">
        <w:rPr>
          <w:lang w:val="en-US"/>
        </w:rPr>
        <w:t xml:space="preserve">For the PUF, modifications were made to some variables in order to protect respondent privacy. Modifications included collapsing response categories, top-coding, and suppressing variables completely. Variables that have been modified are indicated by the suffixes of “_CAT” in the variable name. </w:t>
      </w:r>
    </w:p>
    <w:p w14:paraId="05CC1491" w14:textId="77777777" w:rsidR="006F7B56" w:rsidRPr="006F7B56" w:rsidRDefault="006F7B56" w:rsidP="006F7B56">
      <w:pPr>
        <w:pStyle w:val="Bullets"/>
      </w:pPr>
      <w:r w:rsidRPr="006F7B56">
        <w:t xml:space="preserve">Unless otherwise noted below, no screener variables are included in the PUF. </w:t>
      </w:r>
    </w:p>
    <w:p w14:paraId="013DA664" w14:textId="77777777" w:rsidR="006F7B56" w:rsidRPr="006F7B56" w:rsidRDefault="006F7B56" w:rsidP="006F7B56">
      <w:pPr>
        <w:pStyle w:val="Bullets"/>
      </w:pPr>
      <w:r w:rsidRPr="006F7B56">
        <w:t xml:space="preserve">Questions A13, A16, A17, and A18 were suppressed to protect respondent privacy, with leave length information being provided in the A19 PUF variables. </w:t>
      </w:r>
    </w:p>
    <w:p w14:paraId="35250825" w14:textId="77777777" w:rsidR="006F7B56" w:rsidRPr="006F7B56" w:rsidRDefault="006F7B56" w:rsidP="006F7B56">
      <w:pPr>
        <w:pStyle w:val="Bullets"/>
      </w:pPr>
      <w:r w:rsidRPr="006F7B56">
        <w:t xml:space="preserve">No geographic information on 2018 FMLA Employee Survey respondents is included in the PUF to protect respondent privacy. The one exception is an indicator for whether the respondent resided in a paid leave state. </w:t>
      </w:r>
    </w:p>
    <w:p w14:paraId="0C2772A6" w14:textId="77777777" w:rsidR="006F7B56" w:rsidRPr="006F7B56" w:rsidRDefault="006F7B56" w:rsidP="006F7B56">
      <w:pPr>
        <w:pStyle w:val="BodyText"/>
        <w:rPr>
          <w:lang w:val="en-US"/>
        </w:rPr>
      </w:pPr>
      <w:r w:rsidRPr="006F7B56">
        <w:rPr>
          <w:lang w:val="en-US"/>
        </w:rPr>
        <w:t>In addition, the following changes were made for other reasons:</w:t>
      </w:r>
    </w:p>
    <w:p w14:paraId="606601E6" w14:textId="77777777" w:rsidR="006F7B56" w:rsidRPr="006F7B56" w:rsidRDefault="006F7B56" w:rsidP="006F7B56">
      <w:pPr>
        <w:pStyle w:val="Bullets"/>
      </w:pPr>
      <w:r w:rsidRPr="006F7B56">
        <w:t xml:space="preserve">Variable names for survey questions that are new in the W4 PUF or response options that have changed since the W3 survey due to the addition of new response categories have a lowercase “n” prefix in the variable name. </w:t>
      </w:r>
    </w:p>
    <w:p w14:paraId="4463CC37" w14:textId="77777777" w:rsidR="006F7B56" w:rsidRPr="006F7B56" w:rsidRDefault="006F7B56" w:rsidP="006F7B56">
      <w:pPr>
        <w:pStyle w:val="Bullets"/>
      </w:pPr>
      <w:r w:rsidRPr="006F7B56">
        <w:t xml:space="preserve">Response values that were truncated for the purpose of specific report tables (noted in table notes) were coded into the appropriate category in the corresponding PUF variable (e.g., A19, B4) so that these PUF variables represent the complete set of survey responses. </w:t>
      </w:r>
    </w:p>
    <w:p w14:paraId="1399DD37" w14:textId="77777777" w:rsidR="006F7B56" w:rsidRPr="006F7B56" w:rsidRDefault="006F7B56" w:rsidP="006F7B56">
      <w:pPr>
        <w:pStyle w:val="BodyText"/>
        <w:rPr>
          <w:lang w:val="en-US"/>
        </w:rPr>
      </w:pPr>
      <w:r w:rsidRPr="006F7B56">
        <w:rPr>
          <w:lang w:val="en-US"/>
        </w:rPr>
        <w:t>In addition, the following survey questions with discrete response options were modified due to small cell sizes:</w:t>
      </w:r>
    </w:p>
    <w:p w14:paraId="6CE78721" w14:textId="77777777" w:rsidR="006F7B56" w:rsidRPr="006F7B56" w:rsidRDefault="006F7B56" w:rsidP="006F7B56">
      <w:pPr>
        <w:pStyle w:val="Bullets"/>
      </w:pPr>
      <w:r w:rsidRPr="006F7B56">
        <w:t>For A5, new codes of 20 and 21 were created encompassing response categories 2 and 4 (code 20), as well as 6, 7, 9, and 10 (code 21) for the most recent leave. For the longest leave, a new code of 20 was created encompassing all categories except 1, 3, 5, and 13.</w:t>
      </w:r>
    </w:p>
    <w:p w14:paraId="0937F57A" w14:textId="77777777" w:rsidR="006F7B56" w:rsidRPr="006F7B56" w:rsidRDefault="006F7B56" w:rsidP="006F7B56">
      <w:pPr>
        <w:pStyle w:val="Bullets"/>
      </w:pPr>
      <w:r w:rsidRPr="006F7B56">
        <w:lastRenderedPageBreak/>
        <w:t>For A6, a new code of 6 was created encompassing categories 1, 2, and 4.</w:t>
      </w:r>
    </w:p>
    <w:p w14:paraId="42D0FFCB" w14:textId="77777777" w:rsidR="006F7B56" w:rsidRPr="006F7B56" w:rsidRDefault="006F7B56" w:rsidP="006F7B56">
      <w:pPr>
        <w:pStyle w:val="Bullets"/>
      </w:pPr>
      <w:r w:rsidRPr="006F7B56">
        <w:t>For the A10 longest leave variable, a new code of 6 was developed encompassing categories 4 and 5.</w:t>
      </w:r>
    </w:p>
    <w:p w14:paraId="66F1EA9B" w14:textId="77777777" w:rsidR="006F7B56" w:rsidRPr="006F7B56" w:rsidRDefault="006F7B56" w:rsidP="006F7B56">
      <w:pPr>
        <w:pStyle w:val="Bullets"/>
      </w:pPr>
      <w:r w:rsidRPr="006F7B56">
        <w:t>For A19c, a new code of 7 was created encompassing categories 7, 8, 9, 10, and 11.</w:t>
      </w:r>
    </w:p>
    <w:p w14:paraId="69C230AC" w14:textId="77777777" w:rsidR="006F7B56" w:rsidRPr="006F7B56" w:rsidRDefault="006F7B56" w:rsidP="006F7B56">
      <w:pPr>
        <w:pStyle w:val="Bullets"/>
      </w:pPr>
      <w:r w:rsidRPr="006F7B56">
        <w:t>For B6, new codes of 20 and 21 were created encompassing categories 2 and 4 (code 20), as well as 6, 7, 10, and 17 (code 21).</w:t>
      </w:r>
    </w:p>
    <w:p w14:paraId="59D213B2" w14:textId="77777777" w:rsidR="006F7B56" w:rsidRPr="006F7B56" w:rsidRDefault="006F7B56" w:rsidP="006F7B56">
      <w:pPr>
        <w:pStyle w:val="Bullets"/>
      </w:pPr>
      <w:r w:rsidRPr="006F7B56">
        <w:t>For E0C, D7, and D8, a new code of 4 was created encompassing categories 4 and 5.</w:t>
      </w:r>
    </w:p>
    <w:p w14:paraId="6B4A6C01" w14:textId="77777777" w:rsidR="006F7B56" w:rsidRPr="006F7B56" w:rsidRDefault="006F7B56" w:rsidP="006F7B56">
      <w:pPr>
        <w:pStyle w:val="Bullets"/>
      </w:pPr>
      <w:r w:rsidRPr="006F7B56">
        <w:t>For D7, a new code of 4 was created encompassing categories 4 through 7, representing 4 through 7 children.</w:t>
      </w:r>
    </w:p>
    <w:p w14:paraId="211E4220" w14:textId="77777777" w:rsidR="006F7B56" w:rsidRPr="006F7B56" w:rsidRDefault="006F7B56" w:rsidP="006F7B56">
      <w:pPr>
        <w:pStyle w:val="Bullets"/>
      </w:pPr>
      <w:r w:rsidRPr="006F7B56">
        <w:t>For D8, a new code of 3 was created encompassing categories 3 through 7, representing 3 through 7 people over age 65.</w:t>
      </w:r>
    </w:p>
    <w:p w14:paraId="1B29C0EA" w14:textId="77777777" w:rsidR="006F7B56" w:rsidRPr="006F7B56" w:rsidRDefault="006F7B56" w:rsidP="006F7B56">
      <w:pPr>
        <w:pStyle w:val="BodyText"/>
        <w:rPr>
          <w:lang w:val="en-US"/>
        </w:rPr>
      </w:pPr>
      <w:r w:rsidRPr="006F7B56">
        <w:rPr>
          <w:lang w:val="en-US"/>
        </w:rPr>
        <w:t>Survey questions that asked respondents to provide a duration of time were converted into units of “days” as follows:</w:t>
      </w:r>
    </w:p>
    <w:p w14:paraId="7964175A" w14:textId="77777777" w:rsidR="006F7B56" w:rsidRPr="006F7B56" w:rsidRDefault="006F7B56" w:rsidP="006F7B56">
      <w:pPr>
        <w:pStyle w:val="Bullets"/>
      </w:pPr>
      <w:r w:rsidRPr="006F7B56">
        <w:t xml:space="preserve">Converting hours to 1 day = </w:t>
      </w:r>
      <w:r w:rsidRPr="006F7B56">
        <w:rPr>
          <w:i/>
        </w:rPr>
        <w:t>T</w:t>
      </w:r>
      <w:r w:rsidRPr="006F7B56">
        <w:t xml:space="preserve"> hours/8; i.e., 8 working hours per day.</w:t>
      </w:r>
    </w:p>
    <w:p w14:paraId="0FE0DF65" w14:textId="77777777" w:rsidR="006F7B56" w:rsidRPr="006F7B56" w:rsidRDefault="006F7B56" w:rsidP="006F7B56">
      <w:pPr>
        <w:pStyle w:val="Bullets"/>
      </w:pPr>
      <w:r w:rsidRPr="006F7B56">
        <w:t xml:space="preserve">Converting weeks to 1 day = </w:t>
      </w:r>
      <w:r w:rsidRPr="006F7B56">
        <w:rPr>
          <w:i/>
        </w:rPr>
        <w:t>T</w:t>
      </w:r>
      <w:r w:rsidRPr="006F7B56">
        <w:t xml:space="preserve"> weeks × 5; i.e., 5 working days per week.</w:t>
      </w:r>
    </w:p>
    <w:p w14:paraId="40E6D75E" w14:textId="77777777" w:rsidR="006F7B56" w:rsidRPr="006F7B56" w:rsidRDefault="006F7B56" w:rsidP="006F7B56">
      <w:pPr>
        <w:pStyle w:val="Bullets"/>
      </w:pPr>
      <w:r w:rsidRPr="006F7B56">
        <w:t xml:space="preserve">Converting months to 1 day = </w:t>
      </w:r>
      <w:r w:rsidRPr="006F7B56">
        <w:rPr>
          <w:i/>
        </w:rPr>
        <w:t>T</w:t>
      </w:r>
      <w:r w:rsidRPr="006F7B56">
        <w:t xml:space="preserve"> months × 22.5; i.e., 4.5 weeks per month * 5 working days per week.</w:t>
      </w:r>
    </w:p>
    <w:p w14:paraId="683D833F" w14:textId="77777777" w:rsidR="006F7B56" w:rsidRPr="006F7B56" w:rsidRDefault="006F7B56" w:rsidP="006F7B56">
      <w:pPr>
        <w:pStyle w:val="Heading3NoNumbering"/>
      </w:pPr>
      <w:bookmarkStart w:id="27" w:name="_Toc31721052"/>
      <w:r w:rsidRPr="006F7B56">
        <w:t>Identifiers, Screeners, and Other Important Constructs</w:t>
      </w:r>
      <w:bookmarkEnd w:id="27"/>
    </w:p>
    <w:p w14:paraId="1AE0FDC0" w14:textId="77777777" w:rsidR="006F7B56" w:rsidRPr="006F7B56" w:rsidRDefault="006F7B56" w:rsidP="006F7B56">
      <w:pPr>
        <w:pStyle w:val="BodyText"/>
        <w:rPr>
          <w:lang w:val="en-US"/>
        </w:rPr>
      </w:pPr>
      <w:r w:rsidRPr="006F7B56">
        <w:rPr>
          <w:lang w:val="en-US"/>
        </w:rPr>
        <w:t>This Section discusses the constructs included in the PUF. There are three classes of constructs: identifier variables, variables created from screener or web panel respondent profile data, and subgroup constructs created from survey variables that were analyzed in the official report.</w:t>
      </w:r>
    </w:p>
    <w:p w14:paraId="51B19770" w14:textId="77777777" w:rsidR="006F7B56" w:rsidRPr="006F7B56" w:rsidRDefault="006F7B56" w:rsidP="006F7B56">
      <w:pPr>
        <w:pStyle w:val="Bullets"/>
      </w:pPr>
      <w:r w:rsidRPr="006F7B56">
        <w:t>Identifier variables:</w:t>
      </w:r>
    </w:p>
    <w:p w14:paraId="250B8E3D" w14:textId="7A6D7A1D" w:rsidR="006F7B56" w:rsidRPr="006F7B56" w:rsidRDefault="006F7B56" w:rsidP="006F7B56">
      <w:pPr>
        <w:pStyle w:val="Bullet2"/>
      </w:pPr>
      <w:proofErr w:type="spellStart"/>
      <w:proofErr w:type="gramStart"/>
      <w:r w:rsidRPr="006F7B56">
        <w:t>empid</w:t>
      </w:r>
      <w:proofErr w:type="spellEnd"/>
      <w:proofErr w:type="gramEnd"/>
      <w:r w:rsidRPr="006F7B56">
        <w:t>:</w:t>
      </w:r>
      <w:r w:rsidR="00AA41AB">
        <w:t xml:space="preserve"> </w:t>
      </w:r>
      <w:r w:rsidRPr="006F7B56">
        <w:t>randomly generated unique identifier for each 2018 FMLA Employee Survey respondent.</w:t>
      </w:r>
    </w:p>
    <w:p w14:paraId="475C78E0" w14:textId="78FDC667" w:rsidR="006F7B56" w:rsidRPr="006F7B56" w:rsidRDefault="006F7B56" w:rsidP="006F7B56">
      <w:pPr>
        <w:pStyle w:val="Bullet2"/>
      </w:pPr>
      <w:proofErr w:type="spellStart"/>
      <w:r w:rsidRPr="006F7B56">
        <w:t>interviewerid_rdd</w:t>
      </w:r>
      <w:proofErr w:type="spellEnd"/>
      <w:r w:rsidRPr="006F7B56">
        <w:t>:</w:t>
      </w:r>
      <w:r w:rsidR="00AA41AB">
        <w:t xml:space="preserve"> </w:t>
      </w:r>
      <w:r w:rsidRPr="006F7B56">
        <w:t>randomly generated unique identifier for each interviewer who administered the RDD survey (web surveys did not involve interviewers).</w:t>
      </w:r>
    </w:p>
    <w:p w14:paraId="4196047D" w14:textId="77777777" w:rsidR="006F7B56" w:rsidRPr="006F7B56" w:rsidRDefault="006F7B56" w:rsidP="006F7B56">
      <w:pPr>
        <w:pStyle w:val="Bullet2"/>
      </w:pPr>
      <w:proofErr w:type="spellStart"/>
      <w:r w:rsidRPr="006F7B56">
        <w:t>survey_type</w:t>
      </w:r>
      <w:proofErr w:type="spellEnd"/>
      <w:r w:rsidRPr="006F7B56">
        <w:t>: identifier of survey mode (RDD phone survey vs. web-based survey).</w:t>
      </w:r>
    </w:p>
    <w:p w14:paraId="60B2B632" w14:textId="77777777" w:rsidR="006F7B56" w:rsidRPr="006F7B56" w:rsidRDefault="006F7B56" w:rsidP="006F7B56">
      <w:pPr>
        <w:pStyle w:val="Bullets"/>
      </w:pPr>
      <w:r w:rsidRPr="006F7B56">
        <w:t>Variables created from screener or web panel respondent profile data:</w:t>
      </w:r>
    </w:p>
    <w:p w14:paraId="4304971F" w14:textId="77777777" w:rsidR="006F7B56" w:rsidRPr="006F7B56" w:rsidRDefault="006F7B56" w:rsidP="006F7B56">
      <w:pPr>
        <w:pStyle w:val="Bullet2"/>
      </w:pPr>
      <w:proofErr w:type="spellStart"/>
      <w:r w:rsidRPr="006F7B56">
        <w:t>age_cat</w:t>
      </w:r>
      <w:proofErr w:type="spellEnd"/>
      <w:r w:rsidRPr="006F7B56">
        <w:t>: Created from screener and Section D data in RDD survey, created from web panel respondent profile data for web survey.</w:t>
      </w:r>
    </w:p>
    <w:p w14:paraId="22265CE0" w14:textId="77777777" w:rsidR="006F7B56" w:rsidRPr="006F7B56" w:rsidRDefault="006F7B56" w:rsidP="006F7B56">
      <w:pPr>
        <w:pStyle w:val="Bullet2"/>
      </w:pPr>
      <w:proofErr w:type="spellStart"/>
      <w:r w:rsidRPr="006F7B56">
        <w:t>race_cat</w:t>
      </w:r>
      <w:proofErr w:type="spellEnd"/>
      <w:r w:rsidRPr="006F7B56">
        <w:t>: Created from Section D data in RDD survey, created from web panel respondent profile data for web survey.</w:t>
      </w:r>
    </w:p>
    <w:p w14:paraId="34C5C455" w14:textId="77777777" w:rsidR="006F7B56" w:rsidRPr="006F7B56" w:rsidRDefault="006F7B56" w:rsidP="006F7B56">
      <w:pPr>
        <w:pStyle w:val="Bullet2"/>
      </w:pPr>
      <w:proofErr w:type="spellStart"/>
      <w:r w:rsidRPr="006F7B56">
        <w:t>gender_cat</w:t>
      </w:r>
      <w:proofErr w:type="spellEnd"/>
      <w:r w:rsidRPr="006F7B56">
        <w:t>: Created from screener data for RDD survey, created from web panel respondent profile data for web survey.</w:t>
      </w:r>
    </w:p>
    <w:p w14:paraId="2209CB3F" w14:textId="77777777" w:rsidR="006F7B56" w:rsidRPr="006F7B56" w:rsidRDefault="006F7B56" w:rsidP="006F7B56">
      <w:pPr>
        <w:pStyle w:val="Bullet2"/>
      </w:pPr>
      <w:proofErr w:type="spellStart"/>
      <w:r w:rsidRPr="006F7B56">
        <w:t>educ_cat</w:t>
      </w:r>
      <w:proofErr w:type="spellEnd"/>
      <w:r w:rsidRPr="006F7B56">
        <w:t>: Created from screener data.</w:t>
      </w:r>
    </w:p>
    <w:p w14:paraId="6CC6E59C" w14:textId="77777777" w:rsidR="006F7B56" w:rsidRPr="006F7B56" w:rsidRDefault="006F7B56" w:rsidP="006F7B56">
      <w:pPr>
        <w:pStyle w:val="Bullet2"/>
      </w:pPr>
      <w:proofErr w:type="spellStart"/>
      <w:r w:rsidRPr="006F7B56">
        <w:t>leave_cat</w:t>
      </w:r>
      <w:proofErr w:type="spellEnd"/>
      <w:r w:rsidRPr="006F7B56">
        <w:t>: Created from screener data.</w:t>
      </w:r>
    </w:p>
    <w:p w14:paraId="25637494" w14:textId="77777777" w:rsidR="006F7B56" w:rsidRPr="006F7B56" w:rsidRDefault="006F7B56" w:rsidP="006F7B56">
      <w:pPr>
        <w:pStyle w:val="Bullet2"/>
      </w:pPr>
      <w:proofErr w:type="spellStart"/>
      <w:r w:rsidRPr="006F7B56">
        <w:t>govt_emp</w:t>
      </w:r>
      <w:proofErr w:type="spellEnd"/>
      <w:r w:rsidRPr="006F7B56">
        <w:t>: Created from screener data.</w:t>
      </w:r>
    </w:p>
    <w:p w14:paraId="737C229C" w14:textId="77777777" w:rsidR="006F7B56" w:rsidRPr="006F7B56" w:rsidRDefault="006F7B56" w:rsidP="006F7B56">
      <w:pPr>
        <w:pStyle w:val="Bullet2"/>
      </w:pPr>
      <w:proofErr w:type="spellStart"/>
      <w:r w:rsidRPr="006F7B56">
        <w:t>num_jobs</w:t>
      </w:r>
      <w:proofErr w:type="spellEnd"/>
      <w:r w:rsidRPr="006F7B56">
        <w:t>: Created from screener data.</w:t>
      </w:r>
    </w:p>
    <w:p w14:paraId="216BD7D1" w14:textId="77777777" w:rsidR="006F7B56" w:rsidRPr="006F7B56" w:rsidRDefault="006F7B56" w:rsidP="006F7B56">
      <w:pPr>
        <w:pStyle w:val="Bullets"/>
      </w:pPr>
      <w:r w:rsidRPr="006F7B56">
        <w:lastRenderedPageBreak/>
        <w:t>Subgroup constructs analyzed in report tables:</w:t>
      </w:r>
    </w:p>
    <w:p w14:paraId="41433CA6" w14:textId="77777777" w:rsidR="006F7B56" w:rsidRPr="006F7B56" w:rsidRDefault="006F7B56" w:rsidP="006F7B56">
      <w:pPr>
        <w:pStyle w:val="Bullet2"/>
      </w:pPr>
      <w:proofErr w:type="spellStart"/>
      <w:r w:rsidRPr="006F7B56">
        <w:t>paid_leave_state</w:t>
      </w:r>
      <w:proofErr w:type="spellEnd"/>
      <w:r w:rsidRPr="006F7B56">
        <w:t>: Whether respondent resides in a paid-leave state. Paid-leave states are California, Rhode Island, and New Jersey. New York implemented paid leave on January 1, 2018, which was during the survey administration period. To account for this, New York respondents who completed the survey on or after July 1, 2018 are considered to be in a paid leave state (because the majority of their 12-month recall period occurred after paid leave went into effect on January 1, 2018).</w:t>
      </w:r>
    </w:p>
    <w:p w14:paraId="4B7A9055" w14:textId="77777777" w:rsidR="006F7B56" w:rsidRPr="006F7B56" w:rsidRDefault="006F7B56" w:rsidP="006F7B56">
      <w:pPr>
        <w:pStyle w:val="Bullet2"/>
      </w:pPr>
      <w:proofErr w:type="spellStart"/>
      <w:r w:rsidRPr="006F7B56">
        <w:t>low_wage</w:t>
      </w:r>
      <w:proofErr w:type="spellEnd"/>
      <w:r w:rsidRPr="006F7B56">
        <w:t xml:space="preserve">: Whether respondent earned less than $15/hour at main job at start of reference period (12 months prior to the survey). This variable is defined based on both income data provided in D3b and weekly </w:t>
      </w:r>
      <w:proofErr w:type="gramStart"/>
      <w:r w:rsidRPr="006F7B56">
        <w:t>hours</w:t>
      </w:r>
      <w:proofErr w:type="gramEnd"/>
      <w:r w:rsidRPr="006F7B56">
        <w:t xml:space="preserve"> data provided in the e0 questions. It is imputed for respondents without wage data using a </w:t>
      </w:r>
      <w:proofErr w:type="spellStart"/>
      <w:r w:rsidRPr="006F7B56">
        <w:t>probit</w:t>
      </w:r>
      <w:proofErr w:type="spellEnd"/>
      <w:r w:rsidRPr="006F7B56">
        <w:t xml:space="preserve"> regression imputation model based on wage and demographic characteristics from the survey. There are 271 cases where respondents’ annual income is under $30,000 in PUF variable D3abc_CAT, but they are not low wage in the LOW_WAGE variable. This is due to respondents having a wage greater than $15/hour but working few weekly hours, missing source variable data and being imputed as not low wage, or simply having different response periods between questions (d3b asks about current income if respondent is currently employed and the e0 questions ask about weekly hours 12 months ago). Conversely, there are 3 respondents who were imputed as low wage but have incomes greater than $65,000 in PUF variable D3abc_CAT. These 3 values were imputed due to missing source variable data.</w:t>
      </w:r>
    </w:p>
    <w:p w14:paraId="37FFF987" w14:textId="77777777" w:rsidR="006F7B56" w:rsidRPr="006F7B56" w:rsidRDefault="006F7B56" w:rsidP="006F7B56">
      <w:pPr>
        <w:pStyle w:val="Bullet2"/>
      </w:pPr>
      <w:proofErr w:type="spellStart"/>
      <w:r w:rsidRPr="006F7B56">
        <w:t>fmla_eligible</w:t>
      </w:r>
      <w:proofErr w:type="spellEnd"/>
      <w:r w:rsidRPr="006F7B56">
        <w:t xml:space="preserve">: Calculated FMLA eligibility at the start of the reference period (12 months prior to the survey date). Eligibility was calculated based on survey responses about employer size, employment tenure, and hours worked, all at the start of the reference period. </w:t>
      </w:r>
    </w:p>
    <w:p w14:paraId="7214720D" w14:textId="77777777" w:rsidR="006F7B56" w:rsidRPr="006F7B56" w:rsidRDefault="006F7B56" w:rsidP="006F7B56">
      <w:pPr>
        <w:pStyle w:val="Bullet2"/>
      </w:pPr>
      <w:proofErr w:type="spellStart"/>
      <w:r w:rsidRPr="006F7B56">
        <w:t>eligibility_cat</w:t>
      </w:r>
      <w:proofErr w:type="spellEnd"/>
      <w:r w:rsidRPr="006F7B56">
        <w:t xml:space="preserve">: FMLA eligibility variable including reasons for ineligibility for those who are ineligible. </w:t>
      </w:r>
    </w:p>
    <w:p w14:paraId="15685DE7" w14:textId="77777777" w:rsidR="006F7B56" w:rsidRPr="006F7B56" w:rsidRDefault="006F7B56" w:rsidP="006F7B56">
      <w:pPr>
        <w:pStyle w:val="Bullet2"/>
      </w:pPr>
      <w:r w:rsidRPr="006F7B56">
        <w:t xml:space="preserve">fmla_elig_if15hrwk, fmla_elig_if30hrwk, fmla_elig_if30emp, fmla_elig_if20emp: FMLA eligibility simulation variables representing FMLA eligibility if eligibility criteria were modified (15 hours worked per week, 30 hours worked per week, employer size of 30 employees, employer size of 20 employees). </w:t>
      </w:r>
    </w:p>
    <w:p w14:paraId="5FE72016" w14:textId="77777777" w:rsidR="006F7B56" w:rsidRPr="006F7B56" w:rsidRDefault="006F7B56" w:rsidP="006F7B56">
      <w:pPr>
        <w:pStyle w:val="Bullet2"/>
      </w:pPr>
      <w:r w:rsidRPr="006F7B56">
        <w:t>a19_mr_0_10d, a19_mr_11_40d, a19_mr_41_60d, and a19_mr_61Pd: Length of leave subgroup variables representing length of leave categories (0-10 days, 11-40 days, 41-60 days, 61 or more days). Leave length is doubled for respondents currently on leave (A3) and FMLA-ineligible leave reasons (A5) are set to missing.</w:t>
      </w:r>
    </w:p>
    <w:p w14:paraId="40C6DC89" w14:textId="77777777" w:rsidR="006F7B56" w:rsidRPr="006F7B56" w:rsidRDefault="006F7B56" w:rsidP="006F7B56">
      <w:pPr>
        <w:pStyle w:val="Bullet2"/>
      </w:pPr>
      <w:r w:rsidRPr="006F7B56">
        <w:t>a5_ownIllness, a5_newchild, a5_chc A5_adulthealthlt65, a5_adulthealthgt65, a5_nonfmlaperson: Most recent leave reason subgroup variables (A5).</w:t>
      </w:r>
    </w:p>
    <w:p w14:paraId="05D25C53" w14:textId="77777777" w:rsidR="006F7B56" w:rsidRPr="006F7B56" w:rsidRDefault="006F7B56" w:rsidP="006F7B56">
      <w:pPr>
        <w:pStyle w:val="Bullets"/>
      </w:pPr>
      <w:r w:rsidRPr="006F7B56">
        <w:t>Other constructs:</w:t>
      </w:r>
    </w:p>
    <w:p w14:paraId="722CA009" w14:textId="77777777" w:rsidR="006F7B56" w:rsidRPr="006F7B56" w:rsidRDefault="006F7B56" w:rsidP="006F7B56">
      <w:pPr>
        <w:pStyle w:val="Bullet2"/>
      </w:pPr>
      <w:r w:rsidRPr="006F7B56">
        <w:t>d3abc_cat: Annualized own current earnings based on D3a, D3b, D3c, and D3d. Weekly hours reported in e0b and e0g were used to annualize values for respondents who reported income as an hourly wage. For the 72 respondents who were currently employed, not employed 12 months ago, and reported their income as an hourly wage, e0b and e0g were skipped and thus their income could not be annualized. These 72 respondents take values of “Don’t Know/Refused/Not able to be annualized” in the D3abc_CAT PUF variable.</w:t>
      </w:r>
    </w:p>
    <w:p w14:paraId="350468D7" w14:textId="77777777" w:rsidR="006F7B56" w:rsidRPr="006F7B56" w:rsidRDefault="006F7B56" w:rsidP="006F7B56">
      <w:pPr>
        <w:pStyle w:val="Bullet2"/>
      </w:pPr>
      <w:r w:rsidRPr="006F7B56">
        <w:t xml:space="preserve">nd4_cat: Family earnings derived by creating categories from both continuous D4 responses and the midpoint of responses to D4a through D4j. Question D4 asks about earnings in the last 12 months whereas D3 asks about current earnings if the respondent is currently employed, so responses to these questions are not always consistent. </w:t>
      </w:r>
    </w:p>
    <w:p w14:paraId="15FDB9EF" w14:textId="42E6182A" w:rsidR="006F7B56" w:rsidRDefault="006F7B56" w:rsidP="006F7B56">
      <w:pPr>
        <w:pStyle w:val="Heading2NoNumbering"/>
      </w:pPr>
      <w:bookmarkStart w:id="28" w:name="_Toc31721053"/>
      <w:r w:rsidRPr="006F7B56">
        <w:lastRenderedPageBreak/>
        <w:t>Section 3: Other PUF and Contextual Files</w:t>
      </w:r>
      <w:bookmarkEnd w:id="28"/>
    </w:p>
    <w:p w14:paraId="7614A065" w14:textId="00732FE4" w:rsidR="00F301BE" w:rsidRPr="00F301BE" w:rsidRDefault="00F301BE" w:rsidP="00F301BE">
      <w:pPr>
        <w:pStyle w:val="BodyText"/>
        <w:rPr>
          <w:lang w:val="en-US"/>
        </w:rPr>
      </w:pPr>
      <w:r w:rsidRPr="00F301BE">
        <w:rPr>
          <w:lang w:val="en-US"/>
        </w:rPr>
        <w:t>In addition to the data files discussed in Section 1 of this chapter, the 2018 FMLA Employee Survey codebook is provided as a part of the PUF download package. The codebook is included in the documentation package as an Excel workbook named “FMLA_2018_Employee_PUF_Codebook.xlsx.”</w:t>
      </w:r>
      <w:r w:rsidR="00AA41AB">
        <w:rPr>
          <w:lang w:val="en-US"/>
        </w:rPr>
        <w:t xml:space="preserve"> </w:t>
      </w:r>
      <w:r w:rsidRPr="00F301BE">
        <w:rPr>
          <w:lang w:val="en-US"/>
        </w:rPr>
        <w:t xml:space="preserve">The 2018 FMLA Employee Survey instruments can be found in the appendices of the FMLA 2018 Methodology Report. </w:t>
      </w:r>
    </w:p>
    <w:p w14:paraId="4F462C2D" w14:textId="77777777" w:rsidR="006F7B56" w:rsidRDefault="006F7B56" w:rsidP="00BC408B">
      <w:pPr>
        <w:pStyle w:val="BodyText"/>
      </w:pPr>
    </w:p>
    <w:p w14:paraId="5219887F" w14:textId="77777777" w:rsidR="006F7B56" w:rsidRPr="00B92B0D" w:rsidRDefault="006F7B56" w:rsidP="00BC408B">
      <w:pPr>
        <w:pStyle w:val="BodyText"/>
      </w:pPr>
    </w:p>
    <w:sectPr w:rsidR="006F7B56" w:rsidRPr="00B92B0D" w:rsidSect="00837793">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19290" w14:textId="77777777" w:rsidR="00170EE4" w:rsidRDefault="00170EE4" w:rsidP="00DC17F5">
      <w:r>
        <w:separator/>
      </w:r>
    </w:p>
  </w:endnote>
  <w:endnote w:type="continuationSeparator" w:id="0">
    <w:p w14:paraId="593BE47F" w14:textId="77777777" w:rsidR="00170EE4" w:rsidRDefault="00170EE4" w:rsidP="00DC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HP Simplified Light">
    <w:charset w:val="00"/>
    <w:family w:val="swiss"/>
    <w:pitch w:val="variable"/>
    <w:sig w:usb0="A00000AF" w:usb1="5000205B" w:usb2="00000000" w:usb3="00000000" w:csb0="00000093" w:csb1="00000000"/>
  </w:font>
  <w:font w:name="Gotham">
    <w:altName w:val="Gotha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DC078" w14:textId="3A8C8D38" w:rsidR="00170EE4" w:rsidRDefault="00170EE4" w:rsidP="009C0A96">
    <w:pPr>
      <w:pStyle w:val="Footer"/>
    </w:pPr>
    <w:r>
      <w:rPr>
        <w:szCs w:val="18"/>
      </w:rPr>
      <w:t>FMLA</w:t>
    </w:r>
    <w:r w:rsidRPr="005B174C">
      <w:rPr>
        <w:szCs w:val="18"/>
      </w:rPr>
      <w:t>: Results from the 2018 Surveys</w:t>
    </w:r>
    <w:r w:rsidRPr="00BE5A43">
      <w:rPr>
        <w:color w:val="595959"/>
      </w:rPr>
      <w:tab/>
    </w:r>
    <w:r>
      <w:rPr>
        <w:color w:val="595959"/>
      </w:rPr>
      <w:tab/>
    </w:r>
    <w:r w:rsidRPr="00837793">
      <w:rPr>
        <w:color w:val="DA291C" w:themeColor="text2"/>
      </w:rPr>
      <w:t>February</w:t>
    </w:r>
    <w:r w:rsidRPr="00837793">
      <w:rPr>
        <w:color w:val="DA291C" w:themeColor="text2"/>
        <w:szCs w:val="18"/>
      </w:rPr>
      <w:t xml:space="preserve"> 2</w:t>
    </w:r>
    <w:r w:rsidR="007C715A">
      <w:rPr>
        <w:szCs w:val="18"/>
      </w:rPr>
      <w:t>020</w:t>
    </w:r>
    <w:r w:rsidRPr="005C35B6">
      <w:rPr>
        <w:szCs w:val="18"/>
      </w:rPr>
      <w:t> </w:t>
    </w:r>
    <w:r w:rsidRPr="00BE5A43">
      <w:rPr>
        <w:color w:val="595959"/>
      </w:rPr>
      <w:t>▌</w:t>
    </w:r>
    <w:r w:rsidRPr="00BE5A43">
      <w:fldChar w:fldCharType="begin"/>
    </w:r>
    <w:r w:rsidRPr="00BE5A43">
      <w:instrText xml:space="preserve"> PAGE   \* MERGEFORMAT </w:instrText>
    </w:r>
    <w:r w:rsidRPr="00BE5A43">
      <w:fldChar w:fldCharType="separate"/>
    </w:r>
    <w:r w:rsidR="007C715A">
      <w:rPr>
        <w:noProof/>
      </w:rPr>
      <w:t>ii</w:t>
    </w:r>
    <w:r w:rsidRPr="00BE5A4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D5E1" w14:textId="15D70078" w:rsidR="00170EE4" w:rsidRDefault="00170EE4" w:rsidP="009C0A96">
    <w:pPr>
      <w:pStyle w:val="Footer"/>
    </w:pPr>
    <w:r>
      <w:rPr>
        <w:szCs w:val="18"/>
      </w:rPr>
      <w:t>FMLA</w:t>
    </w:r>
    <w:r w:rsidRPr="005B174C">
      <w:rPr>
        <w:szCs w:val="18"/>
      </w:rPr>
      <w:t>: Results from the 2018 Surveys</w:t>
    </w:r>
    <w:r w:rsidRPr="00BE5A43">
      <w:rPr>
        <w:color w:val="595959"/>
      </w:rPr>
      <w:tab/>
    </w:r>
    <w:r>
      <w:rPr>
        <w:color w:val="595959"/>
      </w:rPr>
      <w:tab/>
    </w:r>
    <w:r>
      <w:rPr>
        <w:szCs w:val="18"/>
      </w:rPr>
      <w:t>February 2020</w:t>
    </w:r>
    <w:r w:rsidRPr="005C35B6">
      <w:rPr>
        <w:szCs w:val="18"/>
      </w:rPr>
      <w:t> </w:t>
    </w:r>
    <w:r w:rsidRPr="00BE5A43">
      <w:rPr>
        <w:color w:val="595959"/>
      </w:rPr>
      <w:t>▌</w:t>
    </w:r>
    <w:r w:rsidRPr="00BE5A43">
      <w:fldChar w:fldCharType="begin"/>
    </w:r>
    <w:r w:rsidRPr="00BE5A43">
      <w:instrText xml:space="preserve"> PAGE   \* MERGEFORMAT </w:instrText>
    </w:r>
    <w:r w:rsidRPr="00BE5A43">
      <w:fldChar w:fldCharType="separate"/>
    </w:r>
    <w:r w:rsidR="007C715A">
      <w:rPr>
        <w:noProof/>
      </w:rPr>
      <w:t>17</w:t>
    </w:r>
    <w:r w:rsidRPr="00BE5A4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CCED" w14:textId="77777777" w:rsidR="00170EE4" w:rsidRDefault="00170EE4" w:rsidP="00DC17F5">
      <w:r>
        <w:separator/>
      </w:r>
    </w:p>
  </w:footnote>
  <w:footnote w:type="continuationSeparator" w:id="0">
    <w:p w14:paraId="3860F189" w14:textId="77777777" w:rsidR="00170EE4" w:rsidRDefault="00170EE4" w:rsidP="00DC17F5">
      <w:r>
        <w:continuationSeparator/>
      </w:r>
    </w:p>
  </w:footnote>
  <w:footnote w:id="1">
    <w:p w14:paraId="15D41658" w14:textId="75FBCC7A" w:rsidR="00170EE4" w:rsidRDefault="00170EE4" w:rsidP="009E5813">
      <w:pPr>
        <w:spacing w:before="553" w:line="231" w:lineRule="exact"/>
        <w:ind w:left="180" w:right="144" w:hanging="180"/>
        <w:textAlignment w:val="baseline"/>
      </w:pPr>
      <w:r w:rsidRPr="00E97DAE">
        <w:rPr>
          <w:rStyle w:val="FootnoteReference"/>
        </w:rPr>
        <w:footnoteRef/>
      </w:r>
      <w:r>
        <w:rPr>
          <w:color w:val="000000"/>
          <w:sz w:val="20"/>
        </w:rPr>
        <w:t xml:space="preserve"> </w:t>
      </w:r>
      <w:r>
        <w:rPr>
          <w:color w:val="000000"/>
          <w:sz w:val="20"/>
        </w:rPr>
        <w:tab/>
      </w:r>
      <w:r w:rsidRPr="00E97DAE">
        <w:rPr>
          <w:color w:val="000000"/>
          <w:sz w:val="20"/>
        </w:rPr>
        <w:t>SAS and all other SAS Institute Inc. product or service names are registered trademarks or trademarks of SAS Institute Inc. in the USA and other countries. ® indicates USA registration.</w:t>
      </w:r>
      <w:r w:rsidRPr="00E97DAE">
        <w:rPr>
          <w:color w:val="000000"/>
          <w:sz w:val="13"/>
          <w:vertAlign w:val="superscript"/>
        </w:rPr>
        <w:t xml:space="preserve"> </w:t>
      </w:r>
      <w:r w:rsidRPr="00E97DAE">
        <w:rPr>
          <w:color w:val="000000"/>
          <w:sz w:val="20"/>
        </w:rPr>
        <w:t xml:space="preserve">Stata and all other Stata Corp LP product or service names are registered trademarks or trademarks of </w:t>
      </w:r>
      <w:proofErr w:type="spellStart"/>
      <w:r w:rsidRPr="00E97DAE">
        <w:rPr>
          <w:color w:val="000000"/>
          <w:sz w:val="20"/>
        </w:rPr>
        <w:t>StataCorp</w:t>
      </w:r>
      <w:proofErr w:type="spellEnd"/>
      <w:r w:rsidRPr="00E97DAE">
        <w:rPr>
          <w:color w:val="000000"/>
          <w:sz w:val="20"/>
        </w:rPr>
        <w:t xml:space="preserve"> LP in the USA and other countries. ® indicates USA registration.</w:t>
      </w:r>
    </w:p>
  </w:footnote>
  <w:footnote w:id="2">
    <w:p w14:paraId="3FC4AE42" w14:textId="303852E0" w:rsidR="00170EE4" w:rsidRDefault="00170EE4" w:rsidP="006A2A90">
      <w:pPr>
        <w:pStyle w:val="FootnoteText"/>
      </w:pPr>
      <w:r w:rsidRPr="009D7B7E">
        <w:rPr>
          <w:rStyle w:val="FootnoteReference"/>
          <w:szCs w:val="24"/>
        </w:rPr>
        <w:footnoteRef/>
      </w:r>
      <w:r w:rsidRPr="009D7B7E">
        <w:rPr>
          <w:szCs w:val="24"/>
        </w:rPr>
        <w:t xml:space="preserve"> </w:t>
      </w:r>
      <w:r>
        <w:rPr>
          <w:szCs w:val="24"/>
        </w:rPr>
        <w:tab/>
      </w:r>
      <w:r w:rsidRPr="009D7B7E">
        <w:rPr>
          <w:szCs w:val="24"/>
        </w:rPr>
        <w:t xml:space="preserve">More information about paid leave state classification can be found in the </w:t>
      </w:r>
      <w:r w:rsidRPr="001F497B">
        <w:rPr>
          <w:szCs w:val="24"/>
        </w:rPr>
        <w:t>FMLA</w:t>
      </w:r>
      <w:r>
        <w:rPr>
          <w:szCs w:val="24"/>
        </w:rPr>
        <w:t xml:space="preserve"> </w:t>
      </w:r>
      <w:r w:rsidRPr="001F497B">
        <w:rPr>
          <w:szCs w:val="24"/>
        </w:rPr>
        <w:t>2018</w:t>
      </w:r>
      <w:r>
        <w:rPr>
          <w:szCs w:val="24"/>
        </w:rPr>
        <w:t xml:space="preserve"> </w:t>
      </w:r>
      <w:r w:rsidRPr="001F497B">
        <w:rPr>
          <w:szCs w:val="24"/>
        </w:rPr>
        <w:t>Supplemental Results Appendix</w:t>
      </w:r>
      <w:r w:rsidRPr="009D7B7E">
        <w:rPr>
          <w:szCs w:val="24"/>
        </w:rPr>
        <w:t>.</w:t>
      </w:r>
    </w:p>
  </w:footnote>
  <w:footnote w:id="3">
    <w:p w14:paraId="5A42C444" w14:textId="289296C1" w:rsidR="00170EE4" w:rsidRPr="009D7B7E" w:rsidRDefault="00170EE4" w:rsidP="006F7B56">
      <w:pPr>
        <w:pStyle w:val="FootnoteText"/>
      </w:pPr>
      <w:r w:rsidRPr="009D7B7E">
        <w:rPr>
          <w:rStyle w:val="FootnoteReference"/>
        </w:rPr>
        <w:footnoteRef/>
      </w:r>
      <w:r w:rsidRPr="009D7B7E">
        <w:t xml:space="preserve"> </w:t>
      </w:r>
      <w:r>
        <w:tab/>
      </w:r>
      <w:r w:rsidRPr="009D7B7E">
        <w:t>That is, the text immediately preceding the suffix (e.g., A19_MR_CAT).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353EF" w14:textId="4879A552" w:rsidR="00170EE4" w:rsidRDefault="007C715A">
    <w:pPr>
      <w:pStyle w:val="Header"/>
    </w:pPr>
    <w:r>
      <w:rPr>
        <w:noProof/>
      </w:rPr>
      <w:pict w14:anchorId="210B4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1" o:spid="_x0000_s33796" type="#_x0000_t136" style="position:absolute;left:0;text-align:left;margin-left:0;margin-top:0;width:471.3pt;height:188.5pt;rotation:315;z-index:-251655168;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8E475" w14:textId="36B7669A" w:rsidR="00170EE4" w:rsidRPr="00AA4C10" w:rsidRDefault="00170EE4" w:rsidP="00AA4C10">
    <w:pPr>
      <w:pStyle w:val="Header"/>
    </w:pPr>
    <w:r w:rsidRPr="00837793">
      <w:t>INTRODUCTION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A117D" w14:textId="345FD3A5" w:rsidR="00170EE4" w:rsidRPr="00AA4C10" w:rsidRDefault="00170EE4" w:rsidP="00AA4C10">
    <w:pPr>
      <w:pStyle w:val="Header"/>
    </w:pPr>
    <w:r w:rsidRPr="009E5813">
      <w:t>CHAPTER 1: 2018 FMLA WORKSITE SURVEY</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06C0E" w14:textId="08261FE7" w:rsidR="00170EE4" w:rsidRPr="00A10B7D" w:rsidRDefault="00170EE4" w:rsidP="00A10B7D">
    <w:pPr>
      <w:pStyle w:val="Header"/>
    </w:pPr>
    <w:r w:rsidRPr="009E5813">
      <w:t>CHAPTER 1: 2018 FMLA WORKSITE SURVEY</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A909" w14:textId="14C667D2" w:rsidR="00170EE4" w:rsidRPr="009E5737" w:rsidRDefault="00170EE4" w:rsidP="009E5737">
    <w:pPr>
      <w:pStyle w:val="Header"/>
      <w:ind w:left="720"/>
    </w:pPr>
    <w:r w:rsidRPr="006A2A90">
      <w:t>CHAPTER 2: 2018 FMLA EMPLOYEE SURVEY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6A7B2" w14:textId="0A7AC707" w:rsidR="00170EE4" w:rsidRPr="00597B60" w:rsidRDefault="00170EE4" w:rsidP="00DC17F5">
    <w:r w:rsidRPr="00597B60">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38F8" w14:textId="6B1CF0E6" w:rsidR="00170EE4" w:rsidRDefault="007C715A">
    <w:pPr>
      <w:pStyle w:val="Header"/>
    </w:pPr>
    <w:r>
      <w:rPr>
        <w:noProof/>
      </w:rPr>
      <w:pict w14:anchorId="10822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0" o:spid="_x0000_s33795" type="#_x0000_t136" style="position:absolute;left:0;text-align:left;margin-left:0;margin-top:0;width:471.3pt;height:188.5pt;rotation:315;z-index:-251657216;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C1A74" w14:textId="03FDDBAF" w:rsidR="00170EE4" w:rsidRDefault="007C715A">
    <w:pPr>
      <w:pStyle w:val="Header"/>
    </w:pPr>
    <w:r>
      <w:rPr>
        <w:noProof/>
      </w:rPr>
      <w:pict w14:anchorId="0856C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4" o:spid="_x0000_s33799" type="#_x0000_t136" style="position:absolute;left:0;text-align:left;margin-left:0;margin-top:0;width:471.3pt;height:188.5pt;rotation:315;z-index:-251649024;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8592" w14:textId="74041315" w:rsidR="00170EE4" w:rsidRPr="007C715A" w:rsidRDefault="00170EE4" w:rsidP="007C715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C1E5" w14:textId="642ECF49" w:rsidR="00170EE4" w:rsidRDefault="007C715A">
    <w:pPr>
      <w:pStyle w:val="Header"/>
    </w:pPr>
    <w:r>
      <w:rPr>
        <w:noProof/>
      </w:rPr>
      <w:pict w14:anchorId="3131F2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3" o:spid="_x0000_s33798" type="#_x0000_t136" style="position:absolute;left:0;text-align:left;margin-left:0;margin-top:0;width:471.3pt;height:188.5pt;rotation:315;z-index:-251651072;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2430" w14:textId="3C19A560" w:rsidR="00170EE4" w:rsidRDefault="007C715A">
    <w:pPr>
      <w:pStyle w:val="Header"/>
    </w:pPr>
    <w:r>
      <w:rPr>
        <w:noProof/>
      </w:rPr>
      <w:pict w14:anchorId="43234B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7" o:spid="_x0000_s33802" type="#_x0000_t136" style="position:absolute;left:0;text-align:left;margin-left:0;margin-top:0;width:471.3pt;height:188.5pt;rotation:315;z-index:-251642880;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C8DAF" w14:textId="7571C95F" w:rsidR="00170EE4" w:rsidRDefault="00170EE4" w:rsidP="00D57BF2">
    <w:pPr>
      <w:pStyle w:val="Header"/>
    </w:pPr>
    <w:r>
      <w:t>CONTENTS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9888" w14:textId="7BFA8C6B" w:rsidR="00170EE4" w:rsidRDefault="007C715A">
    <w:pPr>
      <w:pStyle w:val="Header"/>
    </w:pPr>
    <w:r>
      <w:rPr>
        <w:noProof/>
      </w:rPr>
      <w:pict w14:anchorId="22A701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050756" o:spid="_x0000_s33801" type="#_x0000_t136" style="position:absolute;left:0;text-align:left;margin-left:0;margin-top:0;width:471.3pt;height:188.5pt;rotation:315;z-index:-251644928;mso-position-horizontal:center;mso-position-horizontal-relative:margin;mso-position-vertical:center;mso-position-vertical-relative:margin" o:allowincell="f" fillcolor="#d8d8d8 [2732]"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ADF"/>
    <w:multiLevelType w:val="hybridMultilevel"/>
    <w:tmpl w:val="5E3A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54379"/>
    <w:multiLevelType w:val="multilevel"/>
    <w:tmpl w:val="8DB272C2"/>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start w:val="1"/>
      <w:numFmt w:val="bullet"/>
      <w:lvlText w:val="o"/>
      <w:lvlJc w:val="left"/>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6B4230"/>
    <w:multiLevelType w:val="multilevel"/>
    <w:tmpl w:val="B492EE4E"/>
    <w:lvl w:ilvl="0">
      <w:start w:val="1"/>
      <w:numFmt w:val="bullet"/>
      <w:pStyle w:val="TableBullets"/>
      <w:lvlText w:val=""/>
      <w:lvlJc w:val="left"/>
      <w:pPr>
        <w:ind w:left="720" w:hanging="720"/>
      </w:pPr>
      <w:rPr>
        <w:rFonts w:ascii="Symbol" w:hAnsi="Symbol" w:hint="default"/>
        <w:color w:val="DA291C"/>
      </w:rPr>
    </w:lvl>
    <w:lvl w:ilvl="1">
      <w:start w:val="1"/>
      <w:numFmt w:val="none"/>
      <w:lvlText w:val="ú"/>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rPr>
        <w:rFonts w:ascii="Times New Roman" w:hAnsi="Times New Roman" w:cs="Times New Roman" w:hint="default"/>
      </w:r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13B536BB"/>
    <w:multiLevelType w:val="hybridMultilevel"/>
    <w:tmpl w:val="0D40B93C"/>
    <w:lvl w:ilvl="0" w:tplc="EC865CA6">
      <w:start w:val="1"/>
      <w:numFmt w:val="bullet"/>
      <w:pStyle w:val="Call-OutBoxBullet"/>
      <w:lvlText w:val=""/>
      <w:lvlJc w:val="left"/>
      <w:pPr>
        <w:ind w:left="720" w:hanging="360"/>
      </w:pPr>
      <w:rPr>
        <w:rFonts w:ascii="Symbol" w:hAnsi="Symbol" w:hint="default"/>
        <w:color w:val="E61D3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B109F"/>
    <w:multiLevelType w:val="hybridMultilevel"/>
    <w:tmpl w:val="8AB81C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6DC3814"/>
    <w:multiLevelType w:val="hybridMultilevel"/>
    <w:tmpl w:val="BC081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148C2"/>
    <w:multiLevelType w:val="multilevel"/>
    <w:tmpl w:val="DAD24D6A"/>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A79E3"/>
    <w:multiLevelType w:val="hybridMultilevel"/>
    <w:tmpl w:val="84B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C259B"/>
    <w:multiLevelType w:val="singleLevel"/>
    <w:tmpl w:val="01AC6EA0"/>
    <w:lvl w:ilvl="0">
      <w:start w:val="1"/>
      <w:numFmt w:val="decimal"/>
      <w:pStyle w:val="Numbers"/>
      <w:lvlText w:val="%1."/>
      <w:lvlJc w:val="left"/>
      <w:pPr>
        <w:tabs>
          <w:tab w:val="num" w:pos="1080"/>
        </w:tabs>
        <w:ind w:left="1080" w:hanging="360"/>
      </w:pPr>
    </w:lvl>
  </w:abstractNum>
  <w:abstractNum w:abstractNumId="9" w15:restartNumberingAfterBreak="0">
    <w:nsid w:val="257707F9"/>
    <w:multiLevelType w:val="multilevel"/>
    <w:tmpl w:val="0470AA94"/>
    <w:lvl w:ilvl="0">
      <w:start w:val="1"/>
      <w:numFmt w:val="bullet"/>
      <w:lvlText w:val="o"/>
      <w:lvlJc w:val="left"/>
      <w:pPr>
        <w:tabs>
          <w:tab w:val="left" w:pos="360"/>
        </w:tabs>
        <w:ind w:left="720"/>
      </w:pPr>
      <w:rPr>
        <w:rFonts w:ascii="Courier New" w:eastAsia="Courier New" w:hAnsi="Courier New"/>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E704F1"/>
    <w:multiLevelType w:val="hybridMultilevel"/>
    <w:tmpl w:val="25BCF5C4"/>
    <w:lvl w:ilvl="0" w:tplc="16B4594C">
      <w:start w:val="1"/>
      <w:numFmt w:val="bullet"/>
      <w:pStyle w:val="Bullets"/>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020DC"/>
    <w:multiLevelType w:val="hybridMultilevel"/>
    <w:tmpl w:val="B338F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14B44"/>
    <w:multiLevelType w:val="hybridMultilevel"/>
    <w:tmpl w:val="5C42DDD8"/>
    <w:lvl w:ilvl="0" w:tplc="16D09DCE">
      <w:start w:val="1"/>
      <w:numFmt w:val="decimal"/>
      <w:lvlText w:val="%1."/>
      <w:lvlJc w:val="left"/>
      <w:pPr>
        <w:ind w:left="720" w:hanging="360"/>
      </w:pPr>
      <w:rPr>
        <w:b w:val="0"/>
        <w:color w:val="auto"/>
      </w:rPr>
    </w:lvl>
    <w:lvl w:ilvl="1" w:tplc="508EAFCE">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CF6BEC"/>
    <w:multiLevelType w:val="hybridMultilevel"/>
    <w:tmpl w:val="1C1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D33C4"/>
    <w:multiLevelType w:val="multilevel"/>
    <w:tmpl w:val="9E9E96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910"/>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45E06AFD"/>
    <w:multiLevelType w:val="hybridMultilevel"/>
    <w:tmpl w:val="57E0C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02C23"/>
    <w:multiLevelType w:val="hybridMultilevel"/>
    <w:tmpl w:val="D4FE9CE4"/>
    <w:lvl w:ilvl="0" w:tplc="4470055C">
      <w:start w:val="1"/>
      <w:numFmt w:val="bullet"/>
      <w:lvlText w:val=""/>
      <w:lvlJc w:val="left"/>
      <w:pPr>
        <w:ind w:left="720" w:hanging="360"/>
      </w:pPr>
      <w:rPr>
        <w:rFonts w:ascii="Symbol" w:hAnsi="Symbol" w:hint="default"/>
        <w:color w:val="DA291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D7C0D"/>
    <w:multiLevelType w:val="multilevel"/>
    <w:tmpl w:val="841C91A4"/>
    <w:lvl w:ilvl="0">
      <w:start w:val="1"/>
      <w:numFmt w:val="bullet"/>
      <w:lvlText w:val="·"/>
      <w:lvlJc w:val="left"/>
      <w:pPr>
        <w:tabs>
          <w:tab w:val="left" w:pos="432"/>
        </w:tabs>
        <w:ind w:left="720"/>
      </w:pPr>
      <w:rPr>
        <w:rFonts w:ascii="Symbol" w:eastAsia="Symbol" w:hAnsi="Symbol"/>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951BD5"/>
    <w:multiLevelType w:val="hybridMultilevel"/>
    <w:tmpl w:val="041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74134"/>
    <w:multiLevelType w:val="hybridMultilevel"/>
    <w:tmpl w:val="FB42A458"/>
    <w:lvl w:ilvl="0" w:tplc="643A800A">
      <w:start w:val="1"/>
      <w:numFmt w:val="bullet"/>
      <w:pStyle w:val="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220405"/>
    <w:multiLevelType w:val="hybridMultilevel"/>
    <w:tmpl w:val="76C60A92"/>
    <w:lvl w:ilvl="0" w:tplc="DB8872AC">
      <w:start w:val="1"/>
      <w:numFmt w:val="bullet"/>
      <w:pStyle w:val="ExhibitBullet"/>
      <w:lvlText w:val=""/>
      <w:lvlJc w:val="left"/>
      <w:pPr>
        <w:ind w:left="720" w:hanging="360"/>
      </w:pPr>
      <w:rPr>
        <w:rFonts w:ascii="Symbol" w:hAnsi="Symbol" w:hint="default"/>
        <w:color w:val="DA291C"/>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C6400"/>
    <w:multiLevelType w:val="hybridMultilevel"/>
    <w:tmpl w:val="4718D740"/>
    <w:lvl w:ilvl="0" w:tplc="68260532">
      <w:start w:val="1"/>
      <w:numFmt w:val="bullet"/>
      <w:pStyle w:val="ExhibitBullet1"/>
      <w:lvlText w:val=""/>
      <w:lvlJc w:val="left"/>
      <w:pPr>
        <w:ind w:left="688" w:hanging="360"/>
      </w:pPr>
      <w:rPr>
        <w:rFonts w:ascii="Symbol" w:hAnsi="Symbol" w:hint="default"/>
      </w:rPr>
    </w:lvl>
    <w:lvl w:ilvl="1" w:tplc="04090003">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22" w15:restartNumberingAfterBreak="0">
    <w:nsid w:val="6ECE1848"/>
    <w:multiLevelType w:val="hybridMultilevel"/>
    <w:tmpl w:val="2C1EE4A6"/>
    <w:lvl w:ilvl="0" w:tplc="5088CEAA">
      <w:start w:val="1"/>
      <w:numFmt w:val="bullet"/>
      <w:pStyle w:val="Find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701A89"/>
    <w:multiLevelType w:val="hybridMultilevel"/>
    <w:tmpl w:val="63D8AA3C"/>
    <w:lvl w:ilvl="0" w:tplc="2B5E383A">
      <w:start w:val="1"/>
      <w:numFmt w:val="bullet"/>
      <w:pStyle w:val="PPBullet"/>
      <w:lvlText w:val="·"/>
      <w:lvlJc w:val="left"/>
      <w:pPr>
        <w:ind w:left="360" w:hanging="360"/>
      </w:pPr>
      <w:rPr>
        <w:rFonts w:ascii="Symbol" w:hAnsi="Symbol" w:hint="default"/>
        <w:color w:val="48A9C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F644F"/>
    <w:multiLevelType w:val="singleLevel"/>
    <w:tmpl w:val="4852FEBA"/>
    <w:lvl w:ilvl="0">
      <w:start w:val="1"/>
      <w:numFmt w:val="decimal"/>
      <w:pStyle w:val="RefNumbers"/>
      <w:lvlText w:val="%1."/>
      <w:lvlJc w:val="left"/>
      <w:pPr>
        <w:tabs>
          <w:tab w:val="num" w:pos="720"/>
        </w:tabs>
        <w:ind w:left="720" w:hanging="720"/>
      </w:pPr>
    </w:lvl>
  </w:abstractNum>
  <w:abstractNum w:abstractNumId="25" w15:restartNumberingAfterBreak="0">
    <w:nsid w:val="7DE74856"/>
    <w:multiLevelType w:val="multilevel"/>
    <w:tmpl w:val="82907192"/>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FCF753D"/>
    <w:multiLevelType w:val="hybridMultilevel"/>
    <w:tmpl w:val="E450776A"/>
    <w:lvl w:ilvl="0" w:tplc="8BD4E372">
      <w:start w:val="1"/>
      <w:numFmt w:val="bullet"/>
      <w:pStyle w:val="Bullet2"/>
      <w:lvlText w:val=""/>
      <w:lvlJc w:val="left"/>
      <w:pPr>
        <w:tabs>
          <w:tab w:val="num" w:pos="720"/>
        </w:tabs>
        <w:ind w:left="720" w:hanging="360"/>
      </w:pPr>
      <w:rPr>
        <w:rFonts w:ascii="Symbol" w:hAnsi="Symbol" w:hint="default"/>
        <w:color w:val="0000A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4"/>
  </w:num>
  <w:num w:numId="3">
    <w:abstractNumId w:val="14"/>
  </w:num>
  <w:num w:numId="4">
    <w:abstractNumId w:val="26"/>
  </w:num>
  <w:num w:numId="5">
    <w:abstractNumId w:val="2"/>
  </w:num>
  <w:num w:numId="6">
    <w:abstractNumId w:val="23"/>
  </w:num>
  <w:num w:numId="7">
    <w:abstractNumId w:val="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6"/>
  </w:num>
  <w:num w:numId="11">
    <w:abstractNumId w:val="19"/>
  </w:num>
  <w:num w:numId="12">
    <w:abstractNumId w:val="12"/>
  </w:num>
  <w:num w:numId="13">
    <w:abstractNumId w:val="20"/>
  </w:num>
  <w:num w:numId="14">
    <w:abstractNumId w:val="10"/>
  </w:num>
  <w:num w:numId="15">
    <w:abstractNumId w:val="22"/>
  </w:num>
  <w:num w:numId="16">
    <w:abstractNumId w:val="11"/>
  </w:num>
  <w:num w:numId="17">
    <w:abstractNumId w:val="5"/>
  </w:num>
  <w:num w:numId="18">
    <w:abstractNumId w:val="15"/>
  </w:num>
  <w:num w:numId="19">
    <w:abstractNumId w:val="13"/>
  </w:num>
  <w:num w:numId="20">
    <w:abstractNumId w:val="17"/>
  </w:num>
  <w:num w:numId="21">
    <w:abstractNumId w:val="4"/>
  </w:num>
  <w:num w:numId="22">
    <w:abstractNumId w:val="18"/>
  </w:num>
  <w:num w:numId="23">
    <w:abstractNumId w:val="7"/>
  </w:num>
  <w:num w:numId="24">
    <w:abstractNumId w:val="25"/>
  </w:num>
  <w:num w:numId="25">
    <w:abstractNumId w:val="1"/>
  </w:num>
  <w:num w:numId="26">
    <w:abstractNumId w:val="6"/>
  </w:num>
  <w:num w:numId="27">
    <w:abstractNumId w:val="9"/>
  </w:num>
  <w:num w:numId="28">
    <w:abstractNumId w:val="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edit="trackedChanges" w:enforcement="0"/>
  <w:defaultTabStop w:val="360"/>
  <w:drawingGridHorizontalSpacing w:val="110"/>
  <w:drawingGridVerticalSpacing w:val="299"/>
  <w:displayHorizontalDrawingGridEvery w:val="0"/>
  <w:displayVerticalDrawingGridEvery w:val="0"/>
  <w:noPunctuationKerning/>
  <w:characterSpacingControl w:val="doNotCompress"/>
  <w:hdrShapeDefaults>
    <o:shapedefaults v:ext="edit" spidmax="33803">
      <o:colormru v:ext="edit" colors="#e1e1ff,#069,#bad1e8,#afd787,#cde6b4,#d1e8ba,#0000ac"/>
    </o:shapedefaults>
    <o:shapelayout v:ext="edit">
      <o:idmap v:ext="edit" data="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10"/>
    <w:rsid w:val="00000E7E"/>
    <w:rsid w:val="00001277"/>
    <w:rsid w:val="00002D8D"/>
    <w:rsid w:val="00003A2C"/>
    <w:rsid w:val="00003CA6"/>
    <w:rsid w:val="00004640"/>
    <w:rsid w:val="0000485E"/>
    <w:rsid w:val="00006B3A"/>
    <w:rsid w:val="00012536"/>
    <w:rsid w:val="000136F3"/>
    <w:rsid w:val="00015F39"/>
    <w:rsid w:val="00016B19"/>
    <w:rsid w:val="00016E17"/>
    <w:rsid w:val="0002216E"/>
    <w:rsid w:val="000247F7"/>
    <w:rsid w:val="0002694E"/>
    <w:rsid w:val="00026F54"/>
    <w:rsid w:val="000274DF"/>
    <w:rsid w:val="00027741"/>
    <w:rsid w:val="00032E82"/>
    <w:rsid w:val="0003427B"/>
    <w:rsid w:val="00034972"/>
    <w:rsid w:val="00034AC5"/>
    <w:rsid w:val="000352B4"/>
    <w:rsid w:val="000357F9"/>
    <w:rsid w:val="000404F3"/>
    <w:rsid w:val="00040E00"/>
    <w:rsid w:val="000413CD"/>
    <w:rsid w:val="000428D1"/>
    <w:rsid w:val="00046301"/>
    <w:rsid w:val="00046728"/>
    <w:rsid w:val="00046941"/>
    <w:rsid w:val="00047C24"/>
    <w:rsid w:val="00047CB2"/>
    <w:rsid w:val="000525E0"/>
    <w:rsid w:val="00052787"/>
    <w:rsid w:val="00053EEF"/>
    <w:rsid w:val="000543DC"/>
    <w:rsid w:val="00054790"/>
    <w:rsid w:val="00055022"/>
    <w:rsid w:val="0005564B"/>
    <w:rsid w:val="00055825"/>
    <w:rsid w:val="00055907"/>
    <w:rsid w:val="0005750B"/>
    <w:rsid w:val="0006045E"/>
    <w:rsid w:val="0006305A"/>
    <w:rsid w:val="00063C2E"/>
    <w:rsid w:val="00063EAE"/>
    <w:rsid w:val="0006587B"/>
    <w:rsid w:val="0006687B"/>
    <w:rsid w:val="0006787D"/>
    <w:rsid w:val="00067CBB"/>
    <w:rsid w:val="00070322"/>
    <w:rsid w:val="000716CA"/>
    <w:rsid w:val="00072366"/>
    <w:rsid w:val="000753EC"/>
    <w:rsid w:val="00075E78"/>
    <w:rsid w:val="00076573"/>
    <w:rsid w:val="00082D01"/>
    <w:rsid w:val="0008514F"/>
    <w:rsid w:val="00085604"/>
    <w:rsid w:val="00086325"/>
    <w:rsid w:val="00087856"/>
    <w:rsid w:val="00087E2E"/>
    <w:rsid w:val="00090122"/>
    <w:rsid w:val="000902AA"/>
    <w:rsid w:val="000908CA"/>
    <w:rsid w:val="0009220E"/>
    <w:rsid w:val="000957C0"/>
    <w:rsid w:val="00095D2A"/>
    <w:rsid w:val="00095D40"/>
    <w:rsid w:val="000976F7"/>
    <w:rsid w:val="000A00A2"/>
    <w:rsid w:val="000A06C9"/>
    <w:rsid w:val="000A0DF0"/>
    <w:rsid w:val="000A1C6D"/>
    <w:rsid w:val="000A2472"/>
    <w:rsid w:val="000A3413"/>
    <w:rsid w:val="000A52D6"/>
    <w:rsid w:val="000A5E09"/>
    <w:rsid w:val="000A7D69"/>
    <w:rsid w:val="000B04AE"/>
    <w:rsid w:val="000B33D1"/>
    <w:rsid w:val="000B501F"/>
    <w:rsid w:val="000B61A7"/>
    <w:rsid w:val="000B6CB5"/>
    <w:rsid w:val="000B788A"/>
    <w:rsid w:val="000B7C71"/>
    <w:rsid w:val="000C0A39"/>
    <w:rsid w:val="000C1C22"/>
    <w:rsid w:val="000C3040"/>
    <w:rsid w:val="000C54C4"/>
    <w:rsid w:val="000D05C1"/>
    <w:rsid w:val="000D2D08"/>
    <w:rsid w:val="000D335E"/>
    <w:rsid w:val="000D4329"/>
    <w:rsid w:val="000D53F1"/>
    <w:rsid w:val="000D5777"/>
    <w:rsid w:val="000D7B37"/>
    <w:rsid w:val="000E034B"/>
    <w:rsid w:val="000E260B"/>
    <w:rsid w:val="000E2E08"/>
    <w:rsid w:val="000E6B75"/>
    <w:rsid w:val="000F051D"/>
    <w:rsid w:val="000F053B"/>
    <w:rsid w:val="000F15F0"/>
    <w:rsid w:val="000F2FD4"/>
    <w:rsid w:val="000F3010"/>
    <w:rsid w:val="000F53F4"/>
    <w:rsid w:val="000F562A"/>
    <w:rsid w:val="00100172"/>
    <w:rsid w:val="00100528"/>
    <w:rsid w:val="00101442"/>
    <w:rsid w:val="001034D7"/>
    <w:rsid w:val="00104792"/>
    <w:rsid w:val="00104F2A"/>
    <w:rsid w:val="00105F3C"/>
    <w:rsid w:val="001061DF"/>
    <w:rsid w:val="001065C0"/>
    <w:rsid w:val="001070F1"/>
    <w:rsid w:val="00107A04"/>
    <w:rsid w:val="0011170B"/>
    <w:rsid w:val="00112166"/>
    <w:rsid w:val="001128BD"/>
    <w:rsid w:val="00116F3F"/>
    <w:rsid w:val="001178CA"/>
    <w:rsid w:val="00122C05"/>
    <w:rsid w:val="00123056"/>
    <w:rsid w:val="00124BD8"/>
    <w:rsid w:val="00124F7F"/>
    <w:rsid w:val="001259C9"/>
    <w:rsid w:val="001307A5"/>
    <w:rsid w:val="001319C6"/>
    <w:rsid w:val="0013229B"/>
    <w:rsid w:val="00132441"/>
    <w:rsid w:val="00136401"/>
    <w:rsid w:val="00137C12"/>
    <w:rsid w:val="0014353D"/>
    <w:rsid w:val="00143ADA"/>
    <w:rsid w:val="00145589"/>
    <w:rsid w:val="00146B7D"/>
    <w:rsid w:val="00146D3F"/>
    <w:rsid w:val="00147BEC"/>
    <w:rsid w:val="00150783"/>
    <w:rsid w:val="00152153"/>
    <w:rsid w:val="00153E80"/>
    <w:rsid w:val="00155DA2"/>
    <w:rsid w:val="001579D8"/>
    <w:rsid w:val="00157E04"/>
    <w:rsid w:val="00160657"/>
    <w:rsid w:val="00160B87"/>
    <w:rsid w:val="0016142A"/>
    <w:rsid w:val="00162E9A"/>
    <w:rsid w:val="001663E3"/>
    <w:rsid w:val="001677DC"/>
    <w:rsid w:val="00170EE4"/>
    <w:rsid w:val="001719A4"/>
    <w:rsid w:val="00171D93"/>
    <w:rsid w:val="00172119"/>
    <w:rsid w:val="001729C8"/>
    <w:rsid w:val="0017526D"/>
    <w:rsid w:val="00176051"/>
    <w:rsid w:val="00176290"/>
    <w:rsid w:val="00186839"/>
    <w:rsid w:val="00186BCD"/>
    <w:rsid w:val="00187B0F"/>
    <w:rsid w:val="00187C8D"/>
    <w:rsid w:val="00190B81"/>
    <w:rsid w:val="00194782"/>
    <w:rsid w:val="00194A04"/>
    <w:rsid w:val="00195CBB"/>
    <w:rsid w:val="00196E74"/>
    <w:rsid w:val="00197EDD"/>
    <w:rsid w:val="001A04CE"/>
    <w:rsid w:val="001A0E0A"/>
    <w:rsid w:val="001A23B5"/>
    <w:rsid w:val="001A2970"/>
    <w:rsid w:val="001A2E0F"/>
    <w:rsid w:val="001A2EB4"/>
    <w:rsid w:val="001A34DA"/>
    <w:rsid w:val="001A3D33"/>
    <w:rsid w:val="001A403F"/>
    <w:rsid w:val="001A4633"/>
    <w:rsid w:val="001A7665"/>
    <w:rsid w:val="001B136C"/>
    <w:rsid w:val="001B2E6A"/>
    <w:rsid w:val="001B3674"/>
    <w:rsid w:val="001B4180"/>
    <w:rsid w:val="001B4509"/>
    <w:rsid w:val="001B564E"/>
    <w:rsid w:val="001B7B33"/>
    <w:rsid w:val="001C0891"/>
    <w:rsid w:val="001C10AF"/>
    <w:rsid w:val="001C192B"/>
    <w:rsid w:val="001C2FF7"/>
    <w:rsid w:val="001C3CB8"/>
    <w:rsid w:val="001D10E8"/>
    <w:rsid w:val="001D4C84"/>
    <w:rsid w:val="001D4FDD"/>
    <w:rsid w:val="001D642C"/>
    <w:rsid w:val="001D6C62"/>
    <w:rsid w:val="001D7889"/>
    <w:rsid w:val="001E2CF1"/>
    <w:rsid w:val="001E5A54"/>
    <w:rsid w:val="001E5E3C"/>
    <w:rsid w:val="001F2D0D"/>
    <w:rsid w:val="001F41A5"/>
    <w:rsid w:val="00200E58"/>
    <w:rsid w:val="00203A3C"/>
    <w:rsid w:val="00204773"/>
    <w:rsid w:val="002064D3"/>
    <w:rsid w:val="002106BF"/>
    <w:rsid w:val="00213488"/>
    <w:rsid w:val="0021417B"/>
    <w:rsid w:val="00214B73"/>
    <w:rsid w:val="0021596D"/>
    <w:rsid w:val="002176B8"/>
    <w:rsid w:val="00220E6C"/>
    <w:rsid w:val="00221586"/>
    <w:rsid w:val="002216AD"/>
    <w:rsid w:val="00221D99"/>
    <w:rsid w:val="00222435"/>
    <w:rsid w:val="00222736"/>
    <w:rsid w:val="00223A9F"/>
    <w:rsid w:val="002244BF"/>
    <w:rsid w:val="002249F5"/>
    <w:rsid w:val="00226178"/>
    <w:rsid w:val="0022674D"/>
    <w:rsid w:val="002276C9"/>
    <w:rsid w:val="00227977"/>
    <w:rsid w:val="00231A1C"/>
    <w:rsid w:val="00232A18"/>
    <w:rsid w:val="002342FE"/>
    <w:rsid w:val="0023449A"/>
    <w:rsid w:val="0023456E"/>
    <w:rsid w:val="00235F34"/>
    <w:rsid w:val="00235F88"/>
    <w:rsid w:val="002409BE"/>
    <w:rsid w:val="00240E92"/>
    <w:rsid w:val="002436B9"/>
    <w:rsid w:val="002527B3"/>
    <w:rsid w:val="00254104"/>
    <w:rsid w:val="00255975"/>
    <w:rsid w:val="00255EEA"/>
    <w:rsid w:val="002607C5"/>
    <w:rsid w:val="00263B00"/>
    <w:rsid w:val="00263C88"/>
    <w:rsid w:val="00265186"/>
    <w:rsid w:val="002655C3"/>
    <w:rsid w:val="002702F7"/>
    <w:rsid w:val="00270D7B"/>
    <w:rsid w:val="00271B86"/>
    <w:rsid w:val="00272E94"/>
    <w:rsid w:val="0027382B"/>
    <w:rsid w:val="00273EAA"/>
    <w:rsid w:val="002760FD"/>
    <w:rsid w:val="00276702"/>
    <w:rsid w:val="0028328D"/>
    <w:rsid w:val="002838F5"/>
    <w:rsid w:val="00283C93"/>
    <w:rsid w:val="00284942"/>
    <w:rsid w:val="00285BB6"/>
    <w:rsid w:val="00285BFD"/>
    <w:rsid w:val="00285C7A"/>
    <w:rsid w:val="00286E94"/>
    <w:rsid w:val="002870D6"/>
    <w:rsid w:val="00290B28"/>
    <w:rsid w:val="00292A6F"/>
    <w:rsid w:val="0029491C"/>
    <w:rsid w:val="00296DAE"/>
    <w:rsid w:val="002A3B1B"/>
    <w:rsid w:val="002A3FE7"/>
    <w:rsid w:val="002A4078"/>
    <w:rsid w:val="002A4720"/>
    <w:rsid w:val="002A5CE0"/>
    <w:rsid w:val="002B2F3C"/>
    <w:rsid w:val="002B3BB3"/>
    <w:rsid w:val="002B3C58"/>
    <w:rsid w:val="002B44F2"/>
    <w:rsid w:val="002B7109"/>
    <w:rsid w:val="002C12EA"/>
    <w:rsid w:val="002C24EF"/>
    <w:rsid w:val="002C32AB"/>
    <w:rsid w:val="002C41F9"/>
    <w:rsid w:val="002C4495"/>
    <w:rsid w:val="002C45A0"/>
    <w:rsid w:val="002C4A62"/>
    <w:rsid w:val="002C5AC8"/>
    <w:rsid w:val="002C61F0"/>
    <w:rsid w:val="002C6E58"/>
    <w:rsid w:val="002C6F20"/>
    <w:rsid w:val="002C76AB"/>
    <w:rsid w:val="002D3886"/>
    <w:rsid w:val="002D4536"/>
    <w:rsid w:val="002D67A1"/>
    <w:rsid w:val="002E0358"/>
    <w:rsid w:val="002E059A"/>
    <w:rsid w:val="002E1003"/>
    <w:rsid w:val="002E1D29"/>
    <w:rsid w:val="002E6218"/>
    <w:rsid w:val="002E74D5"/>
    <w:rsid w:val="002E7F10"/>
    <w:rsid w:val="002F3EB7"/>
    <w:rsid w:val="002F48C8"/>
    <w:rsid w:val="002F55CE"/>
    <w:rsid w:val="002F6695"/>
    <w:rsid w:val="002F6994"/>
    <w:rsid w:val="002F7221"/>
    <w:rsid w:val="002F7511"/>
    <w:rsid w:val="002F76F5"/>
    <w:rsid w:val="002F7EB4"/>
    <w:rsid w:val="00300658"/>
    <w:rsid w:val="00301FD7"/>
    <w:rsid w:val="003023B8"/>
    <w:rsid w:val="00305344"/>
    <w:rsid w:val="00307FE6"/>
    <w:rsid w:val="00312920"/>
    <w:rsid w:val="00314A8A"/>
    <w:rsid w:val="00320C20"/>
    <w:rsid w:val="00321839"/>
    <w:rsid w:val="003220FD"/>
    <w:rsid w:val="00324485"/>
    <w:rsid w:val="00324EC2"/>
    <w:rsid w:val="00327441"/>
    <w:rsid w:val="003277E1"/>
    <w:rsid w:val="003279F2"/>
    <w:rsid w:val="00336141"/>
    <w:rsid w:val="00337101"/>
    <w:rsid w:val="0034098F"/>
    <w:rsid w:val="00340DFF"/>
    <w:rsid w:val="003420D5"/>
    <w:rsid w:val="00342BA9"/>
    <w:rsid w:val="003453BD"/>
    <w:rsid w:val="003455BC"/>
    <w:rsid w:val="003470C3"/>
    <w:rsid w:val="00351257"/>
    <w:rsid w:val="003514DE"/>
    <w:rsid w:val="00351F69"/>
    <w:rsid w:val="00353E65"/>
    <w:rsid w:val="00354503"/>
    <w:rsid w:val="003564DB"/>
    <w:rsid w:val="0035745C"/>
    <w:rsid w:val="003623F0"/>
    <w:rsid w:val="003637E5"/>
    <w:rsid w:val="00364456"/>
    <w:rsid w:val="00370164"/>
    <w:rsid w:val="003711CD"/>
    <w:rsid w:val="00372DF9"/>
    <w:rsid w:val="00380DB1"/>
    <w:rsid w:val="00381490"/>
    <w:rsid w:val="003814A5"/>
    <w:rsid w:val="003822E1"/>
    <w:rsid w:val="0038235E"/>
    <w:rsid w:val="00383BFC"/>
    <w:rsid w:val="00384611"/>
    <w:rsid w:val="0038482C"/>
    <w:rsid w:val="00384CA0"/>
    <w:rsid w:val="003870BA"/>
    <w:rsid w:val="00387659"/>
    <w:rsid w:val="00391595"/>
    <w:rsid w:val="00391E94"/>
    <w:rsid w:val="00391ECA"/>
    <w:rsid w:val="003926BB"/>
    <w:rsid w:val="00395A89"/>
    <w:rsid w:val="003A1A37"/>
    <w:rsid w:val="003A2A2A"/>
    <w:rsid w:val="003A2FA8"/>
    <w:rsid w:val="003A3403"/>
    <w:rsid w:val="003A578F"/>
    <w:rsid w:val="003A6144"/>
    <w:rsid w:val="003A69F3"/>
    <w:rsid w:val="003B0708"/>
    <w:rsid w:val="003B4770"/>
    <w:rsid w:val="003C180F"/>
    <w:rsid w:val="003C20BF"/>
    <w:rsid w:val="003C33E5"/>
    <w:rsid w:val="003C50B2"/>
    <w:rsid w:val="003C589F"/>
    <w:rsid w:val="003C66F5"/>
    <w:rsid w:val="003C7CC9"/>
    <w:rsid w:val="003D03FE"/>
    <w:rsid w:val="003D0A77"/>
    <w:rsid w:val="003D5616"/>
    <w:rsid w:val="003D7950"/>
    <w:rsid w:val="003E0B09"/>
    <w:rsid w:val="003E1AE2"/>
    <w:rsid w:val="003E4C0C"/>
    <w:rsid w:val="003E666B"/>
    <w:rsid w:val="003F0717"/>
    <w:rsid w:val="003F1A40"/>
    <w:rsid w:val="003F2039"/>
    <w:rsid w:val="003F2864"/>
    <w:rsid w:val="003F3225"/>
    <w:rsid w:val="003F36CF"/>
    <w:rsid w:val="003F3E19"/>
    <w:rsid w:val="003F496D"/>
    <w:rsid w:val="003F6BEB"/>
    <w:rsid w:val="00401685"/>
    <w:rsid w:val="004025EF"/>
    <w:rsid w:val="004039B0"/>
    <w:rsid w:val="00404F23"/>
    <w:rsid w:val="00411515"/>
    <w:rsid w:val="00411533"/>
    <w:rsid w:val="00412099"/>
    <w:rsid w:val="00412607"/>
    <w:rsid w:val="00412857"/>
    <w:rsid w:val="00416013"/>
    <w:rsid w:val="00416416"/>
    <w:rsid w:val="00416D51"/>
    <w:rsid w:val="00421509"/>
    <w:rsid w:val="00423092"/>
    <w:rsid w:val="00424EC7"/>
    <w:rsid w:val="004253E8"/>
    <w:rsid w:val="0042544A"/>
    <w:rsid w:val="00426318"/>
    <w:rsid w:val="00427EA9"/>
    <w:rsid w:val="004303EB"/>
    <w:rsid w:val="00430DF1"/>
    <w:rsid w:val="004319BC"/>
    <w:rsid w:val="004334E9"/>
    <w:rsid w:val="004336B6"/>
    <w:rsid w:val="00433A91"/>
    <w:rsid w:val="004350B0"/>
    <w:rsid w:val="00435207"/>
    <w:rsid w:val="00436CE5"/>
    <w:rsid w:val="0043752E"/>
    <w:rsid w:val="00437BFD"/>
    <w:rsid w:val="0044013C"/>
    <w:rsid w:val="004477E2"/>
    <w:rsid w:val="00460862"/>
    <w:rsid w:val="00460AB2"/>
    <w:rsid w:val="00462233"/>
    <w:rsid w:val="00463EA8"/>
    <w:rsid w:val="004657F0"/>
    <w:rsid w:val="00470AB4"/>
    <w:rsid w:val="0047178D"/>
    <w:rsid w:val="00472E16"/>
    <w:rsid w:val="004734DF"/>
    <w:rsid w:val="0047502E"/>
    <w:rsid w:val="00476911"/>
    <w:rsid w:val="0048016E"/>
    <w:rsid w:val="00480240"/>
    <w:rsid w:val="004812AC"/>
    <w:rsid w:val="00486943"/>
    <w:rsid w:val="00490580"/>
    <w:rsid w:val="00493A18"/>
    <w:rsid w:val="00493A48"/>
    <w:rsid w:val="00495B91"/>
    <w:rsid w:val="00497E18"/>
    <w:rsid w:val="004A226F"/>
    <w:rsid w:val="004A5408"/>
    <w:rsid w:val="004A571C"/>
    <w:rsid w:val="004A7695"/>
    <w:rsid w:val="004B237E"/>
    <w:rsid w:val="004B3401"/>
    <w:rsid w:val="004B496C"/>
    <w:rsid w:val="004B79AA"/>
    <w:rsid w:val="004C18DF"/>
    <w:rsid w:val="004C24AC"/>
    <w:rsid w:val="004C29E5"/>
    <w:rsid w:val="004C2B46"/>
    <w:rsid w:val="004C3D31"/>
    <w:rsid w:val="004C5C2C"/>
    <w:rsid w:val="004C674B"/>
    <w:rsid w:val="004C677A"/>
    <w:rsid w:val="004D1A83"/>
    <w:rsid w:val="004D359E"/>
    <w:rsid w:val="004D4C6D"/>
    <w:rsid w:val="004D5766"/>
    <w:rsid w:val="004D71CC"/>
    <w:rsid w:val="004E01A4"/>
    <w:rsid w:val="004E0C41"/>
    <w:rsid w:val="004E24D5"/>
    <w:rsid w:val="004E308B"/>
    <w:rsid w:val="004E586B"/>
    <w:rsid w:val="004E7E7C"/>
    <w:rsid w:val="004F00C5"/>
    <w:rsid w:val="004F2D6C"/>
    <w:rsid w:val="004F3622"/>
    <w:rsid w:val="004F6742"/>
    <w:rsid w:val="004F709B"/>
    <w:rsid w:val="00501326"/>
    <w:rsid w:val="00503049"/>
    <w:rsid w:val="00503833"/>
    <w:rsid w:val="005045F3"/>
    <w:rsid w:val="005074D6"/>
    <w:rsid w:val="00507C72"/>
    <w:rsid w:val="00510686"/>
    <w:rsid w:val="0051254B"/>
    <w:rsid w:val="00514193"/>
    <w:rsid w:val="00514A6F"/>
    <w:rsid w:val="005159CC"/>
    <w:rsid w:val="00515BBC"/>
    <w:rsid w:val="00516485"/>
    <w:rsid w:val="00516DC8"/>
    <w:rsid w:val="00520B6D"/>
    <w:rsid w:val="00520C67"/>
    <w:rsid w:val="00521088"/>
    <w:rsid w:val="005212B4"/>
    <w:rsid w:val="0052257A"/>
    <w:rsid w:val="00524B1F"/>
    <w:rsid w:val="00526C35"/>
    <w:rsid w:val="00527D7D"/>
    <w:rsid w:val="00527E93"/>
    <w:rsid w:val="0053086A"/>
    <w:rsid w:val="00534B03"/>
    <w:rsid w:val="00534C33"/>
    <w:rsid w:val="005350C7"/>
    <w:rsid w:val="00536DB4"/>
    <w:rsid w:val="0054025D"/>
    <w:rsid w:val="00543938"/>
    <w:rsid w:val="00543BCA"/>
    <w:rsid w:val="00544924"/>
    <w:rsid w:val="005452AD"/>
    <w:rsid w:val="0054673C"/>
    <w:rsid w:val="00550C9F"/>
    <w:rsid w:val="00551203"/>
    <w:rsid w:val="0055123E"/>
    <w:rsid w:val="005528DA"/>
    <w:rsid w:val="005547AE"/>
    <w:rsid w:val="00556072"/>
    <w:rsid w:val="00560D41"/>
    <w:rsid w:val="005613AE"/>
    <w:rsid w:val="0056296F"/>
    <w:rsid w:val="005653F9"/>
    <w:rsid w:val="00565F3E"/>
    <w:rsid w:val="0056704F"/>
    <w:rsid w:val="00567483"/>
    <w:rsid w:val="00567788"/>
    <w:rsid w:val="00567FF3"/>
    <w:rsid w:val="005707D6"/>
    <w:rsid w:val="0057095A"/>
    <w:rsid w:val="00572C5F"/>
    <w:rsid w:val="005744D5"/>
    <w:rsid w:val="00574572"/>
    <w:rsid w:val="005750E6"/>
    <w:rsid w:val="00585CA4"/>
    <w:rsid w:val="00590265"/>
    <w:rsid w:val="00594402"/>
    <w:rsid w:val="005961CD"/>
    <w:rsid w:val="00597948"/>
    <w:rsid w:val="00597B60"/>
    <w:rsid w:val="005A057C"/>
    <w:rsid w:val="005A0BC1"/>
    <w:rsid w:val="005A11FC"/>
    <w:rsid w:val="005A38F4"/>
    <w:rsid w:val="005A4B86"/>
    <w:rsid w:val="005B014C"/>
    <w:rsid w:val="005B11A7"/>
    <w:rsid w:val="005B174C"/>
    <w:rsid w:val="005B1AC5"/>
    <w:rsid w:val="005B258B"/>
    <w:rsid w:val="005B3B95"/>
    <w:rsid w:val="005B3D0D"/>
    <w:rsid w:val="005B58FD"/>
    <w:rsid w:val="005B6A25"/>
    <w:rsid w:val="005C35B6"/>
    <w:rsid w:val="005C4647"/>
    <w:rsid w:val="005C47E7"/>
    <w:rsid w:val="005C4D0B"/>
    <w:rsid w:val="005D2A87"/>
    <w:rsid w:val="005D324F"/>
    <w:rsid w:val="005D4374"/>
    <w:rsid w:val="005D4CD8"/>
    <w:rsid w:val="005D6554"/>
    <w:rsid w:val="005D7D81"/>
    <w:rsid w:val="005E013A"/>
    <w:rsid w:val="005E0CF2"/>
    <w:rsid w:val="005E2AEA"/>
    <w:rsid w:val="005E3B73"/>
    <w:rsid w:val="005E6B70"/>
    <w:rsid w:val="005E7E04"/>
    <w:rsid w:val="005F1992"/>
    <w:rsid w:val="005F6D11"/>
    <w:rsid w:val="00601BA4"/>
    <w:rsid w:val="006023A7"/>
    <w:rsid w:val="00602B21"/>
    <w:rsid w:val="00604214"/>
    <w:rsid w:val="00605298"/>
    <w:rsid w:val="00605932"/>
    <w:rsid w:val="00607927"/>
    <w:rsid w:val="00607DD3"/>
    <w:rsid w:val="00610F09"/>
    <w:rsid w:val="006122D8"/>
    <w:rsid w:val="0061247A"/>
    <w:rsid w:val="00612B72"/>
    <w:rsid w:val="0061317E"/>
    <w:rsid w:val="00615938"/>
    <w:rsid w:val="00615950"/>
    <w:rsid w:val="0061643A"/>
    <w:rsid w:val="00620CF0"/>
    <w:rsid w:val="00623665"/>
    <w:rsid w:val="006237A7"/>
    <w:rsid w:val="00625BD1"/>
    <w:rsid w:val="006270C9"/>
    <w:rsid w:val="0063014E"/>
    <w:rsid w:val="00631A2C"/>
    <w:rsid w:val="00633A75"/>
    <w:rsid w:val="00641277"/>
    <w:rsid w:val="006424AD"/>
    <w:rsid w:val="00645684"/>
    <w:rsid w:val="00645F16"/>
    <w:rsid w:val="00650780"/>
    <w:rsid w:val="0065112D"/>
    <w:rsid w:val="006515C1"/>
    <w:rsid w:val="006517C4"/>
    <w:rsid w:val="0065305F"/>
    <w:rsid w:val="006548DE"/>
    <w:rsid w:val="006559F0"/>
    <w:rsid w:val="00655A4C"/>
    <w:rsid w:val="0066134E"/>
    <w:rsid w:val="00663EFF"/>
    <w:rsid w:val="0066417F"/>
    <w:rsid w:val="00664C90"/>
    <w:rsid w:val="00665281"/>
    <w:rsid w:val="006654A7"/>
    <w:rsid w:val="006739D5"/>
    <w:rsid w:val="006755BF"/>
    <w:rsid w:val="006758AE"/>
    <w:rsid w:val="0067752A"/>
    <w:rsid w:val="00681361"/>
    <w:rsid w:val="006814BB"/>
    <w:rsid w:val="006816BA"/>
    <w:rsid w:val="00681A0C"/>
    <w:rsid w:val="00681D2F"/>
    <w:rsid w:val="006840EB"/>
    <w:rsid w:val="00687C1D"/>
    <w:rsid w:val="00687F93"/>
    <w:rsid w:val="006900A6"/>
    <w:rsid w:val="00692318"/>
    <w:rsid w:val="0069342C"/>
    <w:rsid w:val="00696F05"/>
    <w:rsid w:val="00697C21"/>
    <w:rsid w:val="006A0C2A"/>
    <w:rsid w:val="006A150E"/>
    <w:rsid w:val="006A2A90"/>
    <w:rsid w:val="006A313A"/>
    <w:rsid w:val="006A3799"/>
    <w:rsid w:val="006A4D78"/>
    <w:rsid w:val="006A541C"/>
    <w:rsid w:val="006A5B3B"/>
    <w:rsid w:val="006B0C3D"/>
    <w:rsid w:val="006B1D27"/>
    <w:rsid w:val="006B3612"/>
    <w:rsid w:val="006B49EF"/>
    <w:rsid w:val="006C03B5"/>
    <w:rsid w:val="006C1434"/>
    <w:rsid w:val="006C34C2"/>
    <w:rsid w:val="006C61C5"/>
    <w:rsid w:val="006C7534"/>
    <w:rsid w:val="006C7A4C"/>
    <w:rsid w:val="006D1378"/>
    <w:rsid w:val="006D3A67"/>
    <w:rsid w:val="006D406B"/>
    <w:rsid w:val="006D6EBC"/>
    <w:rsid w:val="006D6F36"/>
    <w:rsid w:val="006D75E9"/>
    <w:rsid w:val="006E0690"/>
    <w:rsid w:val="006E25AD"/>
    <w:rsid w:val="006E2B32"/>
    <w:rsid w:val="006E39BA"/>
    <w:rsid w:val="006F0482"/>
    <w:rsid w:val="006F0A18"/>
    <w:rsid w:val="006F2B34"/>
    <w:rsid w:val="006F32B4"/>
    <w:rsid w:val="006F7B56"/>
    <w:rsid w:val="00700F9F"/>
    <w:rsid w:val="00701006"/>
    <w:rsid w:val="00702D35"/>
    <w:rsid w:val="007057ED"/>
    <w:rsid w:val="0070672F"/>
    <w:rsid w:val="007105A6"/>
    <w:rsid w:val="0071105B"/>
    <w:rsid w:val="00715417"/>
    <w:rsid w:val="00716C9D"/>
    <w:rsid w:val="00717A70"/>
    <w:rsid w:val="00721483"/>
    <w:rsid w:val="00721B1C"/>
    <w:rsid w:val="0072434E"/>
    <w:rsid w:val="0072437B"/>
    <w:rsid w:val="00726DD4"/>
    <w:rsid w:val="00730F56"/>
    <w:rsid w:val="007333A3"/>
    <w:rsid w:val="00734231"/>
    <w:rsid w:val="007349C5"/>
    <w:rsid w:val="00735DDD"/>
    <w:rsid w:val="007406DD"/>
    <w:rsid w:val="00740F9A"/>
    <w:rsid w:val="00744E2C"/>
    <w:rsid w:val="00745D8E"/>
    <w:rsid w:val="0075025C"/>
    <w:rsid w:val="00750594"/>
    <w:rsid w:val="00752119"/>
    <w:rsid w:val="00752365"/>
    <w:rsid w:val="00754408"/>
    <w:rsid w:val="00757E15"/>
    <w:rsid w:val="0076012A"/>
    <w:rsid w:val="00761E3E"/>
    <w:rsid w:val="007631C7"/>
    <w:rsid w:val="00763CCC"/>
    <w:rsid w:val="007644A2"/>
    <w:rsid w:val="007644D6"/>
    <w:rsid w:val="0076536D"/>
    <w:rsid w:val="007672EB"/>
    <w:rsid w:val="00775065"/>
    <w:rsid w:val="00775C5F"/>
    <w:rsid w:val="007765B9"/>
    <w:rsid w:val="007769FE"/>
    <w:rsid w:val="00776C72"/>
    <w:rsid w:val="00777978"/>
    <w:rsid w:val="0078258F"/>
    <w:rsid w:val="00782710"/>
    <w:rsid w:val="00782E74"/>
    <w:rsid w:val="007840C5"/>
    <w:rsid w:val="007846BC"/>
    <w:rsid w:val="0078554B"/>
    <w:rsid w:val="00785FEC"/>
    <w:rsid w:val="007907E1"/>
    <w:rsid w:val="00792A6D"/>
    <w:rsid w:val="00794B6E"/>
    <w:rsid w:val="007957B8"/>
    <w:rsid w:val="007969A4"/>
    <w:rsid w:val="00796DBF"/>
    <w:rsid w:val="007A0114"/>
    <w:rsid w:val="007A0610"/>
    <w:rsid w:val="007A2A5C"/>
    <w:rsid w:val="007A424C"/>
    <w:rsid w:val="007A49F3"/>
    <w:rsid w:val="007A4ED3"/>
    <w:rsid w:val="007B1321"/>
    <w:rsid w:val="007B1904"/>
    <w:rsid w:val="007B1A68"/>
    <w:rsid w:val="007B24B7"/>
    <w:rsid w:val="007B565A"/>
    <w:rsid w:val="007C09D2"/>
    <w:rsid w:val="007C1320"/>
    <w:rsid w:val="007C5217"/>
    <w:rsid w:val="007C6A02"/>
    <w:rsid w:val="007C715A"/>
    <w:rsid w:val="007C7CC8"/>
    <w:rsid w:val="007D6370"/>
    <w:rsid w:val="007D65B9"/>
    <w:rsid w:val="007D668A"/>
    <w:rsid w:val="007E092F"/>
    <w:rsid w:val="007E226A"/>
    <w:rsid w:val="007E5B03"/>
    <w:rsid w:val="007E5EC0"/>
    <w:rsid w:val="007E772D"/>
    <w:rsid w:val="007F41DB"/>
    <w:rsid w:val="007F5152"/>
    <w:rsid w:val="007F5611"/>
    <w:rsid w:val="0080098A"/>
    <w:rsid w:val="00801761"/>
    <w:rsid w:val="008037B2"/>
    <w:rsid w:val="00804AFC"/>
    <w:rsid w:val="00805608"/>
    <w:rsid w:val="0080612E"/>
    <w:rsid w:val="0081002D"/>
    <w:rsid w:val="008111EB"/>
    <w:rsid w:val="008130C9"/>
    <w:rsid w:val="00813D02"/>
    <w:rsid w:val="00814833"/>
    <w:rsid w:val="00816F17"/>
    <w:rsid w:val="0082033D"/>
    <w:rsid w:val="008222AD"/>
    <w:rsid w:val="00824759"/>
    <w:rsid w:val="0082637F"/>
    <w:rsid w:val="0083104D"/>
    <w:rsid w:val="008310CD"/>
    <w:rsid w:val="00831CD1"/>
    <w:rsid w:val="00833F4F"/>
    <w:rsid w:val="008349AE"/>
    <w:rsid w:val="008355D2"/>
    <w:rsid w:val="00835BFD"/>
    <w:rsid w:val="008366F7"/>
    <w:rsid w:val="00837793"/>
    <w:rsid w:val="00841A87"/>
    <w:rsid w:val="00842995"/>
    <w:rsid w:val="00844C79"/>
    <w:rsid w:val="0084511B"/>
    <w:rsid w:val="008452C8"/>
    <w:rsid w:val="00846B23"/>
    <w:rsid w:val="00846D77"/>
    <w:rsid w:val="00850F1C"/>
    <w:rsid w:val="00852480"/>
    <w:rsid w:val="00856632"/>
    <w:rsid w:val="00856AB5"/>
    <w:rsid w:val="0086096A"/>
    <w:rsid w:val="00867308"/>
    <w:rsid w:val="00870723"/>
    <w:rsid w:val="008717E9"/>
    <w:rsid w:val="008746A2"/>
    <w:rsid w:val="00874F91"/>
    <w:rsid w:val="00876C45"/>
    <w:rsid w:val="00882440"/>
    <w:rsid w:val="008865B0"/>
    <w:rsid w:val="008877CC"/>
    <w:rsid w:val="00891692"/>
    <w:rsid w:val="00892FB1"/>
    <w:rsid w:val="008938E0"/>
    <w:rsid w:val="00896579"/>
    <w:rsid w:val="008A0E05"/>
    <w:rsid w:val="008A621F"/>
    <w:rsid w:val="008B0543"/>
    <w:rsid w:val="008B27C8"/>
    <w:rsid w:val="008B2E52"/>
    <w:rsid w:val="008B4532"/>
    <w:rsid w:val="008B5075"/>
    <w:rsid w:val="008B592F"/>
    <w:rsid w:val="008B7DCA"/>
    <w:rsid w:val="008C0888"/>
    <w:rsid w:val="008C1920"/>
    <w:rsid w:val="008C3505"/>
    <w:rsid w:val="008C6195"/>
    <w:rsid w:val="008C6F71"/>
    <w:rsid w:val="008D30EA"/>
    <w:rsid w:val="008D4A6A"/>
    <w:rsid w:val="008D55C8"/>
    <w:rsid w:val="008D6D6F"/>
    <w:rsid w:val="008D7633"/>
    <w:rsid w:val="008E0DEA"/>
    <w:rsid w:val="008E192D"/>
    <w:rsid w:val="008E20DE"/>
    <w:rsid w:val="008E55AD"/>
    <w:rsid w:val="008F13DD"/>
    <w:rsid w:val="008F1770"/>
    <w:rsid w:val="008F27FA"/>
    <w:rsid w:val="008F55DE"/>
    <w:rsid w:val="008F728B"/>
    <w:rsid w:val="008F76BB"/>
    <w:rsid w:val="0090106D"/>
    <w:rsid w:val="009013C5"/>
    <w:rsid w:val="0090438E"/>
    <w:rsid w:val="0090540D"/>
    <w:rsid w:val="009061A4"/>
    <w:rsid w:val="00910216"/>
    <w:rsid w:val="009117BB"/>
    <w:rsid w:val="00912E02"/>
    <w:rsid w:val="00913AD7"/>
    <w:rsid w:val="00914320"/>
    <w:rsid w:val="00915425"/>
    <w:rsid w:val="009219D9"/>
    <w:rsid w:val="00921B6C"/>
    <w:rsid w:val="00923078"/>
    <w:rsid w:val="0092310C"/>
    <w:rsid w:val="00924AC2"/>
    <w:rsid w:val="0092650C"/>
    <w:rsid w:val="00927566"/>
    <w:rsid w:val="00927D3F"/>
    <w:rsid w:val="00932216"/>
    <w:rsid w:val="00932425"/>
    <w:rsid w:val="009329FF"/>
    <w:rsid w:val="00933B96"/>
    <w:rsid w:val="009368B1"/>
    <w:rsid w:val="00936E07"/>
    <w:rsid w:val="00937127"/>
    <w:rsid w:val="009375EB"/>
    <w:rsid w:val="00942024"/>
    <w:rsid w:val="00942056"/>
    <w:rsid w:val="00944550"/>
    <w:rsid w:val="009460F0"/>
    <w:rsid w:val="0094643B"/>
    <w:rsid w:val="00946D67"/>
    <w:rsid w:val="00946EC8"/>
    <w:rsid w:val="00947565"/>
    <w:rsid w:val="0094760A"/>
    <w:rsid w:val="00947D2D"/>
    <w:rsid w:val="00951D9B"/>
    <w:rsid w:val="00952049"/>
    <w:rsid w:val="009520E2"/>
    <w:rsid w:val="009530C1"/>
    <w:rsid w:val="009549E9"/>
    <w:rsid w:val="00954B5D"/>
    <w:rsid w:val="009550AD"/>
    <w:rsid w:val="0095725F"/>
    <w:rsid w:val="00961AAE"/>
    <w:rsid w:val="00961E05"/>
    <w:rsid w:val="00963263"/>
    <w:rsid w:val="00965363"/>
    <w:rsid w:val="00967D7C"/>
    <w:rsid w:val="009724E1"/>
    <w:rsid w:val="009732AC"/>
    <w:rsid w:val="0097336D"/>
    <w:rsid w:val="00973695"/>
    <w:rsid w:val="00975EE7"/>
    <w:rsid w:val="0097720A"/>
    <w:rsid w:val="00977936"/>
    <w:rsid w:val="00977D73"/>
    <w:rsid w:val="00981271"/>
    <w:rsid w:val="00981A86"/>
    <w:rsid w:val="00982B80"/>
    <w:rsid w:val="00984E90"/>
    <w:rsid w:val="00985468"/>
    <w:rsid w:val="00985575"/>
    <w:rsid w:val="00987889"/>
    <w:rsid w:val="00987D39"/>
    <w:rsid w:val="009908C8"/>
    <w:rsid w:val="0099262A"/>
    <w:rsid w:val="00993BD1"/>
    <w:rsid w:val="00994A9F"/>
    <w:rsid w:val="00996799"/>
    <w:rsid w:val="009A05F3"/>
    <w:rsid w:val="009A3B33"/>
    <w:rsid w:val="009A403B"/>
    <w:rsid w:val="009A4ABA"/>
    <w:rsid w:val="009A57F7"/>
    <w:rsid w:val="009A6EE2"/>
    <w:rsid w:val="009B1968"/>
    <w:rsid w:val="009B1F84"/>
    <w:rsid w:val="009B389B"/>
    <w:rsid w:val="009B56DA"/>
    <w:rsid w:val="009B75B5"/>
    <w:rsid w:val="009B7A90"/>
    <w:rsid w:val="009B7BBE"/>
    <w:rsid w:val="009B7E08"/>
    <w:rsid w:val="009C0A96"/>
    <w:rsid w:val="009C25CB"/>
    <w:rsid w:val="009D13BB"/>
    <w:rsid w:val="009D278A"/>
    <w:rsid w:val="009D3778"/>
    <w:rsid w:val="009D50EB"/>
    <w:rsid w:val="009D5C3B"/>
    <w:rsid w:val="009E12D4"/>
    <w:rsid w:val="009E32F5"/>
    <w:rsid w:val="009E5737"/>
    <w:rsid w:val="009E5813"/>
    <w:rsid w:val="009E6279"/>
    <w:rsid w:val="009E7080"/>
    <w:rsid w:val="009F0238"/>
    <w:rsid w:val="009F084D"/>
    <w:rsid w:val="009F1258"/>
    <w:rsid w:val="009F1FBC"/>
    <w:rsid w:val="009F2219"/>
    <w:rsid w:val="009F2649"/>
    <w:rsid w:val="009F37BE"/>
    <w:rsid w:val="009F6873"/>
    <w:rsid w:val="009F704C"/>
    <w:rsid w:val="009F7C58"/>
    <w:rsid w:val="00A008C7"/>
    <w:rsid w:val="00A0215D"/>
    <w:rsid w:val="00A04591"/>
    <w:rsid w:val="00A05243"/>
    <w:rsid w:val="00A06666"/>
    <w:rsid w:val="00A07290"/>
    <w:rsid w:val="00A105E0"/>
    <w:rsid w:val="00A10B7D"/>
    <w:rsid w:val="00A13BAF"/>
    <w:rsid w:val="00A1588E"/>
    <w:rsid w:val="00A1642E"/>
    <w:rsid w:val="00A218EF"/>
    <w:rsid w:val="00A21A8E"/>
    <w:rsid w:val="00A21BB1"/>
    <w:rsid w:val="00A229D0"/>
    <w:rsid w:val="00A22ED0"/>
    <w:rsid w:val="00A23029"/>
    <w:rsid w:val="00A24BFE"/>
    <w:rsid w:val="00A2709C"/>
    <w:rsid w:val="00A3018B"/>
    <w:rsid w:val="00A3106E"/>
    <w:rsid w:val="00A3109C"/>
    <w:rsid w:val="00A311E8"/>
    <w:rsid w:val="00A3128D"/>
    <w:rsid w:val="00A323A2"/>
    <w:rsid w:val="00A324EA"/>
    <w:rsid w:val="00A33A46"/>
    <w:rsid w:val="00A35A07"/>
    <w:rsid w:val="00A36607"/>
    <w:rsid w:val="00A37307"/>
    <w:rsid w:val="00A4271C"/>
    <w:rsid w:val="00A429C1"/>
    <w:rsid w:val="00A435AA"/>
    <w:rsid w:val="00A45B43"/>
    <w:rsid w:val="00A4794A"/>
    <w:rsid w:val="00A52A2A"/>
    <w:rsid w:val="00A533DE"/>
    <w:rsid w:val="00A537BF"/>
    <w:rsid w:val="00A53E2B"/>
    <w:rsid w:val="00A546BE"/>
    <w:rsid w:val="00A55958"/>
    <w:rsid w:val="00A5725A"/>
    <w:rsid w:val="00A574FB"/>
    <w:rsid w:val="00A61F47"/>
    <w:rsid w:val="00A65B0B"/>
    <w:rsid w:val="00A65F37"/>
    <w:rsid w:val="00A70531"/>
    <w:rsid w:val="00A7437A"/>
    <w:rsid w:val="00A75CAC"/>
    <w:rsid w:val="00A76708"/>
    <w:rsid w:val="00A8027E"/>
    <w:rsid w:val="00A817CE"/>
    <w:rsid w:val="00A82B1F"/>
    <w:rsid w:val="00A83836"/>
    <w:rsid w:val="00A83ABF"/>
    <w:rsid w:val="00A86536"/>
    <w:rsid w:val="00A87AF0"/>
    <w:rsid w:val="00A90013"/>
    <w:rsid w:val="00A928FA"/>
    <w:rsid w:val="00A93E84"/>
    <w:rsid w:val="00A979B4"/>
    <w:rsid w:val="00AA003E"/>
    <w:rsid w:val="00AA064D"/>
    <w:rsid w:val="00AA168F"/>
    <w:rsid w:val="00AA1CDE"/>
    <w:rsid w:val="00AA41AB"/>
    <w:rsid w:val="00AA4C10"/>
    <w:rsid w:val="00AA542C"/>
    <w:rsid w:val="00AA5EE2"/>
    <w:rsid w:val="00AA5F3B"/>
    <w:rsid w:val="00AA7B0B"/>
    <w:rsid w:val="00AB24B8"/>
    <w:rsid w:val="00AB32CF"/>
    <w:rsid w:val="00AB42C6"/>
    <w:rsid w:val="00AC0D2F"/>
    <w:rsid w:val="00AC11F7"/>
    <w:rsid w:val="00AC32A9"/>
    <w:rsid w:val="00AC36D6"/>
    <w:rsid w:val="00AC4ACE"/>
    <w:rsid w:val="00AC59EB"/>
    <w:rsid w:val="00AC6CB5"/>
    <w:rsid w:val="00AD2235"/>
    <w:rsid w:val="00AD3FE6"/>
    <w:rsid w:val="00AD614E"/>
    <w:rsid w:val="00AF0E0C"/>
    <w:rsid w:val="00AF35A3"/>
    <w:rsid w:val="00AF49F7"/>
    <w:rsid w:val="00AF4B9B"/>
    <w:rsid w:val="00AF62CA"/>
    <w:rsid w:val="00AF7282"/>
    <w:rsid w:val="00B0119F"/>
    <w:rsid w:val="00B02360"/>
    <w:rsid w:val="00B02599"/>
    <w:rsid w:val="00B029EC"/>
    <w:rsid w:val="00B040F8"/>
    <w:rsid w:val="00B04B47"/>
    <w:rsid w:val="00B04FF1"/>
    <w:rsid w:val="00B10279"/>
    <w:rsid w:val="00B1289D"/>
    <w:rsid w:val="00B14060"/>
    <w:rsid w:val="00B1553C"/>
    <w:rsid w:val="00B156BB"/>
    <w:rsid w:val="00B15B0C"/>
    <w:rsid w:val="00B15CB3"/>
    <w:rsid w:val="00B16B3C"/>
    <w:rsid w:val="00B20EDF"/>
    <w:rsid w:val="00B258AA"/>
    <w:rsid w:val="00B25EE3"/>
    <w:rsid w:val="00B269D4"/>
    <w:rsid w:val="00B3094E"/>
    <w:rsid w:val="00B334DD"/>
    <w:rsid w:val="00B3357C"/>
    <w:rsid w:val="00B3577E"/>
    <w:rsid w:val="00B36112"/>
    <w:rsid w:val="00B3778A"/>
    <w:rsid w:val="00B4058C"/>
    <w:rsid w:val="00B415E2"/>
    <w:rsid w:val="00B42404"/>
    <w:rsid w:val="00B47C8E"/>
    <w:rsid w:val="00B5045B"/>
    <w:rsid w:val="00B50C9D"/>
    <w:rsid w:val="00B52257"/>
    <w:rsid w:val="00B52BFA"/>
    <w:rsid w:val="00B619DA"/>
    <w:rsid w:val="00B61C4A"/>
    <w:rsid w:val="00B61EC9"/>
    <w:rsid w:val="00B666DC"/>
    <w:rsid w:val="00B679AD"/>
    <w:rsid w:val="00B67ED4"/>
    <w:rsid w:val="00B71170"/>
    <w:rsid w:val="00B71F3B"/>
    <w:rsid w:val="00B7412B"/>
    <w:rsid w:val="00B74932"/>
    <w:rsid w:val="00B7744A"/>
    <w:rsid w:val="00B775AA"/>
    <w:rsid w:val="00B80576"/>
    <w:rsid w:val="00B81E30"/>
    <w:rsid w:val="00B827F0"/>
    <w:rsid w:val="00B82D4D"/>
    <w:rsid w:val="00B83E6E"/>
    <w:rsid w:val="00B84481"/>
    <w:rsid w:val="00B85303"/>
    <w:rsid w:val="00B8573A"/>
    <w:rsid w:val="00B863B6"/>
    <w:rsid w:val="00B87C15"/>
    <w:rsid w:val="00B87EE6"/>
    <w:rsid w:val="00B90E30"/>
    <w:rsid w:val="00B9148E"/>
    <w:rsid w:val="00B9260A"/>
    <w:rsid w:val="00B92B0D"/>
    <w:rsid w:val="00B92C24"/>
    <w:rsid w:val="00B96ABD"/>
    <w:rsid w:val="00B9717A"/>
    <w:rsid w:val="00BA3D77"/>
    <w:rsid w:val="00BA7B29"/>
    <w:rsid w:val="00BB18FC"/>
    <w:rsid w:val="00BB2536"/>
    <w:rsid w:val="00BB4260"/>
    <w:rsid w:val="00BB5161"/>
    <w:rsid w:val="00BC1135"/>
    <w:rsid w:val="00BC1F7B"/>
    <w:rsid w:val="00BC3552"/>
    <w:rsid w:val="00BC3A48"/>
    <w:rsid w:val="00BC3F0E"/>
    <w:rsid w:val="00BC408B"/>
    <w:rsid w:val="00BC5320"/>
    <w:rsid w:val="00BC5796"/>
    <w:rsid w:val="00BC6CF9"/>
    <w:rsid w:val="00BC7C8F"/>
    <w:rsid w:val="00BD1918"/>
    <w:rsid w:val="00BD49C5"/>
    <w:rsid w:val="00BD6B76"/>
    <w:rsid w:val="00BD72B6"/>
    <w:rsid w:val="00BE0228"/>
    <w:rsid w:val="00BE5A43"/>
    <w:rsid w:val="00BE64E1"/>
    <w:rsid w:val="00BF0C1D"/>
    <w:rsid w:val="00BF0CC7"/>
    <w:rsid w:val="00BF18DC"/>
    <w:rsid w:val="00BF193F"/>
    <w:rsid w:val="00BF42B2"/>
    <w:rsid w:val="00C0073A"/>
    <w:rsid w:val="00C04B4F"/>
    <w:rsid w:val="00C10B39"/>
    <w:rsid w:val="00C11536"/>
    <w:rsid w:val="00C11B18"/>
    <w:rsid w:val="00C13DE2"/>
    <w:rsid w:val="00C14408"/>
    <w:rsid w:val="00C14776"/>
    <w:rsid w:val="00C17F58"/>
    <w:rsid w:val="00C2140F"/>
    <w:rsid w:val="00C2150A"/>
    <w:rsid w:val="00C21938"/>
    <w:rsid w:val="00C21DAA"/>
    <w:rsid w:val="00C22CD8"/>
    <w:rsid w:val="00C230FB"/>
    <w:rsid w:val="00C2314F"/>
    <w:rsid w:val="00C23899"/>
    <w:rsid w:val="00C2420D"/>
    <w:rsid w:val="00C24F3C"/>
    <w:rsid w:val="00C303F1"/>
    <w:rsid w:val="00C307E7"/>
    <w:rsid w:val="00C31C5B"/>
    <w:rsid w:val="00C335CB"/>
    <w:rsid w:val="00C33C0B"/>
    <w:rsid w:val="00C34878"/>
    <w:rsid w:val="00C34A92"/>
    <w:rsid w:val="00C35829"/>
    <w:rsid w:val="00C36336"/>
    <w:rsid w:val="00C370A7"/>
    <w:rsid w:val="00C376D9"/>
    <w:rsid w:val="00C37CD2"/>
    <w:rsid w:val="00C37E7C"/>
    <w:rsid w:val="00C402F2"/>
    <w:rsid w:val="00C42343"/>
    <w:rsid w:val="00C423CB"/>
    <w:rsid w:val="00C44CD2"/>
    <w:rsid w:val="00C5275A"/>
    <w:rsid w:val="00C54074"/>
    <w:rsid w:val="00C576CE"/>
    <w:rsid w:val="00C57E90"/>
    <w:rsid w:val="00C62F1C"/>
    <w:rsid w:val="00C6380F"/>
    <w:rsid w:val="00C64FB4"/>
    <w:rsid w:val="00C65219"/>
    <w:rsid w:val="00C6551D"/>
    <w:rsid w:val="00C714A7"/>
    <w:rsid w:val="00C7164A"/>
    <w:rsid w:val="00C744A3"/>
    <w:rsid w:val="00C74784"/>
    <w:rsid w:val="00C7508E"/>
    <w:rsid w:val="00C75E7C"/>
    <w:rsid w:val="00C7770B"/>
    <w:rsid w:val="00C8163F"/>
    <w:rsid w:val="00C81DB5"/>
    <w:rsid w:val="00C83172"/>
    <w:rsid w:val="00C8470E"/>
    <w:rsid w:val="00C860E0"/>
    <w:rsid w:val="00C86549"/>
    <w:rsid w:val="00C900FF"/>
    <w:rsid w:val="00C914D1"/>
    <w:rsid w:val="00C93EA6"/>
    <w:rsid w:val="00C96478"/>
    <w:rsid w:val="00C97EC9"/>
    <w:rsid w:val="00CA262A"/>
    <w:rsid w:val="00CA31AE"/>
    <w:rsid w:val="00CA6276"/>
    <w:rsid w:val="00CB0332"/>
    <w:rsid w:val="00CB3FC8"/>
    <w:rsid w:val="00CB442A"/>
    <w:rsid w:val="00CC22E1"/>
    <w:rsid w:val="00CC6246"/>
    <w:rsid w:val="00CC79F4"/>
    <w:rsid w:val="00CD2089"/>
    <w:rsid w:val="00CD222F"/>
    <w:rsid w:val="00CD2573"/>
    <w:rsid w:val="00CD3515"/>
    <w:rsid w:val="00CD394D"/>
    <w:rsid w:val="00CD3D7D"/>
    <w:rsid w:val="00CD4B2E"/>
    <w:rsid w:val="00CD4DE4"/>
    <w:rsid w:val="00CD55E6"/>
    <w:rsid w:val="00CD604F"/>
    <w:rsid w:val="00CD6527"/>
    <w:rsid w:val="00CD6B3F"/>
    <w:rsid w:val="00CD7FE3"/>
    <w:rsid w:val="00CE11C3"/>
    <w:rsid w:val="00CE147B"/>
    <w:rsid w:val="00CE4FF8"/>
    <w:rsid w:val="00CE71BF"/>
    <w:rsid w:val="00CE72F9"/>
    <w:rsid w:val="00CE76DC"/>
    <w:rsid w:val="00CF017D"/>
    <w:rsid w:val="00CF1BF1"/>
    <w:rsid w:val="00CF2002"/>
    <w:rsid w:val="00CF2555"/>
    <w:rsid w:val="00CF2641"/>
    <w:rsid w:val="00CF2B27"/>
    <w:rsid w:val="00CF3E63"/>
    <w:rsid w:val="00CF561E"/>
    <w:rsid w:val="00CF6BAE"/>
    <w:rsid w:val="00D001CD"/>
    <w:rsid w:val="00D011BA"/>
    <w:rsid w:val="00D05123"/>
    <w:rsid w:val="00D058D9"/>
    <w:rsid w:val="00D06C96"/>
    <w:rsid w:val="00D10073"/>
    <w:rsid w:val="00D1059A"/>
    <w:rsid w:val="00D1079D"/>
    <w:rsid w:val="00D13E8B"/>
    <w:rsid w:val="00D143BA"/>
    <w:rsid w:val="00D153B6"/>
    <w:rsid w:val="00D1769D"/>
    <w:rsid w:val="00D20DD2"/>
    <w:rsid w:val="00D221E7"/>
    <w:rsid w:val="00D22C43"/>
    <w:rsid w:val="00D23294"/>
    <w:rsid w:val="00D247DB"/>
    <w:rsid w:val="00D258D4"/>
    <w:rsid w:val="00D2679F"/>
    <w:rsid w:val="00D32E9D"/>
    <w:rsid w:val="00D341B8"/>
    <w:rsid w:val="00D34802"/>
    <w:rsid w:val="00D34EEE"/>
    <w:rsid w:val="00D3510B"/>
    <w:rsid w:val="00D37259"/>
    <w:rsid w:val="00D37BAF"/>
    <w:rsid w:val="00D41A9B"/>
    <w:rsid w:val="00D43B7E"/>
    <w:rsid w:val="00D51051"/>
    <w:rsid w:val="00D51B1E"/>
    <w:rsid w:val="00D520D2"/>
    <w:rsid w:val="00D553DF"/>
    <w:rsid w:val="00D57BF2"/>
    <w:rsid w:val="00D6018D"/>
    <w:rsid w:val="00D71AFF"/>
    <w:rsid w:val="00D7500B"/>
    <w:rsid w:val="00D762D2"/>
    <w:rsid w:val="00D8152D"/>
    <w:rsid w:val="00D819FE"/>
    <w:rsid w:val="00D84E18"/>
    <w:rsid w:val="00D85E71"/>
    <w:rsid w:val="00D90852"/>
    <w:rsid w:val="00D92F24"/>
    <w:rsid w:val="00D93A44"/>
    <w:rsid w:val="00D940A7"/>
    <w:rsid w:val="00D94184"/>
    <w:rsid w:val="00D94376"/>
    <w:rsid w:val="00D9597E"/>
    <w:rsid w:val="00D9643B"/>
    <w:rsid w:val="00D96598"/>
    <w:rsid w:val="00D97471"/>
    <w:rsid w:val="00D977C7"/>
    <w:rsid w:val="00D97943"/>
    <w:rsid w:val="00D979EA"/>
    <w:rsid w:val="00DA02B9"/>
    <w:rsid w:val="00DA42EA"/>
    <w:rsid w:val="00DA7FEA"/>
    <w:rsid w:val="00DB0D08"/>
    <w:rsid w:val="00DB1DDD"/>
    <w:rsid w:val="00DB23A6"/>
    <w:rsid w:val="00DB269B"/>
    <w:rsid w:val="00DB394C"/>
    <w:rsid w:val="00DB3BA2"/>
    <w:rsid w:val="00DB61EA"/>
    <w:rsid w:val="00DB6920"/>
    <w:rsid w:val="00DC02B5"/>
    <w:rsid w:val="00DC17F5"/>
    <w:rsid w:val="00DC20A4"/>
    <w:rsid w:val="00DC233F"/>
    <w:rsid w:val="00DC47BA"/>
    <w:rsid w:val="00DC54F6"/>
    <w:rsid w:val="00DC5FD7"/>
    <w:rsid w:val="00DD019E"/>
    <w:rsid w:val="00DD27D1"/>
    <w:rsid w:val="00DE0085"/>
    <w:rsid w:val="00DE04C8"/>
    <w:rsid w:val="00DE08CE"/>
    <w:rsid w:val="00DE221A"/>
    <w:rsid w:val="00DE2334"/>
    <w:rsid w:val="00DE4A08"/>
    <w:rsid w:val="00DE5064"/>
    <w:rsid w:val="00DE5216"/>
    <w:rsid w:val="00DE5C1E"/>
    <w:rsid w:val="00DF02A7"/>
    <w:rsid w:val="00DF0D74"/>
    <w:rsid w:val="00DF4C13"/>
    <w:rsid w:val="00DF4F89"/>
    <w:rsid w:val="00DF68F0"/>
    <w:rsid w:val="00DF6CDE"/>
    <w:rsid w:val="00DF74F0"/>
    <w:rsid w:val="00E0113D"/>
    <w:rsid w:val="00E0393E"/>
    <w:rsid w:val="00E039CB"/>
    <w:rsid w:val="00E0454B"/>
    <w:rsid w:val="00E04C36"/>
    <w:rsid w:val="00E067FC"/>
    <w:rsid w:val="00E06C1F"/>
    <w:rsid w:val="00E104A3"/>
    <w:rsid w:val="00E11A22"/>
    <w:rsid w:val="00E1423B"/>
    <w:rsid w:val="00E15226"/>
    <w:rsid w:val="00E15CEC"/>
    <w:rsid w:val="00E16B03"/>
    <w:rsid w:val="00E1700D"/>
    <w:rsid w:val="00E173EC"/>
    <w:rsid w:val="00E17D08"/>
    <w:rsid w:val="00E2283A"/>
    <w:rsid w:val="00E2377D"/>
    <w:rsid w:val="00E24C02"/>
    <w:rsid w:val="00E25D0C"/>
    <w:rsid w:val="00E30A76"/>
    <w:rsid w:val="00E316A1"/>
    <w:rsid w:val="00E317E1"/>
    <w:rsid w:val="00E33B05"/>
    <w:rsid w:val="00E35444"/>
    <w:rsid w:val="00E3608D"/>
    <w:rsid w:val="00E3619D"/>
    <w:rsid w:val="00E370AF"/>
    <w:rsid w:val="00E42B42"/>
    <w:rsid w:val="00E46CD8"/>
    <w:rsid w:val="00E5137A"/>
    <w:rsid w:val="00E51797"/>
    <w:rsid w:val="00E51873"/>
    <w:rsid w:val="00E5313F"/>
    <w:rsid w:val="00E559CE"/>
    <w:rsid w:val="00E55BF9"/>
    <w:rsid w:val="00E56675"/>
    <w:rsid w:val="00E570B7"/>
    <w:rsid w:val="00E60AF3"/>
    <w:rsid w:val="00E617EF"/>
    <w:rsid w:val="00E6186E"/>
    <w:rsid w:val="00E63CEA"/>
    <w:rsid w:val="00E651A8"/>
    <w:rsid w:val="00E658CE"/>
    <w:rsid w:val="00E6718A"/>
    <w:rsid w:val="00E710BD"/>
    <w:rsid w:val="00E71833"/>
    <w:rsid w:val="00E7242E"/>
    <w:rsid w:val="00E72F03"/>
    <w:rsid w:val="00E7429A"/>
    <w:rsid w:val="00E75D89"/>
    <w:rsid w:val="00E7673E"/>
    <w:rsid w:val="00E77C1D"/>
    <w:rsid w:val="00E80324"/>
    <w:rsid w:val="00E81A00"/>
    <w:rsid w:val="00E8205A"/>
    <w:rsid w:val="00E834B0"/>
    <w:rsid w:val="00E8388D"/>
    <w:rsid w:val="00E84434"/>
    <w:rsid w:val="00E869A2"/>
    <w:rsid w:val="00E942F2"/>
    <w:rsid w:val="00E94ACE"/>
    <w:rsid w:val="00E96293"/>
    <w:rsid w:val="00EA0512"/>
    <w:rsid w:val="00EA3B8B"/>
    <w:rsid w:val="00EA3E63"/>
    <w:rsid w:val="00EB012F"/>
    <w:rsid w:val="00EB0DBD"/>
    <w:rsid w:val="00EB30F5"/>
    <w:rsid w:val="00EB3AD3"/>
    <w:rsid w:val="00EB4C8A"/>
    <w:rsid w:val="00EB4D46"/>
    <w:rsid w:val="00EB5194"/>
    <w:rsid w:val="00EB51E4"/>
    <w:rsid w:val="00EB5C8B"/>
    <w:rsid w:val="00EC037B"/>
    <w:rsid w:val="00EC0FCB"/>
    <w:rsid w:val="00EC12B1"/>
    <w:rsid w:val="00EC32F9"/>
    <w:rsid w:val="00EC35C5"/>
    <w:rsid w:val="00EC4173"/>
    <w:rsid w:val="00EC47CA"/>
    <w:rsid w:val="00EC6C32"/>
    <w:rsid w:val="00ED05E6"/>
    <w:rsid w:val="00ED18BA"/>
    <w:rsid w:val="00ED1C1B"/>
    <w:rsid w:val="00ED263C"/>
    <w:rsid w:val="00ED2A92"/>
    <w:rsid w:val="00ED2B78"/>
    <w:rsid w:val="00ED503D"/>
    <w:rsid w:val="00ED767C"/>
    <w:rsid w:val="00EE00BC"/>
    <w:rsid w:val="00EE03FC"/>
    <w:rsid w:val="00EE11FD"/>
    <w:rsid w:val="00EE1D07"/>
    <w:rsid w:val="00EE2A63"/>
    <w:rsid w:val="00EE5155"/>
    <w:rsid w:val="00EE63C6"/>
    <w:rsid w:val="00EE6ABE"/>
    <w:rsid w:val="00F00FA4"/>
    <w:rsid w:val="00F01FDA"/>
    <w:rsid w:val="00F04B47"/>
    <w:rsid w:val="00F13235"/>
    <w:rsid w:val="00F13342"/>
    <w:rsid w:val="00F1494E"/>
    <w:rsid w:val="00F1703E"/>
    <w:rsid w:val="00F2036B"/>
    <w:rsid w:val="00F23798"/>
    <w:rsid w:val="00F23A05"/>
    <w:rsid w:val="00F260AC"/>
    <w:rsid w:val="00F26DFB"/>
    <w:rsid w:val="00F27043"/>
    <w:rsid w:val="00F301BE"/>
    <w:rsid w:val="00F32E6E"/>
    <w:rsid w:val="00F33F61"/>
    <w:rsid w:val="00F366BC"/>
    <w:rsid w:val="00F36CFB"/>
    <w:rsid w:val="00F36D50"/>
    <w:rsid w:val="00F400BF"/>
    <w:rsid w:val="00F4134A"/>
    <w:rsid w:val="00F4263A"/>
    <w:rsid w:val="00F432EB"/>
    <w:rsid w:val="00F43D32"/>
    <w:rsid w:val="00F440FE"/>
    <w:rsid w:val="00F47E96"/>
    <w:rsid w:val="00F50A3A"/>
    <w:rsid w:val="00F53EB6"/>
    <w:rsid w:val="00F54156"/>
    <w:rsid w:val="00F54236"/>
    <w:rsid w:val="00F57505"/>
    <w:rsid w:val="00F608BD"/>
    <w:rsid w:val="00F61339"/>
    <w:rsid w:val="00F61859"/>
    <w:rsid w:val="00F62A1E"/>
    <w:rsid w:val="00F64DB9"/>
    <w:rsid w:val="00F65513"/>
    <w:rsid w:val="00F71604"/>
    <w:rsid w:val="00F755AC"/>
    <w:rsid w:val="00F81BA2"/>
    <w:rsid w:val="00F85399"/>
    <w:rsid w:val="00F8633B"/>
    <w:rsid w:val="00F91051"/>
    <w:rsid w:val="00F9114D"/>
    <w:rsid w:val="00F92226"/>
    <w:rsid w:val="00F93183"/>
    <w:rsid w:val="00F93541"/>
    <w:rsid w:val="00F9527B"/>
    <w:rsid w:val="00F95389"/>
    <w:rsid w:val="00FA035F"/>
    <w:rsid w:val="00FA1704"/>
    <w:rsid w:val="00FA572C"/>
    <w:rsid w:val="00FA686C"/>
    <w:rsid w:val="00FA6932"/>
    <w:rsid w:val="00FB1127"/>
    <w:rsid w:val="00FB2080"/>
    <w:rsid w:val="00FB277E"/>
    <w:rsid w:val="00FB3972"/>
    <w:rsid w:val="00FB41B4"/>
    <w:rsid w:val="00FB70DE"/>
    <w:rsid w:val="00FC2BD1"/>
    <w:rsid w:val="00FC2D69"/>
    <w:rsid w:val="00FD17C2"/>
    <w:rsid w:val="00FD271D"/>
    <w:rsid w:val="00FD32CF"/>
    <w:rsid w:val="00FD332E"/>
    <w:rsid w:val="00FD5A2B"/>
    <w:rsid w:val="00FD634F"/>
    <w:rsid w:val="00FE0A7C"/>
    <w:rsid w:val="00FE2611"/>
    <w:rsid w:val="00FE6D7E"/>
    <w:rsid w:val="00FF2067"/>
    <w:rsid w:val="00FF3FFA"/>
    <w:rsid w:val="00FF4EC5"/>
    <w:rsid w:val="00FF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803">
      <o:colormru v:ext="edit" colors="#e1e1ff,#069,#bad1e8,#afd787,#cde6b4,#d1e8ba,#0000ac"/>
    </o:shapedefaults>
    <o:shapelayout v:ext="edit">
      <o:idmap v:ext="edit" data="1"/>
    </o:shapelayout>
  </w:shapeDefaults>
  <w:decimalSymbol w:val="."/>
  <w:listSeparator w:val=","/>
  <w14:docId w14:val="2BF7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7C7"/>
    <w:pPr>
      <w:spacing w:after="180"/>
    </w:pPr>
    <w:rPr>
      <w:sz w:val="22"/>
    </w:rPr>
  </w:style>
  <w:style w:type="paragraph" w:styleId="Heading1">
    <w:name w:val="heading 1"/>
    <w:basedOn w:val="Normal"/>
    <w:next w:val="BodyText"/>
    <w:link w:val="Heading1Char"/>
    <w:uiPriority w:val="9"/>
    <w:qFormat/>
    <w:rsid w:val="00B156BB"/>
    <w:pPr>
      <w:pageBreakBefore/>
      <w:numPr>
        <w:numId w:val="3"/>
      </w:numPr>
      <w:pBdr>
        <w:bottom w:val="single" w:sz="4" w:space="1" w:color="auto"/>
      </w:pBdr>
      <w:outlineLvl w:val="0"/>
    </w:pPr>
    <w:rPr>
      <w:rFonts w:ascii="Arial" w:eastAsiaTheme="minorHAnsi" w:hAnsi="Arial" w:cs="Arial"/>
      <w:b/>
      <w:noProof/>
      <w:color w:val="DA291C" w:themeColor="text2"/>
      <w:spacing w:val="20"/>
      <w:sz w:val="28"/>
      <w:szCs w:val="22"/>
    </w:rPr>
  </w:style>
  <w:style w:type="paragraph" w:styleId="Heading2">
    <w:name w:val="heading 2"/>
    <w:basedOn w:val="Normal"/>
    <w:next w:val="BodyText"/>
    <w:link w:val="Heading2Char"/>
    <w:uiPriority w:val="9"/>
    <w:qFormat/>
    <w:rsid w:val="00C96478"/>
    <w:pPr>
      <w:keepNext/>
      <w:keepLines/>
      <w:numPr>
        <w:ilvl w:val="1"/>
        <w:numId w:val="3"/>
      </w:numPr>
      <w:tabs>
        <w:tab w:val="left" w:pos="720"/>
      </w:tabs>
      <w:spacing w:before="60" w:after="80"/>
      <w:ind w:left="720" w:right="1320" w:hanging="720"/>
      <w:outlineLvl w:val="1"/>
    </w:pPr>
    <w:rPr>
      <w:rFonts w:ascii="Arial" w:hAnsi="Arial" w:cs="Arial"/>
      <w:b/>
      <w:bCs/>
      <w:i/>
      <w:iCs/>
      <w:color w:val="7F7F7F" w:themeColor="text1" w:themeTint="80"/>
      <w:sz w:val="24"/>
      <w:szCs w:val="28"/>
    </w:rPr>
  </w:style>
  <w:style w:type="paragraph" w:styleId="Heading3">
    <w:name w:val="heading 3"/>
    <w:basedOn w:val="Normal"/>
    <w:next w:val="BodyText"/>
    <w:qFormat/>
    <w:rsid w:val="00C44CD2"/>
    <w:pPr>
      <w:keepNext/>
      <w:numPr>
        <w:ilvl w:val="2"/>
        <w:numId w:val="3"/>
      </w:numPr>
      <w:spacing w:after="40"/>
      <w:outlineLvl w:val="2"/>
    </w:pPr>
    <w:rPr>
      <w:rFonts w:ascii="Arial Narrow" w:eastAsiaTheme="minorHAnsi" w:hAnsi="Arial Narrow"/>
      <w:b/>
      <w:szCs w:val="22"/>
    </w:rPr>
  </w:style>
  <w:style w:type="paragraph" w:styleId="Heading4">
    <w:name w:val="heading 4"/>
    <w:basedOn w:val="Heading5"/>
    <w:next w:val="BodyText"/>
    <w:link w:val="Heading4Char"/>
    <w:qFormat/>
    <w:rsid w:val="00A10B7D"/>
    <w:pPr>
      <w:outlineLvl w:val="3"/>
    </w:pPr>
    <w:rPr>
      <w:color w:val="DA291C" w:themeColor="text2"/>
    </w:rPr>
  </w:style>
  <w:style w:type="paragraph" w:styleId="Heading5">
    <w:name w:val="heading 5"/>
    <w:basedOn w:val="BodyText"/>
    <w:next w:val="BodyText"/>
    <w:qFormat/>
    <w:rsid w:val="00A10B7D"/>
    <w:pPr>
      <w:keepNext/>
      <w:keepLines/>
      <w:outlineLvl w:val="4"/>
    </w:pPr>
    <w:rPr>
      <w:b/>
      <w:i/>
      <w:lang w:val="en-US"/>
    </w:rPr>
  </w:style>
  <w:style w:type="paragraph" w:styleId="Heading6">
    <w:name w:val="heading 6"/>
    <w:aliases w:val="Heading 6 (business proposal only)"/>
    <w:basedOn w:val="Normal"/>
    <w:next w:val="Normal"/>
    <w:qFormat/>
    <w:rsid w:val="00495B91"/>
    <w:pPr>
      <w:numPr>
        <w:ilvl w:val="5"/>
        <w:numId w:val="3"/>
      </w:numPr>
      <w:spacing w:before="60" w:after="60"/>
      <w:outlineLvl w:val="5"/>
    </w:pPr>
    <w:rPr>
      <w:b/>
      <w:bCs/>
      <w:szCs w:val="22"/>
    </w:rPr>
  </w:style>
  <w:style w:type="paragraph" w:styleId="Heading7">
    <w:name w:val="heading 7"/>
    <w:aliases w:val="Heading 7 (business proposal only)"/>
    <w:basedOn w:val="Normal"/>
    <w:next w:val="Normal"/>
    <w:qFormat/>
    <w:rsid w:val="003A3403"/>
    <w:pPr>
      <w:numPr>
        <w:ilvl w:val="6"/>
        <w:numId w:val="3"/>
      </w:numPr>
      <w:spacing w:before="240" w:after="60"/>
      <w:outlineLvl w:val="6"/>
    </w:pPr>
    <w:rPr>
      <w:sz w:val="24"/>
      <w:szCs w:val="24"/>
    </w:rPr>
  </w:style>
  <w:style w:type="paragraph" w:styleId="Heading8">
    <w:name w:val="heading 8"/>
    <w:aliases w:val="Heading 8 ACKs,Heading 8 (business proposal only)"/>
    <w:basedOn w:val="Normal"/>
    <w:next w:val="Normal"/>
    <w:qFormat/>
    <w:rsid w:val="003A3403"/>
    <w:pPr>
      <w:numPr>
        <w:ilvl w:val="7"/>
        <w:numId w:val="3"/>
      </w:numPr>
      <w:spacing w:before="240" w:after="60"/>
      <w:outlineLvl w:val="7"/>
    </w:pPr>
    <w:rPr>
      <w:i/>
      <w:iCs/>
      <w:sz w:val="24"/>
      <w:szCs w:val="24"/>
    </w:rPr>
  </w:style>
  <w:style w:type="paragraph" w:styleId="Heading9">
    <w:name w:val="heading 9"/>
    <w:aliases w:val="Heading 9 (business proposal only)"/>
    <w:basedOn w:val="Normal"/>
    <w:next w:val="Normal"/>
    <w:qFormat/>
    <w:rsid w:val="003A340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A4C10"/>
    <w:rPr>
      <w:lang w:val="en"/>
    </w:rPr>
  </w:style>
  <w:style w:type="character" w:customStyle="1" w:styleId="BodyTextChar">
    <w:name w:val="Body Text Char"/>
    <w:basedOn w:val="DefaultParagraphFont"/>
    <w:link w:val="BodyText"/>
    <w:rsid w:val="00AA4C10"/>
    <w:rPr>
      <w:sz w:val="22"/>
      <w:lang w:val="en"/>
    </w:rPr>
  </w:style>
  <w:style w:type="character" w:customStyle="1" w:styleId="Heading1Char">
    <w:name w:val="Heading 1 Char"/>
    <w:basedOn w:val="DefaultParagraphFont"/>
    <w:link w:val="Heading1"/>
    <w:uiPriority w:val="9"/>
    <w:rsid w:val="00B156BB"/>
    <w:rPr>
      <w:rFonts w:ascii="Arial" w:eastAsiaTheme="minorHAnsi" w:hAnsi="Arial" w:cs="Arial"/>
      <w:b/>
      <w:noProof/>
      <w:color w:val="DA291C" w:themeColor="text2"/>
      <w:spacing w:val="20"/>
      <w:sz w:val="28"/>
      <w:szCs w:val="22"/>
    </w:rPr>
  </w:style>
  <w:style w:type="character" w:customStyle="1" w:styleId="Heading2Char">
    <w:name w:val="Heading 2 Char"/>
    <w:basedOn w:val="DefaultParagraphFont"/>
    <w:link w:val="Heading2"/>
    <w:uiPriority w:val="9"/>
    <w:rsid w:val="00C96478"/>
    <w:rPr>
      <w:rFonts w:ascii="Arial" w:hAnsi="Arial" w:cs="Arial"/>
      <w:b/>
      <w:bCs/>
      <w:i/>
      <w:iCs/>
      <w:color w:val="7F7F7F" w:themeColor="text1" w:themeTint="80"/>
      <w:sz w:val="24"/>
      <w:szCs w:val="28"/>
    </w:rPr>
  </w:style>
  <w:style w:type="character" w:customStyle="1" w:styleId="Heading4Char">
    <w:name w:val="Heading 4 Char"/>
    <w:basedOn w:val="DefaultParagraphFont"/>
    <w:link w:val="Heading4"/>
    <w:rsid w:val="00A10B7D"/>
    <w:rPr>
      <w:b/>
      <w:i/>
      <w:color w:val="DA291C" w:themeColor="text2"/>
      <w:sz w:val="22"/>
    </w:rPr>
  </w:style>
  <w:style w:type="paragraph" w:styleId="Footer">
    <w:name w:val="footer"/>
    <w:basedOn w:val="Normal"/>
    <w:link w:val="FooterChar"/>
    <w:uiPriority w:val="99"/>
    <w:rsid w:val="00BE5A43"/>
    <w:pPr>
      <w:tabs>
        <w:tab w:val="center" w:pos="4680"/>
        <w:tab w:val="right" w:pos="9360"/>
      </w:tabs>
      <w:spacing w:after="0"/>
    </w:pPr>
    <w:rPr>
      <w:rFonts w:ascii="Arial" w:hAnsi="Arial" w:cs="Arial"/>
      <w:b/>
      <w:color w:val="DA291C"/>
      <w:sz w:val="18"/>
    </w:rPr>
  </w:style>
  <w:style w:type="character" w:customStyle="1" w:styleId="FooterChar">
    <w:name w:val="Footer Char"/>
    <w:basedOn w:val="DefaultParagraphFont"/>
    <w:link w:val="Footer"/>
    <w:uiPriority w:val="99"/>
    <w:rsid w:val="00BE5A43"/>
    <w:rPr>
      <w:rFonts w:ascii="Arial" w:hAnsi="Arial" w:cs="Arial"/>
      <w:b/>
      <w:color w:val="DA291C"/>
      <w:sz w:val="18"/>
    </w:rPr>
  </w:style>
  <w:style w:type="paragraph" w:customStyle="1" w:styleId="TableRowHeader">
    <w:name w:val="Table Row Header"/>
    <w:rsid w:val="009732AC"/>
    <w:pPr>
      <w:spacing w:before="20" w:after="20"/>
    </w:pPr>
    <w:rPr>
      <w:rFonts w:ascii="Arial Narrow" w:hAnsi="Arial Narrow"/>
      <w:b/>
      <w:color w:val="FFFFFF" w:themeColor="background1"/>
    </w:rPr>
  </w:style>
  <w:style w:type="character" w:styleId="PageNumber">
    <w:name w:val="page number"/>
    <w:basedOn w:val="DefaultParagraphFont"/>
    <w:rsid w:val="00235F34"/>
    <w:rPr>
      <w:rFonts w:ascii="Arial" w:hAnsi="Arial"/>
      <w:color w:val="48A9C5" w:themeColor="accent1"/>
      <w:sz w:val="18"/>
    </w:rPr>
  </w:style>
  <w:style w:type="paragraph" w:customStyle="1" w:styleId="Bullets">
    <w:name w:val="Bullets"/>
    <w:basedOn w:val="BodyText"/>
    <w:rsid w:val="006A2A90"/>
    <w:pPr>
      <w:numPr>
        <w:numId w:val="14"/>
      </w:numPr>
      <w:ind w:left="360"/>
    </w:pPr>
    <w:rPr>
      <w:szCs w:val="22"/>
    </w:rPr>
  </w:style>
  <w:style w:type="paragraph" w:customStyle="1" w:styleId="RefNumbers">
    <w:name w:val="Ref Numbers"/>
    <w:basedOn w:val="BodyText"/>
    <w:pPr>
      <w:numPr>
        <w:numId w:val="2"/>
      </w:numPr>
    </w:pPr>
  </w:style>
  <w:style w:type="paragraph" w:styleId="Header">
    <w:name w:val="header"/>
    <w:basedOn w:val="Normal"/>
    <w:next w:val="HeaderLine2"/>
    <w:link w:val="HeaderChar"/>
    <w:uiPriority w:val="99"/>
    <w:rsid w:val="00B156BB"/>
    <w:pPr>
      <w:tabs>
        <w:tab w:val="center" w:pos="4680"/>
        <w:tab w:val="right" w:pos="9360"/>
      </w:tabs>
      <w:spacing w:after="0"/>
      <w:jc w:val="right"/>
    </w:pPr>
    <w:rPr>
      <w:rFonts w:ascii="Arial Narrow" w:hAnsi="Arial Narrow"/>
      <w:b/>
      <w:color w:val="DA291C" w:themeColor="text2"/>
      <w:spacing w:val="60"/>
      <w:sz w:val="18"/>
    </w:rPr>
  </w:style>
  <w:style w:type="paragraph" w:customStyle="1" w:styleId="HeaderLine2">
    <w:name w:val="Header Line 2"/>
    <w:basedOn w:val="Header"/>
    <w:qFormat/>
    <w:rsid w:val="00372DF9"/>
    <w:rPr>
      <w:rFonts w:ascii="Times New Roman" w:hAnsi="Times New Roman"/>
      <w:b w:val="0"/>
      <w:i/>
      <w:color w:val="808080" w:themeColor="background1" w:themeShade="80"/>
      <w:spacing w:val="0"/>
    </w:rPr>
  </w:style>
  <w:style w:type="character" w:customStyle="1" w:styleId="HeaderChar">
    <w:name w:val="Header Char"/>
    <w:basedOn w:val="DefaultParagraphFont"/>
    <w:link w:val="Header"/>
    <w:uiPriority w:val="99"/>
    <w:rsid w:val="00B156BB"/>
    <w:rPr>
      <w:rFonts w:ascii="Arial Narrow" w:hAnsi="Arial Narrow"/>
      <w:b/>
      <w:color w:val="DA291C" w:themeColor="text2"/>
      <w:spacing w:val="60"/>
      <w:sz w:val="18"/>
    </w:rPr>
  </w:style>
  <w:style w:type="paragraph" w:styleId="TOC1">
    <w:name w:val="toc 1"/>
    <w:basedOn w:val="Normal"/>
    <w:next w:val="BodyText"/>
    <w:uiPriority w:val="39"/>
    <w:rsid w:val="005A11FC"/>
    <w:pPr>
      <w:keepNext/>
      <w:tabs>
        <w:tab w:val="left" w:pos="720"/>
        <w:tab w:val="right" w:leader="dot" w:pos="9360"/>
      </w:tabs>
      <w:spacing w:before="120" w:after="0"/>
      <w:ind w:right="540"/>
    </w:pPr>
    <w:rPr>
      <w:rFonts w:ascii="Arial" w:eastAsia="Calibri" w:hAnsi="Arial" w:cs="Arial"/>
      <w:b/>
      <w:noProof/>
      <w:szCs w:val="24"/>
      <w:u w:color="7F7F7F" w:themeColor="text1" w:themeTint="80"/>
    </w:rPr>
  </w:style>
  <w:style w:type="character" w:styleId="CommentReference">
    <w:name w:val="annotation reference"/>
    <w:basedOn w:val="DefaultParagraphFont"/>
    <w:uiPriority w:val="99"/>
    <w:rPr>
      <w:sz w:val="16"/>
    </w:rPr>
  </w:style>
  <w:style w:type="paragraph" w:styleId="TOC2">
    <w:name w:val="toc 2"/>
    <w:next w:val="BodyText"/>
    <w:uiPriority w:val="39"/>
    <w:rsid w:val="00254104"/>
    <w:pPr>
      <w:tabs>
        <w:tab w:val="left" w:pos="1260"/>
        <w:tab w:val="right" w:leader="dot" w:pos="9360"/>
      </w:tabs>
      <w:ind w:left="1260" w:right="540" w:hanging="540"/>
    </w:pPr>
    <w:rPr>
      <w:rFonts w:ascii="Arial" w:hAnsi="Arial" w:cs="Arial"/>
      <w:noProof/>
      <w:sz w:val="22"/>
    </w:rPr>
  </w:style>
  <w:style w:type="paragraph" w:styleId="TOC3">
    <w:name w:val="toc 3"/>
    <w:next w:val="BodyText"/>
    <w:uiPriority w:val="39"/>
    <w:rsid w:val="00254104"/>
    <w:pPr>
      <w:tabs>
        <w:tab w:val="left" w:pos="1980"/>
        <w:tab w:val="right" w:leader="dot" w:pos="9360"/>
      </w:tabs>
      <w:ind w:left="1980" w:right="540" w:hanging="720"/>
    </w:pPr>
    <w:rPr>
      <w:rFonts w:ascii="Arial" w:hAnsi="Arial" w:cs="Arial"/>
      <w:noProof/>
      <w:sz w:val="22"/>
    </w:rPr>
  </w:style>
  <w:style w:type="paragraph" w:styleId="TOC4">
    <w:name w:val="toc 4"/>
    <w:basedOn w:val="BodyText"/>
    <w:next w:val="BodyText"/>
    <w:uiPriority w:val="39"/>
    <w:rsid w:val="0066417F"/>
    <w:pPr>
      <w:tabs>
        <w:tab w:val="right" w:leader="dot" w:pos="9360"/>
      </w:tabs>
      <w:spacing w:after="0"/>
      <w:ind w:left="1800" w:right="540"/>
    </w:pPr>
    <w:rPr>
      <w:noProof/>
    </w:rPr>
  </w:style>
  <w:style w:type="paragraph" w:styleId="TOC5">
    <w:name w:val="toc 5"/>
    <w:basedOn w:val="Normal"/>
    <w:next w:val="Normal"/>
    <w:autoRedefine/>
    <w:uiPriority w:val="39"/>
    <w:rsid w:val="00D977C7"/>
    <w:pPr>
      <w:tabs>
        <w:tab w:val="right" w:leader="dot" w:pos="9350"/>
      </w:tabs>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FootnoteReference">
    <w:name w:val="footnote reference"/>
    <w:aliases w:val="*Footnote Reference"/>
    <w:basedOn w:val="DefaultParagraphFont"/>
    <w:uiPriority w:val="99"/>
    <w:qFormat/>
    <w:rsid w:val="007B1904"/>
    <w:rPr>
      <w:vertAlign w:val="superscript"/>
    </w:rPr>
  </w:style>
  <w:style w:type="paragraph" w:styleId="FootnoteText">
    <w:name w:val="footnote text"/>
    <w:aliases w:val="F1,*Footnote Text,Footnote Text Char Char Char Char,Footnote Text Char Char,Footnote Text ERA,Footnote Text ERA1,Footnote Text ERA2,Footnote Text ERA11,Footnote Text ERA3,Footnote Text ERA12,Footnote Text ERA21,Footnote Text ERA111,fn"/>
    <w:basedOn w:val="Normal"/>
    <w:link w:val="FootnoteTextChar"/>
    <w:uiPriority w:val="99"/>
    <w:qFormat/>
    <w:rsid w:val="00C576CE"/>
    <w:pPr>
      <w:spacing w:after="120"/>
      <w:ind w:left="240" w:hanging="240"/>
    </w:pPr>
    <w:rPr>
      <w:sz w:val="20"/>
    </w:rPr>
  </w:style>
  <w:style w:type="character" w:customStyle="1" w:styleId="FootnoteTextChar">
    <w:name w:val="Footnote Text Char"/>
    <w:aliases w:val="F1 Char,*Footnote Text Char,Footnote Text Char Char Char Char Char,Footnote Text Char Char Char,Footnote Text ERA Char,Footnote Text ERA1 Char,Footnote Text ERA2 Char,Footnote Text ERA11 Char,Footnote Text ERA3 Char,fn Char"/>
    <w:basedOn w:val="DefaultParagraphFont"/>
    <w:link w:val="FootnoteText"/>
    <w:uiPriority w:val="99"/>
    <w:rsid w:val="00C576CE"/>
  </w:style>
  <w:style w:type="paragraph" w:styleId="Index1">
    <w:name w:val="index 1"/>
    <w:basedOn w:val="Normal"/>
    <w:next w:val="Normal"/>
    <w:autoRedefine/>
    <w:semiHidden/>
    <w:pPr>
      <w:ind w:left="220" w:hanging="220"/>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customStyle="1" w:styleId="Numbers">
    <w:name w:val="Numbers"/>
    <w:basedOn w:val="BodyText"/>
    <w:pPr>
      <w:numPr>
        <w:numId w:val="1"/>
      </w:numPr>
      <w:ind w:left="720"/>
    </w:pPr>
  </w:style>
  <w:style w:type="paragraph" w:customStyle="1" w:styleId="BoxText">
    <w:name w:val="Box Text"/>
    <w:basedOn w:val="BodyText"/>
    <w:rsid w:val="00C6380F"/>
    <w:rPr>
      <w:rFonts w:ascii="Arial" w:hAnsi="Arial" w:cs="Arial"/>
      <w:sz w:val="18"/>
    </w:rPr>
  </w:style>
  <w:style w:type="paragraph" w:styleId="CommentText">
    <w:name w:val="annotation text"/>
    <w:basedOn w:val="Normal"/>
    <w:link w:val="CommentTextChar"/>
    <w:uiPriority w:val="99"/>
    <w:qFormat/>
    <w:rsid w:val="00D34EEE"/>
    <w:rPr>
      <w:sz w:val="20"/>
    </w:rPr>
  </w:style>
  <w:style w:type="character" w:customStyle="1" w:styleId="CommentTextChar">
    <w:name w:val="Comment Text Char"/>
    <w:basedOn w:val="DefaultParagraphFont"/>
    <w:link w:val="CommentText"/>
    <w:uiPriority w:val="99"/>
    <w:qFormat/>
    <w:rsid w:val="00527D7D"/>
  </w:style>
  <w:style w:type="paragraph" w:styleId="CommentSubject">
    <w:name w:val="annotation subject"/>
    <w:basedOn w:val="CommentText"/>
    <w:next w:val="CommentText"/>
    <w:semiHidden/>
    <w:rsid w:val="00D34EEE"/>
    <w:rPr>
      <w:b/>
      <w:bCs/>
    </w:rPr>
  </w:style>
  <w:style w:type="paragraph" w:styleId="BalloonText">
    <w:name w:val="Balloon Text"/>
    <w:basedOn w:val="Normal"/>
    <w:semiHidden/>
    <w:rsid w:val="00D34EEE"/>
    <w:rPr>
      <w:rFonts w:ascii="Tahoma" w:hAnsi="Tahoma" w:cs="Tahoma"/>
      <w:sz w:val="16"/>
      <w:szCs w:val="16"/>
    </w:rPr>
  </w:style>
  <w:style w:type="table" w:styleId="TableGrid">
    <w:name w:val="Table Grid"/>
    <w:basedOn w:val="TableNormal"/>
    <w:uiPriority w:val="59"/>
    <w:rsid w:val="005B1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52119"/>
    <w:rPr>
      <w:color w:val="0000FF"/>
      <w:u w:val="single"/>
    </w:rPr>
  </w:style>
  <w:style w:type="paragraph" w:customStyle="1" w:styleId="TOCHeader">
    <w:name w:val="TOC Header"/>
    <w:basedOn w:val="Normal"/>
    <w:next w:val="BodyText"/>
    <w:rsid w:val="00D57BF2"/>
    <w:rPr>
      <w:rFonts w:ascii="Arial" w:hAnsi="Arial" w:cs="Arial"/>
      <w:b/>
      <w:color w:val="DA291C" w:themeColor="text2"/>
      <w:sz w:val="28"/>
      <w:szCs w:val="28"/>
    </w:rPr>
  </w:style>
  <w:style w:type="paragraph" w:customStyle="1" w:styleId="VolumeHeader">
    <w:name w:val="Volume Header"/>
    <w:basedOn w:val="Normal"/>
    <w:next w:val="BodyText"/>
    <w:rsid w:val="002064D3"/>
    <w:pPr>
      <w:pBdr>
        <w:top w:val="single" w:sz="2" w:space="2" w:color="DA291C"/>
        <w:bottom w:val="single" w:sz="2" w:space="2" w:color="DA291C"/>
      </w:pBdr>
      <w:shd w:val="clear" w:color="auto" w:fill="DA291C"/>
      <w:tabs>
        <w:tab w:val="left" w:pos="1170"/>
      </w:tabs>
    </w:pPr>
    <w:rPr>
      <w:rFonts w:ascii="Arial Bold" w:hAnsi="Arial Bold"/>
      <w:b/>
      <w:color w:val="FFFFFF"/>
      <w:sz w:val="24"/>
      <w:szCs w:val="24"/>
    </w:rPr>
  </w:style>
  <w:style w:type="paragraph" w:styleId="Caption">
    <w:name w:val="caption"/>
    <w:basedOn w:val="Normal"/>
    <w:next w:val="BodyText"/>
    <w:link w:val="CaptionChar"/>
    <w:qFormat/>
    <w:rsid w:val="00490580"/>
    <w:pPr>
      <w:keepNext/>
      <w:tabs>
        <w:tab w:val="left" w:pos="1320"/>
      </w:tabs>
      <w:spacing w:after="100"/>
      <w:ind w:left="1320" w:hanging="1320"/>
    </w:pPr>
    <w:rPr>
      <w:rFonts w:ascii="Arial" w:hAnsi="Arial" w:cs="Arial"/>
      <w:b/>
      <w:sz w:val="20"/>
    </w:rPr>
  </w:style>
  <w:style w:type="character" w:customStyle="1" w:styleId="CaptionChar">
    <w:name w:val="Caption Char"/>
    <w:basedOn w:val="DefaultParagraphFont"/>
    <w:link w:val="Caption"/>
    <w:locked/>
    <w:rsid w:val="00490580"/>
    <w:rPr>
      <w:rFonts w:ascii="Arial" w:hAnsi="Arial" w:cs="Arial"/>
      <w:b/>
    </w:rPr>
  </w:style>
  <w:style w:type="paragraph" w:customStyle="1" w:styleId="FooterLandscape">
    <w:name w:val="Footer Landscape"/>
    <w:basedOn w:val="Footer"/>
    <w:rsid w:val="00EE1D07"/>
    <w:pPr>
      <w:tabs>
        <w:tab w:val="center" w:pos="6480"/>
        <w:tab w:val="right" w:pos="12960"/>
      </w:tabs>
    </w:pPr>
  </w:style>
  <w:style w:type="paragraph" w:customStyle="1" w:styleId="CoverTechorBusiness">
    <w:name w:val="Cover Tech or Business"/>
    <w:basedOn w:val="Normal"/>
    <w:qFormat/>
    <w:rsid w:val="0099262A"/>
    <w:pPr>
      <w:shd w:val="solid" w:color="FFFFFF" w:fill="FFFFFF"/>
      <w:spacing w:line="276" w:lineRule="auto"/>
      <w:jc w:val="right"/>
    </w:pPr>
    <w:rPr>
      <w:rFonts w:ascii="Arial" w:hAnsi="Arial"/>
      <w:color w:val="DA291C"/>
      <w:sz w:val="20"/>
    </w:rPr>
  </w:style>
  <w:style w:type="paragraph" w:customStyle="1" w:styleId="Bullet2">
    <w:name w:val="Bullet2"/>
    <w:basedOn w:val="Normal"/>
    <w:rsid w:val="006A2A90"/>
    <w:pPr>
      <w:numPr>
        <w:numId w:val="4"/>
      </w:numPr>
      <w:tabs>
        <w:tab w:val="clear" w:pos="720"/>
      </w:tabs>
      <w:spacing w:after="120"/>
    </w:pPr>
  </w:style>
  <w:style w:type="paragraph" w:customStyle="1" w:styleId="ProposalTitle">
    <w:name w:val="Proposal Title"/>
    <w:basedOn w:val="Normal"/>
    <w:qFormat/>
    <w:rsid w:val="00536DB4"/>
    <w:pPr>
      <w:autoSpaceDE w:val="0"/>
      <w:autoSpaceDN w:val="0"/>
      <w:adjustRightInd w:val="0"/>
      <w:ind w:left="6696" w:right="-792"/>
    </w:pPr>
    <w:rPr>
      <w:b/>
      <w:sz w:val="32"/>
      <w:szCs w:val="32"/>
    </w:rPr>
  </w:style>
  <w:style w:type="paragraph" w:customStyle="1" w:styleId="RFPNumber">
    <w:name w:val="RFP Number"/>
    <w:basedOn w:val="Normal"/>
    <w:qFormat/>
    <w:rsid w:val="00536DB4"/>
    <w:pPr>
      <w:autoSpaceDE w:val="0"/>
      <w:autoSpaceDN w:val="0"/>
      <w:adjustRightInd w:val="0"/>
      <w:ind w:left="6696" w:right="-792"/>
    </w:pPr>
    <w:rPr>
      <w:sz w:val="32"/>
      <w:szCs w:val="32"/>
    </w:rPr>
  </w:style>
  <w:style w:type="paragraph" w:customStyle="1" w:styleId="CoverTextRed14pt">
    <w:name w:val="Cover Text  Red 14pt"/>
    <w:basedOn w:val="Normal"/>
    <w:qFormat/>
    <w:rsid w:val="008877CC"/>
    <w:pPr>
      <w:tabs>
        <w:tab w:val="left" w:pos="720"/>
        <w:tab w:val="left" w:pos="1080"/>
        <w:tab w:val="left" w:pos="1440"/>
        <w:tab w:val="left" w:pos="1800"/>
        <w:tab w:val="left" w:pos="6660"/>
      </w:tabs>
      <w:spacing w:after="0"/>
      <w:ind w:left="6490" w:right="-540"/>
      <w:jc w:val="right"/>
    </w:pPr>
    <w:rPr>
      <w:rFonts w:ascii="Arial" w:hAnsi="Arial"/>
      <w:b/>
      <w:color w:val="48A9C5" w:themeColor="accent1"/>
      <w:sz w:val="28"/>
      <w:szCs w:val="32"/>
    </w:rPr>
  </w:style>
  <w:style w:type="paragraph" w:customStyle="1" w:styleId="CoverText11pt">
    <w:name w:val="Cover Text 11 pt"/>
    <w:basedOn w:val="Normal"/>
    <w:qFormat/>
    <w:rsid w:val="001E2CF1"/>
    <w:pPr>
      <w:tabs>
        <w:tab w:val="left" w:pos="720"/>
        <w:tab w:val="left" w:pos="1080"/>
        <w:tab w:val="left" w:pos="1440"/>
        <w:tab w:val="left" w:pos="1800"/>
        <w:tab w:val="left" w:pos="6660"/>
      </w:tabs>
      <w:spacing w:after="0"/>
      <w:ind w:left="6490" w:right="-540"/>
      <w:jc w:val="right"/>
    </w:pPr>
    <w:rPr>
      <w:rFonts w:ascii="Arial" w:hAnsi="Arial"/>
      <w:i/>
      <w:color w:val="616662"/>
      <w:szCs w:val="24"/>
    </w:rPr>
  </w:style>
  <w:style w:type="paragraph" w:customStyle="1" w:styleId="CoverText-Address">
    <w:name w:val="Cover Text - Address"/>
    <w:basedOn w:val="Normal"/>
    <w:qFormat/>
    <w:rsid w:val="001E2CF1"/>
    <w:pPr>
      <w:tabs>
        <w:tab w:val="left" w:pos="720"/>
        <w:tab w:val="left" w:pos="1080"/>
        <w:tab w:val="left" w:pos="1440"/>
        <w:tab w:val="left" w:pos="1800"/>
        <w:tab w:val="left" w:pos="6660"/>
      </w:tabs>
      <w:spacing w:after="0"/>
      <w:ind w:left="6490" w:right="-540"/>
      <w:jc w:val="right"/>
    </w:pPr>
    <w:rPr>
      <w:rFonts w:ascii="Arial" w:hAnsi="Arial"/>
      <w:color w:val="616662"/>
      <w:szCs w:val="24"/>
    </w:rPr>
  </w:style>
  <w:style w:type="paragraph" w:customStyle="1" w:styleId="TableText">
    <w:name w:val="Table Text"/>
    <w:basedOn w:val="Normal"/>
    <w:qFormat/>
    <w:rsid w:val="009732AC"/>
    <w:pPr>
      <w:spacing w:before="20" w:after="20"/>
    </w:pPr>
    <w:rPr>
      <w:rFonts w:ascii="Arial Narrow" w:hAnsi="Arial Narrow"/>
      <w:sz w:val="20"/>
    </w:rPr>
  </w:style>
  <w:style w:type="paragraph" w:customStyle="1" w:styleId="TableSource">
    <w:name w:val="Table Source"/>
    <w:basedOn w:val="Normal"/>
    <w:next w:val="BodyText"/>
    <w:qFormat/>
    <w:rsid w:val="00B1553C"/>
    <w:pPr>
      <w:spacing w:before="60" w:after="360"/>
      <w:contextualSpacing/>
    </w:pPr>
    <w:rPr>
      <w:rFonts w:ascii="Arial Narrow" w:hAnsi="Arial Narrow" w:cs="Arial"/>
      <w:sz w:val="18"/>
    </w:rPr>
  </w:style>
  <w:style w:type="paragraph" w:customStyle="1" w:styleId="CoverTextGreyBold">
    <w:name w:val="Cover Text Grey Bold"/>
    <w:basedOn w:val="Normal"/>
    <w:qFormat/>
    <w:rsid w:val="00744E2C"/>
    <w:pPr>
      <w:tabs>
        <w:tab w:val="left" w:pos="720"/>
        <w:tab w:val="left" w:pos="1080"/>
        <w:tab w:val="left" w:pos="1440"/>
        <w:tab w:val="left" w:pos="1800"/>
        <w:tab w:val="left" w:pos="6660"/>
      </w:tabs>
      <w:spacing w:after="0"/>
      <w:ind w:left="6490" w:right="-540"/>
      <w:jc w:val="right"/>
    </w:pPr>
    <w:rPr>
      <w:rFonts w:ascii="Arial" w:hAnsi="Arial"/>
      <w:b/>
      <w:color w:val="616662"/>
      <w:szCs w:val="24"/>
    </w:rPr>
  </w:style>
  <w:style w:type="paragraph" w:customStyle="1" w:styleId="Disclaimer">
    <w:name w:val="Disclaimer"/>
    <w:basedOn w:val="Normal"/>
    <w:qFormat/>
    <w:rsid w:val="003453BD"/>
    <w:pPr>
      <w:tabs>
        <w:tab w:val="center" w:pos="4680"/>
        <w:tab w:val="right" w:pos="9360"/>
      </w:tabs>
      <w:spacing w:before="60" w:after="0"/>
      <w:jc w:val="center"/>
    </w:pPr>
    <w:rPr>
      <w:sz w:val="18"/>
    </w:rPr>
  </w:style>
  <w:style w:type="table" w:customStyle="1" w:styleId="AbtFinal">
    <w:name w:val="Abt Final"/>
    <w:basedOn w:val="TableNormal"/>
    <w:uiPriority w:val="99"/>
    <w:rsid w:val="00DC17F5"/>
    <w:rPr>
      <w:rFonts w:ascii="Arial Narrow" w:hAnsi="Arial Narrow"/>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pPr>
        <w:wordWrap/>
        <w:jc w:val="center"/>
      </w:pPr>
      <w:rPr>
        <w:rFonts w:ascii="HP Simplified Light" w:hAnsi="HP Simplified Light"/>
        <w:b/>
        <w:caps w:val="0"/>
        <w:smallCaps w:val="0"/>
        <w:strike w:val="0"/>
        <w:dstrike w:val="0"/>
        <w:vanish w:val="0"/>
        <w:color w:val="FFFFFF" w:themeColor="background1"/>
        <w:sz w:val="20"/>
        <w:vertAlign w:val="baseline"/>
      </w:rPr>
      <w:tblPr/>
      <w:tcPr>
        <w:shd w:val="clear" w:color="auto" w:fill="DA291C" w:themeFill="text2"/>
      </w:tcPr>
    </w:tblStylePr>
    <w:tblStylePr w:type="lastRow">
      <w:pPr>
        <w:jc w:val="left"/>
      </w:pPr>
      <w:rPr>
        <w:rFonts w:ascii="HP Simplified Light" w:hAnsi="HP Simplified Light"/>
        <w:color w:val="FFFFFF" w:themeColor="background1"/>
        <w:sz w:val="20"/>
      </w:rPr>
      <w:tblPr/>
      <w:tcPr>
        <w:tcBorders>
          <w:top w:val="single" w:sz="8" w:space="0" w:color="auto"/>
          <w:left w:val="single" w:sz="8" w:space="0" w:color="auto"/>
          <w:bottom w:val="single" w:sz="8" w:space="0" w:color="auto"/>
          <w:right w:val="single" w:sz="8" w:space="0" w:color="auto"/>
          <w:insideH w:val="nil"/>
          <w:insideV w:val="single" w:sz="8" w:space="0" w:color="auto"/>
          <w:tl2br w:val="nil"/>
          <w:tr2bl w:val="nil"/>
        </w:tcBorders>
        <w:shd w:val="clear" w:color="auto" w:fill="E87722" w:themeFill="accent2"/>
      </w:tcPr>
    </w:tblStylePr>
    <w:tblStylePr w:type="firstCol">
      <w:rPr>
        <w:rFonts w:ascii="HP Simplified Light" w:hAnsi="HP Simplified Light"/>
        <w:sz w:val="20"/>
      </w:rPr>
    </w:tblStylePr>
    <w:tblStylePr w:type="lastCol">
      <w:rPr>
        <w:rFonts w:ascii="HP Simplified Light" w:hAnsi="HP Simplified Light"/>
        <w:sz w:val="20"/>
      </w:rPr>
    </w:tblStylePr>
    <w:tblStylePr w:type="band1Horz">
      <w:rPr>
        <w:rFonts w:ascii="HP Simplified Light" w:hAnsi="HP Simplified Light"/>
        <w:sz w:val="20"/>
      </w:rPr>
    </w:tblStylePr>
    <w:tblStylePr w:type="band2Horz">
      <w:rPr>
        <w:rFonts w:ascii="HP Simplified Light" w:hAnsi="HP Simplified Light"/>
        <w:sz w:val="20"/>
      </w:rPr>
    </w:tblStylePr>
  </w:style>
  <w:style w:type="paragraph" w:customStyle="1" w:styleId="Default">
    <w:name w:val="Default"/>
    <w:rsid w:val="006C1434"/>
    <w:pPr>
      <w:autoSpaceDE w:val="0"/>
      <w:autoSpaceDN w:val="0"/>
      <w:adjustRightInd w:val="0"/>
    </w:pPr>
    <w:rPr>
      <w:rFonts w:ascii="Gotham" w:hAnsi="Gotham" w:cs="Gotham"/>
      <w:color w:val="000000"/>
      <w:sz w:val="24"/>
      <w:szCs w:val="24"/>
    </w:rPr>
  </w:style>
  <w:style w:type="paragraph" w:styleId="Subtitle">
    <w:name w:val="Subtitle"/>
    <w:basedOn w:val="Normal"/>
    <w:link w:val="SubtitleChar"/>
    <w:uiPriority w:val="11"/>
    <w:qFormat/>
    <w:rsid w:val="00254104"/>
    <w:pPr>
      <w:framePr w:hSpace="180" w:wrap="around" w:vAnchor="text" w:hAnchor="margin" w:y="-429"/>
      <w:spacing w:after="480"/>
    </w:pPr>
    <w:rPr>
      <w:rFonts w:asciiTheme="minorHAnsi" w:eastAsiaTheme="minorHAnsi" w:hAnsiTheme="minorHAnsi" w:cstheme="minorHAnsi"/>
      <w:i/>
      <w:color w:val="FFFFFF" w:themeColor="background1"/>
      <w:sz w:val="40"/>
      <w:szCs w:val="24"/>
    </w:rPr>
  </w:style>
  <w:style w:type="character" w:customStyle="1" w:styleId="SubtitleChar">
    <w:name w:val="Subtitle Char"/>
    <w:basedOn w:val="DefaultParagraphFont"/>
    <w:link w:val="Subtitle"/>
    <w:uiPriority w:val="11"/>
    <w:rsid w:val="00254104"/>
    <w:rPr>
      <w:rFonts w:asciiTheme="minorHAnsi" w:eastAsiaTheme="minorHAnsi" w:hAnsiTheme="minorHAnsi" w:cstheme="minorHAnsi"/>
      <w:i/>
      <w:color w:val="FFFFFF" w:themeColor="background1"/>
      <w:sz w:val="40"/>
      <w:szCs w:val="24"/>
    </w:rPr>
  </w:style>
  <w:style w:type="paragraph" w:styleId="ListParagraph">
    <w:name w:val="List Paragraph"/>
    <w:aliases w:val="Primary Bullet List"/>
    <w:basedOn w:val="Normal"/>
    <w:link w:val="ListParagraphChar"/>
    <w:uiPriority w:val="34"/>
    <w:qFormat/>
    <w:rsid w:val="00947565"/>
    <w:pPr>
      <w:spacing w:after="200" w:line="276" w:lineRule="auto"/>
      <w:ind w:left="720"/>
      <w:contextualSpacing/>
    </w:pPr>
    <w:rPr>
      <w:rFonts w:asciiTheme="minorHAnsi" w:eastAsiaTheme="minorHAnsi" w:hAnsiTheme="minorHAnsi" w:cstheme="minorBidi"/>
      <w:szCs w:val="22"/>
    </w:rPr>
  </w:style>
  <w:style w:type="character" w:customStyle="1" w:styleId="ListParagraphChar">
    <w:name w:val="List Paragraph Char"/>
    <w:aliases w:val="Primary Bullet List Char"/>
    <w:link w:val="ListParagraph"/>
    <w:uiPriority w:val="34"/>
    <w:locked/>
    <w:rsid w:val="00605298"/>
    <w:rPr>
      <w:rFonts w:asciiTheme="minorHAnsi" w:eastAsiaTheme="minorHAnsi" w:hAnsiTheme="minorHAnsi" w:cstheme="minorBidi"/>
      <w:sz w:val="22"/>
      <w:szCs w:val="22"/>
    </w:rPr>
  </w:style>
  <w:style w:type="paragraph" w:customStyle="1" w:styleId="Call-OutBoxHeader">
    <w:name w:val="Call-Out Box Header"/>
    <w:basedOn w:val="Normal"/>
    <w:next w:val="Call-OutBoxText"/>
    <w:qFormat/>
    <w:rsid w:val="002E1003"/>
    <w:pPr>
      <w:spacing w:after="120"/>
      <w:jc w:val="center"/>
    </w:pPr>
    <w:rPr>
      <w:rFonts w:ascii="Arial Narrow" w:eastAsiaTheme="minorHAnsi" w:hAnsi="Arial Narrow" w:cs="Arial"/>
      <w:b/>
      <w:color w:val="DA291C" w:themeColor="text2"/>
      <w:szCs w:val="22"/>
    </w:rPr>
  </w:style>
  <w:style w:type="paragraph" w:customStyle="1" w:styleId="Call-OutBoxText">
    <w:name w:val="Call-Out Box Text"/>
    <w:basedOn w:val="Normal"/>
    <w:qFormat/>
    <w:rsid w:val="00BE5A43"/>
    <w:pPr>
      <w:spacing w:after="120"/>
    </w:pPr>
    <w:rPr>
      <w:rFonts w:ascii="Arial Narrow" w:eastAsiaTheme="minorHAnsi" w:hAnsi="Arial Narrow" w:cs="Arial"/>
      <w:color w:val="000000" w:themeColor="text1"/>
      <w:sz w:val="20"/>
      <w:szCs w:val="22"/>
    </w:rPr>
  </w:style>
  <w:style w:type="table" w:styleId="Table3Deffects1">
    <w:name w:val="Table 3D effects 1"/>
    <w:basedOn w:val="TableNormal"/>
    <w:rsid w:val="000247F7"/>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Heading3NoNumbering">
    <w:name w:val="Heading 3 No Numbering"/>
    <w:basedOn w:val="Heading3"/>
    <w:next w:val="BodyText"/>
    <w:qFormat/>
    <w:rsid w:val="00D41A9B"/>
    <w:pPr>
      <w:numPr>
        <w:ilvl w:val="0"/>
        <w:numId w:val="0"/>
      </w:numPr>
    </w:pPr>
    <w:rPr>
      <w:sz w:val="24"/>
    </w:rPr>
  </w:style>
  <w:style w:type="paragraph" w:customStyle="1" w:styleId="TableBullets">
    <w:name w:val="Table Bullets"/>
    <w:basedOn w:val="ListParagraph"/>
    <w:qFormat/>
    <w:rsid w:val="00E55BF9"/>
    <w:pPr>
      <w:numPr>
        <w:numId w:val="5"/>
      </w:numPr>
      <w:spacing w:after="0" w:line="240" w:lineRule="auto"/>
      <w:ind w:left="259" w:hanging="259"/>
      <w:contextualSpacing w:val="0"/>
    </w:pPr>
    <w:rPr>
      <w:rFonts w:ascii="Arial Narrow" w:hAnsi="Arial Narrow"/>
      <w:sz w:val="20"/>
      <w:szCs w:val="20"/>
    </w:rPr>
  </w:style>
  <w:style w:type="paragraph" w:customStyle="1" w:styleId="StaffResumeList">
    <w:name w:val="Staff Resume List"/>
    <w:basedOn w:val="BodyTextNoSpaceAfter"/>
    <w:qFormat/>
    <w:rsid w:val="008938E0"/>
    <w:pPr>
      <w:tabs>
        <w:tab w:val="left" w:pos="5040"/>
      </w:tabs>
      <w:spacing w:after="240"/>
      <w:contextualSpacing/>
    </w:pPr>
  </w:style>
  <w:style w:type="paragraph" w:customStyle="1" w:styleId="BodyTextNoSpaceAfter">
    <w:name w:val="Body Text No Space After"/>
    <w:basedOn w:val="BodyText"/>
    <w:qFormat/>
    <w:rsid w:val="00372DF9"/>
    <w:pPr>
      <w:spacing w:after="0"/>
    </w:pPr>
  </w:style>
  <w:style w:type="paragraph" w:customStyle="1" w:styleId="Heading1NoNumbering">
    <w:name w:val="Heading 1 No Numbering"/>
    <w:basedOn w:val="Heading1"/>
    <w:qFormat/>
    <w:rsid w:val="00AA4C10"/>
    <w:pPr>
      <w:numPr>
        <w:numId w:val="0"/>
      </w:numPr>
    </w:pPr>
  </w:style>
  <w:style w:type="paragraph" w:customStyle="1" w:styleId="TableColumnHeader">
    <w:name w:val="Table Column Header"/>
    <w:basedOn w:val="Normal"/>
    <w:qFormat/>
    <w:rsid w:val="00E55BF9"/>
    <w:pPr>
      <w:spacing w:before="20" w:after="20"/>
      <w:jc w:val="center"/>
    </w:pPr>
    <w:rPr>
      <w:rFonts w:ascii="Arial Narrow" w:hAnsi="Arial Narrow"/>
      <w:b/>
      <w:color w:val="FFFFFF" w:themeColor="background1"/>
      <w:sz w:val="20"/>
    </w:rPr>
  </w:style>
  <w:style w:type="table" w:styleId="MediumList1-Accent1">
    <w:name w:val="Medium List 1 Accent 1"/>
    <w:basedOn w:val="TableNormal"/>
    <w:uiPriority w:val="65"/>
    <w:rsid w:val="00E63CEA"/>
    <w:rPr>
      <w:rFonts w:ascii="Calibri" w:eastAsia="Calibri" w:hAnsi="Calibri"/>
      <w:color w:val="000000" w:themeColor="text1"/>
      <w:sz w:val="22"/>
      <w:szCs w:val="22"/>
    </w:rPr>
    <w:tblPr>
      <w:tblStyleRowBandSize w:val="1"/>
      <w:tblStyleColBandSize w:val="1"/>
      <w:tblBorders>
        <w:top w:val="single" w:sz="8" w:space="0" w:color="48A9C5" w:themeColor="accent1"/>
        <w:bottom w:val="single" w:sz="8" w:space="0" w:color="48A9C5" w:themeColor="accent1"/>
      </w:tblBorders>
    </w:tblPr>
    <w:tblStylePr w:type="firstRow">
      <w:rPr>
        <w:rFonts w:asciiTheme="majorHAnsi" w:eastAsiaTheme="majorEastAsia" w:hAnsiTheme="majorHAnsi" w:cstheme="majorBidi"/>
      </w:rPr>
      <w:tblPr/>
      <w:tcPr>
        <w:tcBorders>
          <w:top w:val="nil"/>
          <w:bottom w:val="single" w:sz="8" w:space="0" w:color="48A9C5" w:themeColor="accent1"/>
        </w:tcBorders>
      </w:tcPr>
    </w:tblStylePr>
    <w:tblStylePr w:type="lastRow">
      <w:rPr>
        <w:b/>
        <w:bCs/>
        <w:color w:val="DA291C" w:themeColor="text2"/>
      </w:rPr>
      <w:tblPr/>
      <w:tcPr>
        <w:tcBorders>
          <w:top w:val="single" w:sz="8" w:space="0" w:color="48A9C5" w:themeColor="accent1"/>
          <w:bottom w:val="single" w:sz="8" w:space="0" w:color="48A9C5" w:themeColor="accent1"/>
        </w:tcBorders>
      </w:tcPr>
    </w:tblStylePr>
    <w:tblStylePr w:type="firstCol">
      <w:rPr>
        <w:b/>
        <w:bCs/>
      </w:rPr>
    </w:tblStylePr>
    <w:tblStylePr w:type="lastCol">
      <w:rPr>
        <w:b/>
        <w:bCs/>
      </w:rPr>
      <w:tblPr/>
      <w:tcPr>
        <w:tcBorders>
          <w:top w:val="single" w:sz="8" w:space="0" w:color="48A9C5" w:themeColor="accent1"/>
          <w:bottom w:val="single" w:sz="8" w:space="0" w:color="48A9C5" w:themeColor="accent1"/>
        </w:tcBorders>
      </w:tcPr>
    </w:tblStylePr>
    <w:tblStylePr w:type="band1Vert">
      <w:tblPr/>
      <w:tcPr>
        <w:shd w:val="clear" w:color="auto" w:fill="D1E9F0" w:themeFill="accent1" w:themeFillTint="3F"/>
      </w:tcPr>
    </w:tblStylePr>
    <w:tblStylePr w:type="band1Horz">
      <w:tblPr/>
      <w:tcPr>
        <w:shd w:val="clear" w:color="auto" w:fill="D1E9F0" w:themeFill="accent1" w:themeFillTint="3F"/>
      </w:tcPr>
    </w:tblStylePr>
  </w:style>
  <w:style w:type="paragraph" w:customStyle="1" w:styleId="PPRowHeader">
    <w:name w:val="PP Row Header"/>
    <w:basedOn w:val="PPTextBold"/>
    <w:qFormat/>
    <w:rsid w:val="0021417B"/>
  </w:style>
  <w:style w:type="paragraph" w:customStyle="1" w:styleId="PPTextBold">
    <w:name w:val="PP Text Bold"/>
    <w:basedOn w:val="PPText"/>
    <w:qFormat/>
    <w:rsid w:val="003F1A40"/>
    <w:pPr>
      <w:spacing w:before="20" w:after="20"/>
    </w:pPr>
    <w:rPr>
      <w:rFonts w:eastAsia="Calibri"/>
      <w:b/>
      <w:color w:val="000000" w:themeColor="text1"/>
      <w:szCs w:val="22"/>
    </w:rPr>
  </w:style>
  <w:style w:type="paragraph" w:customStyle="1" w:styleId="PPText">
    <w:name w:val="PP Text"/>
    <w:basedOn w:val="Normal"/>
    <w:qFormat/>
    <w:rsid w:val="003F1A40"/>
    <w:pPr>
      <w:spacing w:after="120"/>
    </w:pPr>
    <w:rPr>
      <w:rFonts w:ascii="Arial Narrow" w:hAnsi="Arial Narrow"/>
      <w:sz w:val="20"/>
    </w:rPr>
  </w:style>
  <w:style w:type="paragraph" w:customStyle="1" w:styleId="PPRowText">
    <w:name w:val="PP Row Text"/>
    <w:basedOn w:val="PPRowHeader"/>
    <w:qFormat/>
    <w:rsid w:val="0021417B"/>
    <w:rPr>
      <w:b w:val="0"/>
    </w:rPr>
  </w:style>
  <w:style w:type="paragraph" w:customStyle="1" w:styleId="PPTitle">
    <w:name w:val="PP Title"/>
    <w:basedOn w:val="Normal"/>
    <w:qFormat/>
    <w:rsid w:val="00187B0F"/>
    <w:pPr>
      <w:spacing w:after="0"/>
      <w:jc w:val="center"/>
    </w:pPr>
    <w:rPr>
      <w:rFonts w:ascii="Arial Narrow" w:hAnsi="Arial Narrow"/>
      <w:b/>
      <w:color w:val="FFFFFF" w:themeColor="background1"/>
      <w:szCs w:val="22"/>
    </w:rPr>
  </w:style>
  <w:style w:type="paragraph" w:customStyle="1" w:styleId="StaffProposedPosition">
    <w:name w:val="Staff Proposed &amp; Position"/>
    <w:basedOn w:val="Normal"/>
    <w:qFormat/>
    <w:rsid w:val="008938E0"/>
    <w:pPr>
      <w:tabs>
        <w:tab w:val="left" w:pos="5040"/>
      </w:tabs>
      <w:spacing w:after="0"/>
    </w:pPr>
    <w:rPr>
      <w:rFonts w:ascii="Century Gothic" w:hAnsi="Century Gothic"/>
      <w:b/>
      <w:color w:val="808080" w:themeColor="background1" w:themeShade="80"/>
      <w:sz w:val="24"/>
      <w:szCs w:val="24"/>
    </w:rPr>
  </w:style>
  <w:style w:type="paragraph" w:customStyle="1" w:styleId="PPTextHeader">
    <w:name w:val="PP Text Header"/>
    <w:basedOn w:val="PPText"/>
    <w:next w:val="PPText"/>
    <w:qFormat/>
    <w:rsid w:val="0021417B"/>
    <w:pPr>
      <w:spacing w:before="120"/>
    </w:pPr>
    <w:rPr>
      <w:rFonts w:eastAsia="Calibri"/>
      <w:i/>
      <w:color w:val="000000" w:themeColor="text1"/>
      <w:szCs w:val="22"/>
    </w:rPr>
  </w:style>
  <w:style w:type="paragraph" w:customStyle="1" w:styleId="Call-OutBoxBullet">
    <w:name w:val="Call-Out Box Bullet"/>
    <w:basedOn w:val="Call-OutBoxText"/>
    <w:qFormat/>
    <w:rsid w:val="006F0482"/>
    <w:pPr>
      <w:numPr>
        <w:numId w:val="7"/>
      </w:numPr>
      <w:spacing w:after="80"/>
      <w:ind w:left="216" w:hanging="216"/>
    </w:pPr>
  </w:style>
  <w:style w:type="paragraph" w:customStyle="1" w:styleId="PPBullet">
    <w:name w:val="PP Bullet"/>
    <w:qFormat/>
    <w:rsid w:val="0021417B"/>
    <w:pPr>
      <w:widowControl w:val="0"/>
      <w:numPr>
        <w:numId w:val="6"/>
      </w:numPr>
      <w:spacing w:after="120"/>
      <w:ind w:left="259" w:hanging="259"/>
      <w:contextualSpacing/>
    </w:pPr>
    <w:rPr>
      <w:rFonts w:ascii="Arial Narrow" w:eastAsiaTheme="minorHAnsi" w:hAnsi="Arial Narrow" w:cstheme="minorBidi"/>
      <w:szCs w:val="22"/>
    </w:rPr>
  </w:style>
  <w:style w:type="paragraph" w:customStyle="1" w:styleId="BodyTextGraphic">
    <w:name w:val="Body Text Graphic"/>
    <w:basedOn w:val="BodyText"/>
    <w:next w:val="BodyText"/>
    <w:qFormat/>
    <w:rsid w:val="00E55BF9"/>
    <w:pPr>
      <w:spacing w:after="360"/>
      <w:jc w:val="center"/>
    </w:pPr>
  </w:style>
  <w:style w:type="paragraph" w:customStyle="1" w:styleId="StaffResumeHeader">
    <w:name w:val="Staff Resume Header"/>
    <w:basedOn w:val="Normal"/>
    <w:qFormat/>
    <w:rsid w:val="008938E0"/>
    <w:pPr>
      <w:pBdr>
        <w:bottom w:val="single" w:sz="4" w:space="1" w:color="auto"/>
      </w:pBdr>
      <w:spacing w:after="240"/>
    </w:pPr>
    <w:rPr>
      <w:rFonts w:ascii="Century Gothic" w:eastAsiaTheme="minorHAnsi" w:hAnsi="Century Gothic" w:cstheme="minorBidi"/>
      <w:b/>
      <w:i/>
      <w:color w:val="DA291C"/>
      <w:spacing w:val="20"/>
      <w:sz w:val="28"/>
      <w:szCs w:val="22"/>
    </w:rPr>
  </w:style>
  <w:style w:type="paragraph" w:customStyle="1" w:styleId="Heading2NoNumbering">
    <w:name w:val="Heading 2 No Numbering"/>
    <w:basedOn w:val="Heading2"/>
    <w:next w:val="BodyText"/>
    <w:qFormat/>
    <w:rsid w:val="00C44CD2"/>
    <w:pPr>
      <w:numPr>
        <w:ilvl w:val="0"/>
        <w:numId w:val="0"/>
      </w:numPr>
      <w:spacing w:after="120"/>
    </w:pPr>
    <w:rPr>
      <w:rFonts w:eastAsiaTheme="minorHAnsi"/>
      <w:szCs w:val="22"/>
    </w:rPr>
  </w:style>
  <w:style w:type="paragraph" w:customStyle="1" w:styleId="TOCUnlinked">
    <w:name w:val="TOC Unlinked"/>
    <w:basedOn w:val="Normal"/>
    <w:qFormat/>
    <w:rsid w:val="00E06C1F"/>
    <w:pPr>
      <w:pBdr>
        <w:bottom w:val="single" w:sz="4" w:space="1" w:color="auto"/>
      </w:pBdr>
      <w:tabs>
        <w:tab w:val="left" w:pos="720"/>
        <w:tab w:val="right" w:pos="9360"/>
      </w:tabs>
      <w:spacing w:before="360" w:after="120"/>
    </w:pPr>
    <w:rPr>
      <w:rFonts w:ascii="Arial Narrow" w:eastAsia="Calibri" w:hAnsi="Arial Narrow"/>
      <w:sz w:val="36"/>
      <w:szCs w:val="22"/>
    </w:rPr>
  </w:style>
  <w:style w:type="paragraph" w:customStyle="1" w:styleId="PPReferenceHeading">
    <w:name w:val="PP Reference Heading"/>
    <w:basedOn w:val="Normal"/>
    <w:next w:val="BodyText"/>
    <w:qFormat/>
    <w:rsid w:val="00DC17F5"/>
    <w:pPr>
      <w:spacing w:after="120"/>
    </w:pPr>
    <w:rPr>
      <w:rFonts w:ascii="Century Gothic" w:hAnsi="Century Gothic"/>
      <w:b/>
      <w:color w:val="48A9C5" w:themeColor="accent1"/>
      <w:szCs w:val="24"/>
    </w:rPr>
  </w:style>
  <w:style w:type="paragraph" w:customStyle="1" w:styleId="TableTextCentered">
    <w:name w:val="Table Text Centered"/>
    <w:basedOn w:val="TableText"/>
    <w:qFormat/>
    <w:rsid w:val="00DC17F5"/>
    <w:pPr>
      <w:jc w:val="center"/>
    </w:pPr>
  </w:style>
  <w:style w:type="paragraph" w:customStyle="1" w:styleId="TableTextWhitefont">
    <w:name w:val="Table Text White font"/>
    <w:basedOn w:val="TableText"/>
    <w:qFormat/>
    <w:rsid w:val="00DC17F5"/>
    <w:rPr>
      <w:color w:val="FFFFFF" w:themeColor="background1"/>
    </w:rPr>
  </w:style>
  <w:style w:type="paragraph" w:customStyle="1" w:styleId="PrpCoverSheetHeading">
    <w:name w:val="Prp Cover Sheet Heading"/>
    <w:basedOn w:val="BodyTextNoSpaceAfter"/>
    <w:qFormat/>
    <w:rsid w:val="00DC17F5"/>
    <w:rPr>
      <w:rFonts w:ascii="Arial" w:hAnsi="Arial" w:cs="Arial"/>
      <w:b/>
    </w:rPr>
  </w:style>
  <w:style w:type="paragraph" w:styleId="Title">
    <w:name w:val="Title"/>
    <w:basedOn w:val="Normal"/>
    <w:link w:val="TitleChar"/>
    <w:uiPriority w:val="10"/>
    <w:qFormat/>
    <w:rsid w:val="00AA4C10"/>
    <w:pPr>
      <w:framePr w:hSpace="180" w:wrap="around" w:vAnchor="text" w:hAnchor="margin" w:xAlign="center" w:y="-12904"/>
      <w:spacing w:after="0"/>
      <w:contextualSpacing/>
    </w:pPr>
    <w:rPr>
      <w:rFonts w:eastAsiaTheme="minorHAnsi" w:cstheme="minorHAnsi"/>
      <w:b/>
      <w:color w:val="48A9C5" w:themeColor="accent1"/>
      <w:sz w:val="72"/>
      <w:szCs w:val="48"/>
    </w:rPr>
  </w:style>
  <w:style w:type="character" w:customStyle="1" w:styleId="TitleChar">
    <w:name w:val="Title Char"/>
    <w:basedOn w:val="DefaultParagraphFont"/>
    <w:link w:val="Title"/>
    <w:uiPriority w:val="10"/>
    <w:rsid w:val="00AA4C10"/>
    <w:rPr>
      <w:rFonts w:eastAsiaTheme="minorHAnsi" w:cstheme="minorHAnsi"/>
      <w:b/>
      <w:color w:val="48A9C5" w:themeColor="accent1"/>
      <w:sz w:val="72"/>
      <w:szCs w:val="48"/>
    </w:rPr>
  </w:style>
  <w:style w:type="paragraph" w:customStyle="1" w:styleId="BulletsLast">
    <w:name w:val="BulletsLast"/>
    <w:basedOn w:val="Bullets"/>
    <w:qFormat/>
    <w:rsid w:val="00961AAE"/>
    <w:pPr>
      <w:spacing w:after="240"/>
    </w:pPr>
  </w:style>
  <w:style w:type="paragraph" w:customStyle="1" w:styleId="CoverDate">
    <w:name w:val="Cover Date"/>
    <w:basedOn w:val="Normal"/>
    <w:qFormat/>
    <w:rsid w:val="00961AAE"/>
    <w:pPr>
      <w:spacing w:after="0"/>
    </w:pPr>
    <w:rPr>
      <w:rFonts w:ascii="Arial Narrow" w:hAnsi="Arial Narrow"/>
      <w:b/>
      <w:color w:val="FFFFFF" w:themeColor="background1"/>
      <w:sz w:val="40"/>
    </w:rPr>
  </w:style>
  <w:style w:type="paragraph" w:customStyle="1" w:styleId="CoverSubmitted">
    <w:name w:val="Cover Submitted"/>
    <w:basedOn w:val="Normal"/>
    <w:qFormat/>
    <w:rsid w:val="00961AAE"/>
    <w:pPr>
      <w:spacing w:after="0"/>
    </w:pPr>
    <w:rPr>
      <w:rFonts w:ascii="Arial Narrow" w:hAnsi="Arial Narrow"/>
      <w:color w:val="FFFFFF" w:themeColor="background1"/>
      <w:sz w:val="32"/>
      <w:szCs w:val="32"/>
    </w:rPr>
  </w:style>
  <w:style w:type="paragraph" w:styleId="Bibliography">
    <w:name w:val="Bibliography"/>
    <w:basedOn w:val="Normal"/>
    <w:next w:val="Normal"/>
    <w:uiPriority w:val="37"/>
    <w:unhideWhenUsed/>
    <w:rsid w:val="008A621F"/>
    <w:pPr>
      <w:keepLines/>
      <w:ind w:left="360" w:hanging="360"/>
    </w:pPr>
  </w:style>
  <w:style w:type="paragraph" w:styleId="NormalWeb">
    <w:name w:val="Normal (Web)"/>
    <w:basedOn w:val="Normal"/>
    <w:uiPriority w:val="99"/>
    <w:unhideWhenUsed/>
    <w:rsid w:val="00527D7D"/>
    <w:pPr>
      <w:spacing w:before="100" w:beforeAutospacing="1" w:after="100" w:afterAutospacing="1"/>
    </w:pPr>
    <w:rPr>
      <w:sz w:val="24"/>
      <w:szCs w:val="24"/>
    </w:rPr>
  </w:style>
  <w:style w:type="paragraph" w:customStyle="1" w:styleId="ExhibitText">
    <w:name w:val="Exhibit Text"/>
    <w:basedOn w:val="TableText"/>
    <w:qFormat/>
    <w:rsid w:val="00527D7D"/>
    <w:pPr>
      <w:spacing w:line="264" w:lineRule="auto"/>
    </w:pPr>
    <w:rPr>
      <w:rFonts w:cs="Arial"/>
      <w:bCs/>
      <w:color w:val="000000"/>
    </w:rPr>
  </w:style>
  <w:style w:type="paragraph" w:customStyle="1" w:styleId="ExhibitColumnHeader">
    <w:name w:val="Exhibit Column Header"/>
    <w:basedOn w:val="Normal"/>
    <w:qFormat/>
    <w:rsid w:val="00527D7D"/>
    <w:pPr>
      <w:spacing w:before="20" w:after="20" w:line="264" w:lineRule="auto"/>
      <w:jc w:val="center"/>
    </w:pPr>
    <w:rPr>
      <w:rFonts w:ascii="Arial Narrow" w:hAnsi="Arial Narrow" w:cs="Arial"/>
      <w:b/>
      <w:color w:val="000000" w:themeColor="text1"/>
      <w:sz w:val="20"/>
    </w:rPr>
  </w:style>
  <w:style w:type="paragraph" w:customStyle="1" w:styleId="ExhibitBullet1">
    <w:name w:val="Exhibit Bullet1"/>
    <w:basedOn w:val="ListParagraph"/>
    <w:qFormat/>
    <w:rsid w:val="00527D7D"/>
    <w:pPr>
      <w:numPr>
        <w:numId w:val="9"/>
      </w:numPr>
      <w:tabs>
        <w:tab w:val="num" w:pos="1080"/>
      </w:tabs>
      <w:spacing w:before="20" w:after="20" w:line="264" w:lineRule="auto"/>
      <w:ind w:left="187" w:hanging="187"/>
      <w:contextualSpacing w:val="0"/>
    </w:pPr>
    <w:rPr>
      <w:rFonts w:ascii="Arial Narrow" w:eastAsia="Times New Roman" w:hAnsi="Arial Narrow" w:cs="Times New Roman"/>
      <w:spacing w:val="-4"/>
      <w:sz w:val="20"/>
      <w:szCs w:val="20"/>
    </w:rPr>
  </w:style>
  <w:style w:type="table" w:customStyle="1" w:styleId="FMLA-OMB">
    <w:name w:val="FMLA-OMB"/>
    <w:basedOn w:val="TableNormal"/>
    <w:uiPriority w:val="99"/>
    <w:rsid w:val="00527D7D"/>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789D4A" w:themeFill="accent4"/>
        <w:vAlign w:val="bottom"/>
      </w:tcPr>
    </w:tblStylePr>
    <w:tblStylePr w:type="band2Horz">
      <w:tblPr/>
      <w:tcPr>
        <w:shd w:val="clear" w:color="auto" w:fill="F9D2D0" w:themeFill="text2" w:themeFillTint="33"/>
      </w:tcPr>
    </w:tblStylePr>
  </w:style>
  <w:style w:type="paragraph" w:customStyle="1" w:styleId="Exhibit">
    <w:name w:val="Exhibit"/>
    <w:basedOn w:val="Normal"/>
    <w:rsid w:val="00527D7D"/>
    <w:pPr>
      <w:spacing w:after="0" w:line="264" w:lineRule="auto"/>
    </w:pPr>
    <w:rPr>
      <w:rFonts w:ascii="Arial" w:hAnsi="Arial"/>
      <w:sz w:val="18"/>
    </w:rPr>
  </w:style>
  <w:style w:type="paragraph" w:customStyle="1" w:styleId="Exhibit-R">
    <w:name w:val="Exhibit-R"/>
    <w:basedOn w:val="Exhibit"/>
    <w:qFormat/>
    <w:rsid w:val="00527D7D"/>
    <w:pPr>
      <w:jc w:val="right"/>
    </w:pPr>
    <w:rPr>
      <w:rFonts w:cs="Arial"/>
      <w:color w:val="1F497D"/>
      <w:szCs w:val="18"/>
    </w:rPr>
  </w:style>
  <w:style w:type="character" w:styleId="FollowedHyperlink">
    <w:name w:val="FollowedHyperlink"/>
    <w:basedOn w:val="DefaultParagraphFont"/>
    <w:semiHidden/>
    <w:unhideWhenUsed/>
    <w:rsid w:val="00527D7D"/>
    <w:rPr>
      <w:color w:val="800080" w:themeColor="followedHyperlink"/>
      <w:u w:val="single"/>
    </w:rPr>
  </w:style>
  <w:style w:type="paragraph" w:customStyle="1" w:styleId="Exhibit-Left-Ind">
    <w:name w:val="Exhibit-Left-Ind"/>
    <w:basedOn w:val="Exhibit"/>
    <w:qFormat/>
    <w:rsid w:val="00527D7D"/>
    <w:pPr>
      <w:ind w:left="216"/>
    </w:pPr>
    <w:rPr>
      <w:szCs w:val="22"/>
    </w:rPr>
  </w:style>
  <w:style w:type="paragraph" w:customStyle="1" w:styleId="Call-OutBoxTextHeader">
    <w:name w:val="Call-Out Box Text Header"/>
    <w:basedOn w:val="NoSpacing"/>
    <w:qFormat/>
    <w:rsid w:val="00527D7D"/>
    <w:pPr>
      <w:spacing w:after="120"/>
      <w:ind w:left="180" w:right="204"/>
      <w:jc w:val="center"/>
    </w:pPr>
    <w:rPr>
      <w:rFonts w:ascii="Arial" w:eastAsiaTheme="minorHAnsi" w:hAnsi="Arial" w:cs="Arial"/>
      <w:b/>
      <w:color w:val="DA291C"/>
      <w:sz w:val="20"/>
      <w:szCs w:val="22"/>
    </w:rPr>
  </w:style>
  <w:style w:type="paragraph" w:styleId="NoSpacing">
    <w:name w:val="No Spacing"/>
    <w:uiPriority w:val="1"/>
    <w:qFormat/>
    <w:rsid w:val="00527D7D"/>
    <w:rPr>
      <w:sz w:val="22"/>
    </w:rPr>
  </w:style>
  <w:style w:type="paragraph" w:customStyle="1" w:styleId="ExhibitBullet">
    <w:name w:val="Exhibit Bullet"/>
    <w:basedOn w:val="ExhibitText"/>
    <w:qFormat/>
    <w:rsid w:val="00527D7D"/>
    <w:pPr>
      <w:numPr>
        <w:numId w:val="13"/>
      </w:numPr>
      <w:spacing w:before="40" w:after="120" w:line="240" w:lineRule="auto"/>
      <w:ind w:left="360"/>
    </w:pPr>
    <w:rPr>
      <w:rFonts w:ascii="Arial" w:hAnsi="Arial"/>
      <w:sz w:val="18"/>
    </w:rPr>
  </w:style>
  <w:style w:type="paragraph" w:customStyle="1" w:styleId="SBDefault">
    <w:name w:val="SBDefault"/>
    <w:basedOn w:val="NoSpacing"/>
    <w:link w:val="SBDefaultChar"/>
    <w:qFormat/>
    <w:rsid w:val="003822E1"/>
    <w:rPr>
      <w:rFonts w:eastAsiaTheme="minorHAnsi"/>
      <w:sz w:val="24"/>
      <w:szCs w:val="24"/>
    </w:rPr>
  </w:style>
  <w:style w:type="character" w:customStyle="1" w:styleId="SBDefaultChar">
    <w:name w:val="SBDefault Char"/>
    <w:basedOn w:val="DefaultParagraphFont"/>
    <w:link w:val="SBDefault"/>
    <w:rsid w:val="003822E1"/>
    <w:rPr>
      <w:rFonts w:eastAsiaTheme="minorHAnsi"/>
      <w:sz w:val="24"/>
      <w:szCs w:val="24"/>
    </w:rPr>
  </w:style>
  <w:style w:type="paragraph" w:styleId="Revision">
    <w:name w:val="Revision"/>
    <w:hidden/>
    <w:uiPriority w:val="99"/>
    <w:semiHidden/>
    <w:rsid w:val="00EE5155"/>
    <w:rPr>
      <w:sz w:val="22"/>
    </w:rPr>
  </w:style>
  <w:style w:type="paragraph" w:customStyle="1" w:styleId="Finding">
    <w:name w:val="Finding"/>
    <w:basedOn w:val="BodyText"/>
    <w:next w:val="BodyText"/>
    <w:qFormat/>
    <w:rsid w:val="000B61A7"/>
    <w:pPr>
      <w:keepNext/>
      <w:keepLines/>
      <w:numPr>
        <w:numId w:val="15"/>
      </w:numPr>
    </w:pPr>
    <w:rPr>
      <w:b/>
      <w:i/>
      <w:color w:val="DA291C" w:themeColor="text2"/>
      <w:lang w:val="en-US"/>
    </w:rPr>
  </w:style>
  <w:style w:type="paragraph" w:customStyle="1" w:styleId="Tablebullet">
    <w:name w:val="Table bullet"/>
    <w:basedOn w:val="TableTextCentered"/>
    <w:qFormat/>
    <w:rsid w:val="002B7109"/>
    <w:pPr>
      <w:numPr>
        <w:numId w:val="11"/>
      </w:numPr>
      <w:contextualSpacing/>
      <w:jc w:val="left"/>
    </w:pPr>
    <w:rPr>
      <w:szCs w:val="22"/>
    </w:rPr>
  </w:style>
  <w:style w:type="paragraph" w:styleId="TableofFigures">
    <w:name w:val="table of figures"/>
    <w:basedOn w:val="Normal"/>
    <w:next w:val="Normal"/>
    <w:uiPriority w:val="99"/>
    <w:unhideWhenUsed/>
    <w:rsid w:val="000A52D6"/>
    <w:pPr>
      <w:tabs>
        <w:tab w:val="left" w:pos="1200"/>
        <w:tab w:val="right" w:leader="dot" w:pos="9000"/>
      </w:tabs>
      <w:spacing w:after="120"/>
      <w:ind w:left="1200" w:right="720" w:hanging="1200"/>
    </w:pPr>
    <w:rPr>
      <w:rFonts w:ascii="Arial" w:eastAsiaTheme="minorEastAsia" w:hAnsi="Arial"/>
      <w:noProof/>
    </w:rPr>
  </w:style>
  <w:style w:type="paragraph" w:customStyle="1" w:styleId="Heading1ES">
    <w:name w:val="Heading 1 ES"/>
    <w:basedOn w:val="Heading1"/>
    <w:next w:val="BodyText"/>
    <w:qFormat/>
    <w:rsid w:val="00D57BF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87692">
      <w:bodyDiv w:val="1"/>
      <w:marLeft w:val="0"/>
      <w:marRight w:val="0"/>
      <w:marTop w:val="0"/>
      <w:marBottom w:val="0"/>
      <w:divBdr>
        <w:top w:val="none" w:sz="0" w:space="0" w:color="auto"/>
        <w:left w:val="none" w:sz="0" w:space="0" w:color="auto"/>
        <w:bottom w:val="none" w:sz="0" w:space="0" w:color="auto"/>
        <w:right w:val="none" w:sz="0" w:space="0" w:color="auto"/>
      </w:divBdr>
    </w:div>
    <w:div w:id="657347497">
      <w:bodyDiv w:val="1"/>
      <w:marLeft w:val="0"/>
      <w:marRight w:val="0"/>
      <w:marTop w:val="0"/>
      <w:marBottom w:val="1800"/>
      <w:divBdr>
        <w:top w:val="none" w:sz="0" w:space="0" w:color="auto"/>
        <w:left w:val="none" w:sz="0" w:space="0" w:color="auto"/>
        <w:bottom w:val="none" w:sz="0" w:space="0" w:color="auto"/>
        <w:right w:val="none" w:sz="0" w:space="0" w:color="auto"/>
      </w:divBdr>
      <w:divsChild>
        <w:div w:id="1440101814">
          <w:marLeft w:val="0"/>
          <w:marRight w:val="0"/>
          <w:marTop w:val="0"/>
          <w:marBottom w:val="0"/>
          <w:divBdr>
            <w:top w:val="none" w:sz="0" w:space="0" w:color="auto"/>
            <w:left w:val="none" w:sz="0" w:space="0" w:color="auto"/>
            <w:bottom w:val="none" w:sz="0" w:space="0" w:color="auto"/>
            <w:right w:val="none" w:sz="0" w:space="0" w:color="auto"/>
          </w:divBdr>
          <w:divsChild>
            <w:div w:id="849493669">
              <w:marLeft w:val="0"/>
              <w:marRight w:val="0"/>
              <w:marTop w:val="360"/>
              <w:marBottom w:val="330"/>
              <w:divBdr>
                <w:top w:val="none" w:sz="0" w:space="0" w:color="auto"/>
                <w:left w:val="none" w:sz="0" w:space="0" w:color="auto"/>
                <w:bottom w:val="none" w:sz="0" w:space="0" w:color="auto"/>
                <w:right w:val="none" w:sz="0" w:space="0" w:color="auto"/>
              </w:divBdr>
              <w:divsChild>
                <w:div w:id="126823485">
                  <w:marLeft w:val="0"/>
                  <w:marRight w:val="0"/>
                  <w:marTop w:val="0"/>
                  <w:marBottom w:val="0"/>
                  <w:divBdr>
                    <w:top w:val="none" w:sz="0" w:space="0" w:color="auto"/>
                    <w:left w:val="none" w:sz="0" w:space="0" w:color="auto"/>
                    <w:bottom w:val="none" w:sz="0" w:space="0" w:color="auto"/>
                    <w:right w:val="none" w:sz="0" w:space="0" w:color="auto"/>
                  </w:divBdr>
                  <w:divsChild>
                    <w:div w:id="1718431948">
                      <w:marLeft w:val="0"/>
                      <w:marRight w:val="0"/>
                      <w:marTop w:val="0"/>
                      <w:marBottom w:val="0"/>
                      <w:divBdr>
                        <w:top w:val="none" w:sz="0" w:space="0" w:color="auto"/>
                        <w:left w:val="none" w:sz="0" w:space="0" w:color="auto"/>
                        <w:bottom w:val="none" w:sz="0" w:space="0" w:color="auto"/>
                        <w:right w:val="none" w:sz="0" w:space="0" w:color="auto"/>
                      </w:divBdr>
                      <w:divsChild>
                        <w:div w:id="736245366">
                          <w:marLeft w:val="0"/>
                          <w:marRight w:val="73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4655423">
      <w:bodyDiv w:val="1"/>
      <w:marLeft w:val="0"/>
      <w:marRight w:val="0"/>
      <w:marTop w:val="0"/>
      <w:marBottom w:val="0"/>
      <w:divBdr>
        <w:top w:val="none" w:sz="0" w:space="0" w:color="auto"/>
        <w:left w:val="none" w:sz="0" w:space="0" w:color="auto"/>
        <w:bottom w:val="none" w:sz="0" w:space="0" w:color="auto"/>
        <w:right w:val="none" w:sz="0" w:space="0" w:color="auto"/>
      </w:divBdr>
    </w:div>
    <w:div w:id="1098403872">
      <w:bodyDiv w:val="1"/>
      <w:marLeft w:val="0"/>
      <w:marRight w:val="0"/>
      <w:marTop w:val="0"/>
      <w:marBottom w:val="0"/>
      <w:divBdr>
        <w:top w:val="none" w:sz="0" w:space="0" w:color="auto"/>
        <w:left w:val="none" w:sz="0" w:space="0" w:color="auto"/>
        <w:bottom w:val="none" w:sz="0" w:space="0" w:color="auto"/>
        <w:right w:val="none" w:sz="0" w:space="0" w:color="auto"/>
      </w:divBdr>
    </w:div>
    <w:div w:id="1470710765">
      <w:bodyDiv w:val="1"/>
      <w:marLeft w:val="0"/>
      <w:marRight w:val="0"/>
      <w:marTop w:val="0"/>
      <w:marBottom w:val="0"/>
      <w:divBdr>
        <w:top w:val="none" w:sz="0" w:space="0" w:color="auto"/>
        <w:left w:val="none" w:sz="0" w:space="0" w:color="auto"/>
        <w:bottom w:val="none" w:sz="0" w:space="0" w:color="auto"/>
        <w:right w:val="none" w:sz="0" w:space="0" w:color="auto"/>
      </w:divBdr>
      <w:divsChild>
        <w:div w:id="1440951591">
          <w:marLeft w:val="1152"/>
          <w:marRight w:val="0"/>
          <w:marTop w:val="0"/>
          <w:marBottom w:val="0"/>
          <w:divBdr>
            <w:top w:val="none" w:sz="0" w:space="0" w:color="auto"/>
            <w:left w:val="none" w:sz="0" w:space="0" w:color="auto"/>
            <w:bottom w:val="none" w:sz="0" w:space="0" w:color="auto"/>
            <w:right w:val="none" w:sz="0" w:space="0" w:color="auto"/>
          </w:divBdr>
        </w:div>
      </w:divsChild>
    </w:div>
    <w:div w:id="1528178199">
      <w:bodyDiv w:val="1"/>
      <w:marLeft w:val="0"/>
      <w:marRight w:val="0"/>
      <w:marTop w:val="0"/>
      <w:marBottom w:val="0"/>
      <w:divBdr>
        <w:top w:val="none" w:sz="0" w:space="0" w:color="auto"/>
        <w:left w:val="none" w:sz="0" w:space="0" w:color="auto"/>
        <w:bottom w:val="none" w:sz="0" w:space="0" w:color="auto"/>
        <w:right w:val="none" w:sz="0" w:space="0" w:color="auto"/>
      </w:divBdr>
      <w:divsChild>
        <w:div w:id="807550729">
          <w:marLeft w:val="0"/>
          <w:marRight w:val="0"/>
          <w:marTop w:val="0"/>
          <w:marBottom w:val="0"/>
          <w:divBdr>
            <w:top w:val="none" w:sz="0" w:space="0" w:color="auto"/>
            <w:left w:val="none" w:sz="0" w:space="0" w:color="auto"/>
            <w:bottom w:val="none" w:sz="0" w:space="0" w:color="auto"/>
            <w:right w:val="none" w:sz="0" w:space="0" w:color="auto"/>
          </w:divBdr>
          <w:divsChild>
            <w:div w:id="3701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7411">
      <w:bodyDiv w:val="1"/>
      <w:marLeft w:val="0"/>
      <w:marRight w:val="0"/>
      <w:marTop w:val="0"/>
      <w:marBottom w:val="0"/>
      <w:divBdr>
        <w:top w:val="none" w:sz="0" w:space="0" w:color="auto"/>
        <w:left w:val="none" w:sz="0" w:space="0" w:color="auto"/>
        <w:bottom w:val="none" w:sz="0" w:space="0" w:color="auto"/>
        <w:right w:val="none" w:sz="0" w:space="0" w:color="auto"/>
      </w:divBdr>
    </w:div>
    <w:div w:id="1774476220">
      <w:bodyDiv w:val="1"/>
      <w:marLeft w:val="0"/>
      <w:marRight w:val="0"/>
      <w:marTop w:val="0"/>
      <w:marBottom w:val="0"/>
      <w:divBdr>
        <w:top w:val="none" w:sz="0" w:space="0" w:color="auto"/>
        <w:left w:val="none" w:sz="0" w:space="0" w:color="auto"/>
        <w:bottom w:val="none" w:sz="0" w:space="0" w:color="auto"/>
        <w:right w:val="none" w:sz="0" w:space="0" w:color="auto"/>
      </w:divBdr>
      <w:divsChild>
        <w:div w:id="74402611">
          <w:marLeft w:val="547"/>
          <w:marRight w:val="0"/>
          <w:marTop w:val="115"/>
          <w:marBottom w:val="60"/>
          <w:divBdr>
            <w:top w:val="none" w:sz="0" w:space="0" w:color="auto"/>
            <w:left w:val="none" w:sz="0" w:space="0" w:color="auto"/>
            <w:bottom w:val="none" w:sz="0" w:space="0" w:color="auto"/>
            <w:right w:val="none" w:sz="0" w:space="0" w:color="auto"/>
          </w:divBdr>
        </w:div>
        <w:div w:id="287394724">
          <w:marLeft w:val="1166"/>
          <w:marRight w:val="0"/>
          <w:marTop w:val="60"/>
          <w:marBottom w:val="0"/>
          <w:divBdr>
            <w:top w:val="none" w:sz="0" w:space="0" w:color="auto"/>
            <w:left w:val="none" w:sz="0" w:space="0" w:color="auto"/>
            <w:bottom w:val="none" w:sz="0" w:space="0" w:color="auto"/>
            <w:right w:val="none" w:sz="0" w:space="0" w:color="auto"/>
          </w:divBdr>
        </w:div>
        <w:div w:id="392044640">
          <w:marLeft w:val="547"/>
          <w:marRight w:val="0"/>
          <w:marTop w:val="115"/>
          <w:marBottom w:val="0"/>
          <w:divBdr>
            <w:top w:val="none" w:sz="0" w:space="0" w:color="auto"/>
            <w:left w:val="none" w:sz="0" w:space="0" w:color="auto"/>
            <w:bottom w:val="none" w:sz="0" w:space="0" w:color="auto"/>
            <w:right w:val="none" w:sz="0" w:space="0" w:color="auto"/>
          </w:divBdr>
        </w:div>
        <w:div w:id="490677750">
          <w:marLeft w:val="1166"/>
          <w:marRight w:val="0"/>
          <w:marTop w:val="60"/>
          <w:marBottom w:val="0"/>
          <w:divBdr>
            <w:top w:val="none" w:sz="0" w:space="0" w:color="auto"/>
            <w:left w:val="none" w:sz="0" w:space="0" w:color="auto"/>
            <w:bottom w:val="none" w:sz="0" w:space="0" w:color="auto"/>
            <w:right w:val="none" w:sz="0" w:space="0" w:color="auto"/>
          </w:divBdr>
        </w:div>
        <w:div w:id="503781731">
          <w:marLeft w:val="1166"/>
          <w:marRight w:val="0"/>
          <w:marTop w:val="60"/>
          <w:marBottom w:val="0"/>
          <w:divBdr>
            <w:top w:val="none" w:sz="0" w:space="0" w:color="auto"/>
            <w:left w:val="none" w:sz="0" w:space="0" w:color="auto"/>
            <w:bottom w:val="none" w:sz="0" w:space="0" w:color="auto"/>
            <w:right w:val="none" w:sz="0" w:space="0" w:color="auto"/>
          </w:divBdr>
        </w:div>
        <w:div w:id="10821404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Abt Theme Colors">
      <a:dk1>
        <a:sysClr val="windowText" lastClr="000000"/>
      </a:dk1>
      <a:lt1>
        <a:sysClr val="window" lastClr="FFFFFF"/>
      </a:lt1>
      <a:dk2>
        <a:srgbClr val="DA291C"/>
      </a:dk2>
      <a:lt2>
        <a:srgbClr val="898D8D"/>
      </a:lt2>
      <a:accent1>
        <a:srgbClr val="48A9C5"/>
      </a:accent1>
      <a:accent2>
        <a:srgbClr val="E87722"/>
      </a:accent2>
      <a:accent3>
        <a:srgbClr val="7566A0"/>
      </a:accent3>
      <a:accent4>
        <a:srgbClr val="789D4A"/>
      </a:accent4>
      <a:accent5>
        <a:srgbClr val="E7E8E8"/>
      </a:accent5>
      <a:accent6>
        <a:srgbClr val="B7C9D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845FD-8C03-48C3-BDDC-0F5A40AB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5496</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36760</CharactersWithSpaces>
  <SharedDoc>false</SharedDoc>
  <HLinks>
    <vt:vector size="18" baseType="variant">
      <vt:variant>
        <vt:i4>1507382</vt:i4>
      </vt:variant>
      <vt:variant>
        <vt:i4>14</vt:i4>
      </vt:variant>
      <vt:variant>
        <vt:i4>0</vt:i4>
      </vt:variant>
      <vt:variant>
        <vt:i4>5</vt:i4>
      </vt:variant>
      <vt:variant>
        <vt:lpwstr/>
      </vt:variant>
      <vt:variant>
        <vt:lpwstr>_Toc245919048</vt:lpwstr>
      </vt:variant>
      <vt:variant>
        <vt:i4>1507382</vt:i4>
      </vt:variant>
      <vt:variant>
        <vt:i4>8</vt:i4>
      </vt:variant>
      <vt:variant>
        <vt:i4>0</vt:i4>
      </vt:variant>
      <vt:variant>
        <vt:i4>5</vt:i4>
      </vt:variant>
      <vt:variant>
        <vt:lpwstr/>
      </vt:variant>
      <vt:variant>
        <vt:lpwstr>_Toc245919047</vt:lpwstr>
      </vt:variant>
      <vt:variant>
        <vt:i4>1507382</vt:i4>
      </vt:variant>
      <vt:variant>
        <vt:i4>2</vt:i4>
      </vt:variant>
      <vt:variant>
        <vt:i4>0</vt:i4>
      </vt:variant>
      <vt:variant>
        <vt:i4>5</vt:i4>
      </vt:variant>
      <vt:variant>
        <vt:lpwstr/>
      </vt:variant>
      <vt:variant>
        <vt:lpwstr>_Toc245919046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2020-02-06T19:14:00Z</dcterms:created>
  <dcterms:modified xsi:type="dcterms:W3CDTF">2020-02-06T19:25:00Z</dcterms:modified>
  <cp:category/>
</cp:coreProperties>
</file>