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48D9C" w14:textId="77777777" w:rsidR="00DA15E7" w:rsidRDefault="00DA15E7" w:rsidP="00DA15E7">
      <w:pPr>
        <w:ind w:right="5150"/>
        <w:rPr>
          <w:b/>
          <w:color w:val="FFFFFF" w:themeColor="background1"/>
        </w:rPr>
      </w:pPr>
      <w:bookmarkStart w:id="0" w:name="_Toc480880082"/>
      <w:bookmarkStart w:id="1" w:name="_Toc480880730"/>
      <w:bookmarkStart w:id="2" w:name="_Toc480887094"/>
      <w:bookmarkStart w:id="3" w:name="_Toc493271400"/>
      <w:bookmarkStart w:id="4" w:name="_Toc499111880"/>
      <w:bookmarkStart w:id="5" w:name="_Toc499111988"/>
      <w:bookmarkStart w:id="6" w:name="_Toc499113874"/>
      <w:bookmarkStart w:id="7" w:name="_Toc499780463"/>
      <w:r w:rsidRPr="00DA15E7">
        <w:rPr>
          <w:b/>
          <w:color w:val="FFFFFF" w:themeColor="background1"/>
        </w:rPr>
        <w:t xml:space="preserve">Paid Leave Microsimulation </w:t>
      </w:r>
      <w:r>
        <w:rPr>
          <w:b/>
          <w:color w:val="FFFFFF" w:themeColor="background1"/>
        </w:rPr>
        <w:t>Model:</w:t>
      </w:r>
    </w:p>
    <w:p w14:paraId="74495636" w14:textId="77777777" w:rsidR="00DA15E7" w:rsidRPr="00B6009A" w:rsidRDefault="007C69CC" w:rsidP="00DA15E7">
      <w:pPr>
        <w:ind w:right="5150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R Version </w:t>
      </w:r>
      <w:r w:rsidR="00DA15E7">
        <w:rPr>
          <w:b/>
          <w:color w:val="FFFFFF" w:themeColor="background1"/>
        </w:rPr>
        <w:t>Setup and Tutorial</w:t>
      </w:r>
      <w:r w:rsidR="00DA15E7" w:rsidRPr="00B6009A">
        <w:rPr>
          <w:b/>
          <w:noProof/>
          <w:color w:val="FFFFFF" w:themeColor="background1"/>
        </w:rPr>
        <w:drawing>
          <wp:anchor distT="0" distB="0" distL="0" distR="0" simplePos="0" relativeHeight="251660288" behindDoc="1" locked="0" layoutInCell="1" allowOverlap="1" wp14:anchorId="469754BB" wp14:editId="369A73A9">
            <wp:simplePos x="0" y="0"/>
            <wp:positionH relativeFrom="page">
              <wp:posOffset>3619</wp:posOffset>
            </wp:positionH>
            <wp:positionV relativeFrom="page">
              <wp:posOffset>1513</wp:posOffset>
            </wp:positionV>
            <wp:extent cx="7765153" cy="10054162"/>
            <wp:effectExtent l="0" t="0" r="7620" b="4445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5153" cy="1005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C7D4CD4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</w:rPr>
      </w:pPr>
    </w:p>
    <w:p w14:paraId="2DF93A8E" w14:textId="77777777" w:rsidR="00DA15E7" w:rsidRPr="00B6009A" w:rsidRDefault="00DA15E7" w:rsidP="00DA15E7">
      <w:pPr>
        <w:spacing w:before="24"/>
        <w:rPr>
          <w:color w:val="FFFFFF"/>
        </w:rPr>
      </w:pPr>
      <w:r w:rsidRPr="00B6009A">
        <w:rPr>
          <w:color w:val="FFFFFF"/>
        </w:rPr>
        <w:t>Draft</w:t>
      </w:r>
    </w:p>
    <w:p w14:paraId="4D4835BF" w14:textId="77777777" w:rsidR="00162EAA" w:rsidRDefault="00162EAA" w:rsidP="00DA15E7">
      <w:pPr>
        <w:spacing w:before="24"/>
        <w:rPr>
          <w:color w:val="FFFFFF"/>
        </w:rPr>
      </w:pPr>
    </w:p>
    <w:p w14:paraId="6642CA42" w14:textId="77777777" w:rsidR="00DA15E7" w:rsidRPr="00B6009A" w:rsidRDefault="00162EAA" w:rsidP="00DA15E7">
      <w:pPr>
        <w:spacing w:before="24"/>
        <w:sectPr w:rsidR="00DA15E7" w:rsidRPr="00B6009A" w:rsidSect="006904E8">
          <w:footerReference w:type="default" r:id="rId8"/>
          <w:pgSz w:w="12240" w:h="15840"/>
          <w:pgMar w:top="760" w:right="1720" w:bottom="280" w:left="960" w:header="720" w:footer="720" w:gutter="0"/>
          <w:cols w:space="720"/>
        </w:sectPr>
      </w:pPr>
      <w:r>
        <w:rPr>
          <w:color w:val="FFFFFF"/>
        </w:rPr>
        <w:t>October 31, 2019</w:t>
      </w:r>
    </w:p>
    <w:p w14:paraId="2B563911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  <w:sz w:val="20"/>
        </w:rPr>
      </w:pPr>
      <w:r w:rsidRPr="00B6009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53D92F" wp14:editId="51BFC228">
                <wp:simplePos x="0" y="0"/>
                <wp:positionH relativeFrom="page">
                  <wp:posOffset>0</wp:posOffset>
                </wp:positionH>
                <wp:positionV relativeFrom="page">
                  <wp:posOffset>9906000</wp:posOffset>
                </wp:positionV>
                <wp:extent cx="7772400" cy="152400"/>
                <wp:effectExtent l="0" t="0" r="0" b="0"/>
                <wp:wrapNone/>
                <wp:docPr id="25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52400"/>
                        </a:xfrm>
                        <a:prstGeom prst="rect">
                          <a:avLst/>
                        </a:prstGeom>
                        <a:solidFill>
                          <a:srgbClr val="8114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77FF52" id="Rectangle 121" o:spid="_x0000_s1026" style="position:absolute;margin-left:0;margin-top:780pt;width:612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" fillcolor="#811427" stroked="f">
                <w10:wrap anchorx="page" anchory="page"/>
              </v:rect>
            </w:pict>
          </mc:Fallback>
        </mc:AlternateContent>
      </w:r>
      <w:r w:rsidRPr="00B6009A">
        <w:rPr>
          <w:rFonts w:ascii="Times New Roman" w:hAnsi="Times New Roman" w:cs="Times New Roman"/>
          <w:sz w:val="20"/>
        </w:rPr>
        <w:t xml:space="preserve">   </w:t>
      </w:r>
      <w:r w:rsidRPr="00B6009A">
        <w:rPr>
          <w:rFonts w:ascii="Times New Roman" w:hAnsi="Times New Roman" w:cs="Times New Roman"/>
          <w:noProof/>
        </w:rPr>
        <w:drawing>
          <wp:inline distT="0" distB="0" distL="0" distR="0" wp14:anchorId="44884974" wp14:editId="3B76C793">
            <wp:extent cx="2385488" cy="7085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AQ_Logo_adjusted_full_siz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05" cy="7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1B04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  <w:sz w:val="16"/>
        </w:rPr>
      </w:pPr>
    </w:p>
    <w:p w14:paraId="6E913A1F" w14:textId="77777777" w:rsidR="00DA15E7" w:rsidRPr="00B6009A" w:rsidRDefault="00DA15E7" w:rsidP="00DA15E7">
      <w:pPr>
        <w:pStyle w:val="BodyText"/>
        <w:spacing w:line="80" w:lineRule="exact"/>
        <w:rPr>
          <w:rFonts w:ascii="Times New Roman" w:hAnsi="Times New Roman" w:cs="Times New Roman"/>
          <w:sz w:val="8"/>
        </w:rPr>
      </w:pPr>
      <w:r w:rsidRPr="00B6009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6D32379" wp14:editId="7D04C753">
                <wp:extent cx="6451600" cy="50800"/>
                <wp:effectExtent l="0" t="0" r="6350" b="6350"/>
                <wp:docPr id="26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1600" cy="50800"/>
                          <a:chOff x="0" y="0"/>
                          <a:chExt cx="10160" cy="80"/>
                        </a:xfrm>
                      </wpg:grpSpPr>
                      <wps:wsp>
                        <wps:cNvPr id="27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0" y="4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81142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99F5914" id="Group 119" o:spid="_x0000_s1026" style="width:508pt;height:4pt;mso-position-horizontal-relative:char;mso-position-vertical-relative:line" coordsize="1016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">
                <v:line id="Line 120" o:spid="_x0000_s1027" style="position:absolute;visibility:visible;mso-wrap-style:square" from="40,40" to="10120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" strokecolor="#811427" strokeweight="4pt"/>
                <w10:anchorlock/>
              </v:group>
            </w:pict>
          </mc:Fallback>
        </mc:AlternateContent>
      </w:r>
    </w:p>
    <w:p w14:paraId="546FB703" w14:textId="77777777" w:rsidR="00DA15E7" w:rsidRPr="00B6009A" w:rsidRDefault="00DA15E7" w:rsidP="00DA15E7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p w14:paraId="5CCCE2C0" w14:textId="77777777" w:rsidR="00DA15E7" w:rsidRPr="00B6009A" w:rsidRDefault="00DA15E7" w:rsidP="00DA15E7">
      <w:pPr>
        <w:pStyle w:val="BodyText"/>
        <w:ind w:right="144"/>
        <w:jc w:val="right"/>
        <w:rPr>
          <w:rFonts w:ascii="Times New Roman" w:hAnsi="Times New Roman" w:cs="Times New Roman"/>
        </w:rPr>
      </w:pPr>
      <w:r w:rsidRPr="00B6009A">
        <w:rPr>
          <w:rFonts w:ascii="Times New Roman" w:hAnsi="Times New Roman" w:cs="Times New Roman"/>
        </w:rPr>
        <w:t xml:space="preserve"> </w:t>
      </w:r>
    </w:p>
    <w:p w14:paraId="3B23D8D6" w14:textId="77777777" w:rsidR="00DA15E7" w:rsidRPr="00B6009A" w:rsidRDefault="00DA15E7" w:rsidP="00DA15E7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14:paraId="69425199" w14:textId="77777777" w:rsidR="00DA15E7" w:rsidRDefault="00DA15E7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>Paid Leave Microsimulation M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odel: </w:t>
      </w:r>
    </w:p>
    <w:p w14:paraId="30413BD7" w14:textId="77777777" w:rsidR="00162EAA" w:rsidRPr="00B6009A" w:rsidRDefault="007C69CC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R Version 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>Setup and Tutorial</w:t>
      </w:r>
    </w:p>
    <w:p w14:paraId="51A1781A" w14:textId="77777777" w:rsidR="00DA15E7" w:rsidRPr="00B6009A" w:rsidRDefault="00DA15E7" w:rsidP="00DA15E7">
      <w:pPr>
        <w:pStyle w:val="BodyText"/>
        <w:ind w:right="139"/>
        <w:jc w:val="right"/>
        <w:rPr>
          <w:rFonts w:ascii="Times New Roman" w:hAnsi="Times New Roman" w:cs="Times New Roman"/>
        </w:rPr>
      </w:pPr>
    </w:p>
    <w:p w14:paraId="3A8964D9" w14:textId="77777777" w:rsidR="00162EAA" w:rsidRPr="00162EAA" w:rsidRDefault="00162EAA" w:rsidP="00162EAA">
      <w:pPr>
        <w:jc w:val="right"/>
        <w:rPr>
          <w:rFonts w:eastAsia="Arial"/>
        </w:rPr>
      </w:pPr>
      <w:r w:rsidRPr="00162EAA">
        <w:rPr>
          <w:rFonts w:eastAsia="Arial"/>
        </w:rPr>
        <w:t>Draft</w:t>
      </w:r>
    </w:p>
    <w:p w14:paraId="43EEA5C9" w14:textId="77777777" w:rsidR="00162EAA" w:rsidRPr="00162EAA" w:rsidRDefault="00162EAA" w:rsidP="00162EAA">
      <w:pPr>
        <w:jc w:val="right"/>
        <w:rPr>
          <w:rFonts w:eastAsia="Arial"/>
        </w:rPr>
      </w:pPr>
    </w:p>
    <w:p w14:paraId="355AD867" w14:textId="77777777" w:rsidR="00196B77" w:rsidRDefault="00162EAA" w:rsidP="00162EAA">
      <w:pPr>
        <w:jc w:val="right"/>
        <w:rPr>
          <w:rFonts w:eastAsia="Arial"/>
        </w:rPr>
      </w:pPr>
      <w:r w:rsidRPr="00162EAA">
        <w:rPr>
          <w:rFonts w:eastAsia="Arial"/>
        </w:rPr>
        <w:t>October 31, 2019</w:t>
      </w:r>
    </w:p>
    <w:p w14:paraId="792CACB9" w14:textId="77777777" w:rsidR="00196B77" w:rsidRDefault="00196B77">
      <w:pPr>
        <w:spacing w:after="160" w:line="259" w:lineRule="auto"/>
        <w:jc w:val="left"/>
        <w:rPr>
          <w:rFonts w:eastAsia="Arial"/>
        </w:rPr>
      </w:pPr>
      <w:r>
        <w:rPr>
          <w:rFonts w:eastAsia="Arial"/>
        </w:rPr>
        <w:br w:type="page"/>
      </w:r>
    </w:p>
    <w:p w14:paraId="41EB3615" w14:textId="77777777" w:rsidR="00196B77" w:rsidRPr="00B6009A" w:rsidRDefault="00196B77" w:rsidP="00196B77">
      <w:pPr>
        <w:pBdr>
          <w:bottom w:val="single" w:sz="4" w:space="1" w:color="6C0000"/>
        </w:pBdr>
        <w:jc w:val="center"/>
        <w:rPr>
          <w:b/>
          <w:caps/>
          <w:color w:val="6C0000"/>
          <w:sz w:val="32"/>
          <w:szCs w:val="32"/>
        </w:rPr>
      </w:pPr>
      <w:r>
        <w:rPr>
          <w:b/>
          <w:caps/>
          <w:color w:val="6C0000"/>
          <w:sz w:val="32"/>
          <w:szCs w:val="32"/>
        </w:rPr>
        <w:lastRenderedPageBreak/>
        <w:t xml:space="preserve">Paid Leave Microsimulation Model – R </w:t>
      </w:r>
      <w:r w:rsidR="001C30DA">
        <w:rPr>
          <w:b/>
          <w:caps/>
          <w:color w:val="6C0000"/>
          <w:sz w:val="32"/>
          <w:szCs w:val="32"/>
        </w:rPr>
        <w:t>Version</w:t>
      </w:r>
    </w:p>
    <w:p w14:paraId="7786ADA6" w14:textId="77777777" w:rsidR="004121A0" w:rsidRDefault="004121A0" w:rsidP="00196B77">
      <w:pPr>
        <w:jc w:val="left"/>
      </w:pPr>
    </w:p>
    <w:p w14:paraId="04C0BA56" w14:textId="77777777" w:rsidR="00196B77" w:rsidRDefault="00196B77" w:rsidP="00196B77">
      <w:pPr>
        <w:jc w:val="left"/>
      </w:pPr>
      <w:r>
        <w:t>The purpose of this document</w:t>
      </w:r>
      <w:r w:rsidR="001C30DA">
        <w:t xml:space="preserve"> is to provide users</w:t>
      </w:r>
      <w:r w:rsidR="00EF1FBD">
        <w:t xml:space="preserve"> a guide to setup and basic use of the R version of the IMPAQ </w:t>
      </w:r>
      <w:r w:rsidR="00EF1FBD" w:rsidRPr="00EF1FBD">
        <w:t>Paid Leave Microsimulation Model</w:t>
      </w:r>
      <w:r w:rsidR="00EF1FBD">
        <w:t>.</w:t>
      </w:r>
      <w:r w:rsidR="009A597E">
        <w:t xml:space="preserve"> For full details on the use, capabilities, and methodology of the model, see the accompanying </w:t>
      </w:r>
      <w:r w:rsidR="009A597E" w:rsidRPr="009A597E">
        <w:t>Paid Leave Microsimulation Model Documentation</w:t>
      </w:r>
      <w:r w:rsidR="009A597E">
        <w:t xml:space="preserve"> document. </w:t>
      </w:r>
    </w:p>
    <w:p w14:paraId="70B9209F" w14:textId="77777777" w:rsidR="0039637E" w:rsidRDefault="0039637E" w:rsidP="00196B77">
      <w:pPr>
        <w:jc w:val="left"/>
      </w:pPr>
    </w:p>
    <w:p w14:paraId="09257A7D" w14:textId="77777777" w:rsidR="0039637E" w:rsidRDefault="00B27F64" w:rsidP="00196B77">
      <w:pPr>
        <w:jc w:val="left"/>
      </w:pPr>
      <w:r>
        <w:t>Currently, the Graphical User Interface (GUI) is functional only with the Python model. For users unfamiliar with programming or technical aspects of simulation modeling, we suggest using the Python GUI as a more</w:t>
      </w:r>
      <w:r w:rsidR="00702F02">
        <w:t xml:space="preserve"> accessible way of </w:t>
      </w:r>
      <w:r w:rsidR="00B669E2">
        <w:t>using</w:t>
      </w:r>
      <w:r w:rsidR="00702F02">
        <w:t xml:space="preserve"> th</w:t>
      </w:r>
      <w:r w:rsidR="001D1A84">
        <w:t>e</w:t>
      </w:r>
      <w:r w:rsidR="00702F02">
        <w:t xml:space="preserve"> draft version of the</w:t>
      </w:r>
      <w:r>
        <w:t xml:space="preserve"> model. </w:t>
      </w:r>
      <w:r w:rsidR="00B4699C">
        <w:t>This tutorial is currently targeted toward those experienced with R programing. In the final draft of the microsimulation model, the GUI will be functional with both Python and R model versions, and the final version of this tutorial will be revised accordingly.</w:t>
      </w:r>
    </w:p>
    <w:p w14:paraId="7DD8B14C" w14:textId="77777777" w:rsidR="007F4CE1" w:rsidRDefault="007F4CE1" w:rsidP="00196B77">
      <w:pPr>
        <w:jc w:val="left"/>
      </w:pPr>
    </w:p>
    <w:p w14:paraId="7D16B108" w14:textId="77777777" w:rsidR="007F4CE1" w:rsidRDefault="007F4CE1" w:rsidP="007F4CE1">
      <w:pPr>
        <w:pStyle w:val="Heading2"/>
      </w:pPr>
      <w:bookmarkStart w:id="8" w:name="_Toc21960331"/>
      <w:r>
        <w:t>1.</w:t>
      </w:r>
      <w:r>
        <w:tab/>
      </w:r>
      <w:bookmarkEnd w:id="8"/>
      <w:r w:rsidR="00FC2566">
        <w:t>Setup</w:t>
      </w:r>
    </w:p>
    <w:p w14:paraId="6A928CFE" w14:textId="77777777" w:rsidR="007F4CE1" w:rsidRPr="007F4CE1" w:rsidRDefault="007F4CE1" w:rsidP="007F4CE1"/>
    <w:p w14:paraId="1990348D" w14:textId="35565563" w:rsidR="009D6D8D" w:rsidRDefault="00A41613" w:rsidP="009D6D8D">
      <w:r>
        <w:t>The R model was built</w:t>
      </w:r>
      <w:r w:rsidR="00FC2566">
        <w:t xml:space="preserve"> with R version 3.6.1 and RStudio 1.2.1335.</w:t>
      </w:r>
      <w:r w:rsidR="009D6D8D">
        <w:t xml:space="preserve"> Both are required to run this model.</w:t>
      </w:r>
    </w:p>
    <w:p w14:paraId="50AEBAE3" w14:textId="77777777" w:rsidR="009D6D8D" w:rsidRDefault="009D6D8D" w:rsidP="009D6D8D"/>
    <w:p w14:paraId="26FD0FCF" w14:textId="5A4482E3" w:rsidR="009D6D8D" w:rsidRPr="009D6D8D" w:rsidRDefault="009D6D8D" w:rsidP="009D6D8D">
      <w:pPr>
        <w:rPr>
          <w:b/>
          <w:bCs/>
        </w:rPr>
      </w:pPr>
      <w:r w:rsidRPr="009D6D8D">
        <w:rPr>
          <w:b/>
          <w:bCs/>
        </w:rPr>
        <w:t>To Install R</w:t>
      </w:r>
    </w:p>
    <w:p w14:paraId="55543377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Open an internet browser and go to www.r-project.org.</w:t>
      </w:r>
    </w:p>
    <w:p w14:paraId="1A475012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the "download R" link in the middle of the page under "Getting Started."</w:t>
      </w:r>
    </w:p>
    <w:p w14:paraId="3CD79556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Select a CRAN location (a mirror site) and click the corresponding link.</w:t>
      </w:r>
    </w:p>
    <w:p w14:paraId="3588D311" w14:textId="6A0D2874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 xml:space="preserve">Click on the "Download R for </w:t>
      </w:r>
      <w:r w:rsidR="0041490D">
        <w:rPr>
          <w:rFonts w:ascii="Times New Roman" w:hAnsi="Times New Roman" w:cs="Times New Roman"/>
        </w:rPr>
        <w:t>[your operating system]</w:t>
      </w:r>
      <w:r w:rsidRPr="009D6D8D">
        <w:rPr>
          <w:rFonts w:ascii="Times New Roman" w:hAnsi="Times New Roman" w:cs="Times New Roman"/>
        </w:rPr>
        <w:t>" link at the top of the page.</w:t>
      </w:r>
    </w:p>
    <w:p w14:paraId="5D16104F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the file containing the latest version of R under "Files."</w:t>
      </w:r>
    </w:p>
    <w:p w14:paraId="327C9E70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Save the .pkg file, double-click it to open, and follow the installation instructions.</w:t>
      </w:r>
    </w:p>
    <w:p w14:paraId="71D6EC33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Now that R is installed, you need to download and install RStudio.</w:t>
      </w:r>
    </w:p>
    <w:p w14:paraId="5D306599" w14:textId="77777777" w:rsidR="009D6D8D" w:rsidRPr="009D6D8D" w:rsidRDefault="009D6D8D" w:rsidP="009D6D8D">
      <w:pPr>
        <w:rPr>
          <w:b/>
          <w:bCs/>
        </w:rPr>
      </w:pPr>
      <w:r w:rsidRPr="009D6D8D">
        <w:rPr>
          <w:b/>
          <w:bCs/>
        </w:rPr>
        <w:t>To Install RStudio</w:t>
      </w:r>
    </w:p>
    <w:p w14:paraId="24B68F34" w14:textId="77777777" w:rsidR="009D6D8D" w:rsidRPr="009D6D8D" w:rsidRDefault="009D6D8D" w:rsidP="009D6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Go to www.rstudio.com and click on the "Download RStudio" button.</w:t>
      </w:r>
    </w:p>
    <w:p w14:paraId="0AA07198" w14:textId="77777777" w:rsidR="009D6D8D" w:rsidRPr="009D6D8D" w:rsidRDefault="009D6D8D" w:rsidP="009D6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"Download RStudio Desktop."</w:t>
      </w:r>
    </w:p>
    <w:p w14:paraId="63A5D3EC" w14:textId="15D5D3B8" w:rsidR="00570CC3" w:rsidRPr="006904E8" w:rsidRDefault="009D6D8D" w:rsidP="00196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the version recommended for your system, save the .dmg file on your computer, double-click it to open, and then drag and drop it to your applications folder.</w:t>
      </w:r>
    </w:p>
    <w:p w14:paraId="6BBFE8E9" w14:textId="1AC61190" w:rsidR="000626C4" w:rsidRPr="009D6D8D" w:rsidRDefault="00570CC3" w:rsidP="00196B77">
      <w:pPr>
        <w:jc w:val="left"/>
      </w:pPr>
      <w:r w:rsidRPr="009D6D8D">
        <w:t xml:space="preserve">All model files and folders can be found in the zip file </w:t>
      </w:r>
      <w:r w:rsidR="00501777" w:rsidRPr="00501777">
        <w:t>01312020_R_Microsim_Model</w:t>
      </w:r>
      <w:r w:rsidRPr="009D6D8D">
        <w:t>.zip. First, unzip this file to a folder in your local drive.</w:t>
      </w:r>
      <w:r w:rsidR="00CF54BA" w:rsidRPr="009D6D8D">
        <w:t xml:space="preserve"> Then, open RStudio, and open the project file: “</w:t>
      </w:r>
      <w:proofErr w:type="spellStart"/>
      <w:r w:rsidR="00CF54BA" w:rsidRPr="009D6D8D">
        <w:t>microsim_R.Rproj</w:t>
      </w:r>
      <w:proofErr w:type="spellEnd"/>
      <w:r w:rsidR="00CF54BA" w:rsidRPr="009D6D8D">
        <w:t xml:space="preserve">”. Open </w:t>
      </w:r>
      <w:proofErr w:type="spellStart"/>
      <w:r w:rsidR="00501777">
        <w:t>TEST_Execution.R</w:t>
      </w:r>
      <w:proofErr w:type="spellEnd"/>
      <w:r w:rsidR="00CF54BA" w:rsidRPr="009D6D8D">
        <w:t xml:space="preserve">, and run it to test that the model successfully executes without errors. </w:t>
      </w:r>
      <w:r w:rsidR="000626C4" w:rsidRPr="009D6D8D">
        <w:t xml:space="preserve">The model uses a number of external libraries, listed below in Exhibit 1. </w:t>
      </w:r>
      <w:r w:rsidR="002811DB" w:rsidRPr="009D6D8D">
        <w:t xml:space="preserve">These libraries should be automatically installed when the main function, </w:t>
      </w:r>
      <w:proofErr w:type="spellStart"/>
      <w:r w:rsidR="002811DB" w:rsidRPr="009D6D8D">
        <w:t>policy_</w:t>
      </w:r>
      <w:proofErr w:type="gramStart"/>
      <w:r w:rsidR="002811DB" w:rsidRPr="009D6D8D">
        <w:t>simulation</w:t>
      </w:r>
      <w:proofErr w:type="spellEnd"/>
      <w:r w:rsidR="002811DB" w:rsidRPr="009D6D8D">
        <w:t>(</w:t>
      </w:r>
      <w:proofErr w:type="gramEnd"/>
      <w:r w:rsidR="002811DB" w:rsidRPr="009D6D8D">
        <w:t xml:space="preserve">), is called. </w:t>
      </w:r>
      <w:r w:rsidR="00435CB3" w:rsidRPr="009D6D8D">
        <w:t>Please note that when first running this, installation may take several minutes.</w:t>
      </w:r>
      <w:r w:rsidR="00682F08" w:rsidRPr="009D6D8D">
        <w:t xml:space="preserve"> </w:t>
      </w:r>
    </w:p>
    <w:p w14:paraId="3C572D3A" w14:textId="77777777" w:rsidR="000626C4" w:rsidRDefault="000626C4" w:rsidP="00196B77">
      <w:pPr>
        <w:jc w:val="left"/>
      </w:pPr>
    </w:p>
    <w:p w14:paraId="776EEA33" w14:textId="77777777" w:rsidR="000626C4" w:rsidRDefault="000626C4" w:rsidP="000626C4">
      <w:pPr>
        <w:jc w:val="center"/>
        <w:rPr>
          <w:b/>
        </w:rPr>
      </w:pPr>
      <w:r>
        <w:rPr>
          <w:b/>
        </w:rPr>
        <w:t>Exhibit 1. Library Dependencies</w:t>
      </w:r>
    </w:p>
    <w:p w14:paraId="751BA873" w14:textId="77777777" w:rsidR="002811DB" w:rsidRPr="000626C4" w:rsidRDefault="002811DB" w:rsidP="000626C4">
      <w:pPr>
        <w:jc w:val="center"/>
        <w:rPr>
          <w:b/>
        </w:rPr>
      </w:pPr>
    </w:p>
    <w:tbl>
      <w:tblPr>
        <w:tblW w:w="9504" w:type="dxa"/>
        <w:tblLook w:val="04A0" w:firstRow="1" w:lastRow="0" w:firstColumn="1" w:lastColumn="0" w:noHBand="0" w:noVBand="1"/>
      </w:tblPr>
      <w:tblGrid>
        <w:gridCol w:w="1439"/>
        <w:gridCol w:w="1162"/>
        <w:gridCol w:w="6903"/>
      </w:tblGrid>
      <w:tr w:rsidR="000626C4" w:rsidRPr="002811DB" w14:paraId="262F0E27" w14:textId="77777777" w:rsidTr="0058046A">
        <w:trPr>
          <w:trHeight w:val="268"/>
          <w:tblHeader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11A42C8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Library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2780C800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12857D92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Model’s Use of Library</w:t>
            </w:r>
          </w:p>
        </w:tc>
      </w:tr>
      <w:tr w:rsidR="000626C4" w:rsidRPr="002811DB" w14:paraId="46AF074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763EA5E9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stats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5C6FE13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B20DC44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analysis; u</w:t>
            </w:r>
            <w:r w:rsidRPr="002811DB">
              <w:rPr>
                <w:sz w:val="20"/>
                <w:szCs w:val="20"/>
              </w:rPr>
              <w:t>sed for logit regression</w:t>
            </w:r>
          </w:p>
        </w:tc>
      </w:tr>
      <w:tr w:rsidR="000626C4" w:rsidRPr="002811DB" w14:paraId="1F591E77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43B6075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rlist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3943FCA1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003F818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list manipulation</w:t>
            </w:r>
          </w:p>
        </w:tc>
      </w:tr>
      <w:tr w:rsidR="000626C4" w:rsidRPr="002811DB" w14:paraId="7B27B1C3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38F28FD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4C847CA6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7.3-51.4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11AED4D5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Ordinal regression function (</w:t>
            </w:r>
            <w:proofErr w:type="spellStart"/>
            <w:r w:rsidRPr="002811DB">
              <w:rPr>
                <w:color w:val="000000"/>
                <w:sz w:val="20"/>
                <w:szCs w:val="20"/>
              </w:rPr>
              <w:t>polr</w:t>
            </w:r>
            <w:proofErr w:type="spellEnd"/>
            <w:r w:rsidRPr="002811DB">
              <w:rPr>
                <w:color w:val="000000"/>
                <w:sz w:val="20"/>
                <w:szCs w:val="20"/>
              </w:rPr>
              <w:t>)</w:t>
            </w:r>
          </w:p>
        </w:tc>
      </w:tr>
      <w:tr w:rsidR="000626C4" w:rsidRPr="002811DB" w14:paraId="046434D1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3CDB837F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lastRenderedPageBreak/>
              <w:t>plyr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4C506A2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1.8.4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4404BA1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14:paraId="61CF5A13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134AE057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dplyr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3A8D15BD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0.8.3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5187CCF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14:paraId="45336029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6ABF8123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4FCA0DA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3.36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157BB09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Tools for using survey weights in logit regression</w:t>
            </w:r>
          </w:p>
        </w:tc>
      </w:tr>
      <w:tr w:rsidR="000626C4" w:rsidRPr="002811DB" w14:paraId="18EF14D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5EFCD8AA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2510CE72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7.3-15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10CCB958" w14:textId="7D567BE4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K</w:t>
            </w:r>
            <w:r w:rsidR="00F5661E">
              <w:rPr>
                <w:color w:val="000000"/>
                <w:sz w:val="20"/>
                <w:szCs w:val="20"/>
              </w:rPr>
              <w:t xml:space="preserve"> </w:t>
            </w:r>
            <w:r w:rsidRPr="002811DB">
              <w:rPr>
                <w:color w:val="000000"/>
                <w:sz w:val="20"/>
                <w:szCs w:val="20"/>
              </w:rPr>
              <w:t>N</w:t>
            </w:r>
            <w:r w:rsidR="00F5661E">
              <w:rPr>
                <w:color w:val="000000"/>
                <w:sz w:val="20"/>
                <w:szCs w:val="20"/>
              </w:rPr>
              <w:t xml:space="preserve">earest </w:t>
            </w:r>
            <w:r w:rsidRPr="002811DB">
              <w:rPr>
                <w:color w:val="000000"/>
                <w:sz w:val="20"/>
                <w:szCs w:val="20"/>
              </w:rPr>
              <w:t>N</w:t>
            </w:r>
            <w:r w:rsidR="00F5661E">
              <w:rPr>
                <w:color w:val="000000"/>
                <w:sz w:val="20"/>
                <w:szCs w:val="20"/>
              </w:rPr>
              <w:t>eighbor</w:t>
            </w:r>
            <w:r w:rsidRPr="002811DB">
              <w:rPr>
                <w:color w:val="000000"/>
                <w:sz w:val="20"/>
                <w:szCs w:val="20"/>
              </w:rPr>
              <w:t xml:space="preserve"> function</w:t>
            </w:r>
          </w:p>
        </w:tc>
      </w:tr>
      <w:tr w:rsidR="000626C4" w:rsidRPr="002811DB" w14:paraId="6774C00E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26FFA54C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dummies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38750DA1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1.5.6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7D98BC17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Function for creating dummy variables</w:t>
            </w:r>
          </w:p>
        </w:tc>
      </w:tr>
      <w:tr w:rsidR="000626C4" w:rsidRPr="002811DB" w14:paraId="188C8E08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4F8C31D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varhandle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5661E3D6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2.0.3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46E5A58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Reformatting factor variables</w:t>
            </w:r>
          </w:p>
        </w:tc>
      </w:tr>
      <w:tr w:rsidR="000626C4" w:rsidRPr="002811DB" w14:paraId="4247E55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633174E3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oglmx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7B5E1A3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3.0.0.0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42032C0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ordinal regression function</w:t>
            </w:r>
          </w:p>
        </w:tc>
      </w:tr>
      <w:tr w:rsidR="000626C4" w:rsidRPr="002811DB" w14:paraId="59E2EA81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5B3507AD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foreign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1C745AFB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0.8-71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36D30E93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Writing data files in additional formats foreign to R</w:t>
            </w:r>
          </w:p>
        </w:tc>
      </w:tr>
      <w:tr w:rsidR="000626C4" w:rsidRPr="002811DB" w14:paraId="440DF588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714B2D2E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ggplot2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6C112123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8313D6A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generator</w:t>
            </w:r>
          </w:p>
        </w:tc>
      </w:tr>
      <w:tr w:rsidR="000626C4" w:rsidRPr="002811DB" w14:paraId="0E49131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66913D11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reshape2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6CE0AD22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1.4.3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25EEA24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Flexibly restructure and aggregate data</w:t>
            </w:r>
          </w:p>
        </w:tc>
      </w:tr>
      <w:tr w:rsidR="000626C4" w:rsidRPr="002811DB" w14:paraId="440EFA29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246D183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e1071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0845F64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1.7-2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7F06D46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</w:t>
            </w:r>
          </w:p>
        </w:tc>
      </w:tr>
      <w:tr w:rsidR="000626C4" w:rsidRPr="002811DB" w14:paraId="21FB93C6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D9FDE39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pander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491CF6B1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0.6.3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730B0CD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Formatting plain text tables</w:t>
            </w:r>
          </w:p>
        </w:tc>
      </w:tr>
      <w:tr w:rsidR="000626C4" w:rsidRPr="002811DB" w14:paraId="0A7BE6FD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4B60CA9A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ridge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5B494E36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264A466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Ridge regression for classifier</w:t>
            </w:r>
          </w:p>
        </w:tc>
      </w:tr>
      <w:tr w:rsidR="000626C4" w:rsidRPr="002811DB" w14:paraId="2D885FA2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4E593E4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DMwR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50B6A60C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A0CF10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SMOTE technique</w:t>
            </w:r>
          </w:p>
        </w:tc>
      </w:tr>
      <w:tr w:rsidR="000626C4" w:rsidRPr="002811DB" w14:paraId="3B928226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63C9908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14:paraId="46B9B01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0.90.0.2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14:paraId="5CA4DBD6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811DB">
              <w:rPr>
                <w:color w:val="000000"/>
                <w:sz w:val="20"/>
                <w:szCs w:val="20"/>
              </w:rPr>
              <w:t>xGboost</w:t>
            </w:r>
            <w:proofErr w:type="spellEnd"/>
            <w:r w:rsidRPr="002811DB">
              <w:rPr>
                <w:color w:val="000000"/>
                <w:sz w:val="20"/>
                <w:szCs w:val="20"/>
              </w:rPr>
              <w:t xml:space="preserve"> classifier function</w:t>
            </w:r>
          </w:p>
        </w:tc>
      </w:tr>
      <w:tr w:rsidR="000626C4" w:rsidRPr="002811DB" w14:paraId="64D70D5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7E97CABC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bnclassify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204993D2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1B8AD2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 function</w:t>
            </w:r>
          </w:p>
        </w:tc>
      </w:tr>
      <w:tr w:rsidR="000626C4" w:rsidRPr="002811DB" w14:paraId="52D7C387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29281648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randomForest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14:paraId="01EB80C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4.6-14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14:paraId="42B91E9A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Random Forest classifier function</w:t>
            </w:r>
          </w:p>
        </w:tc>
      </w:tr>
      <w:tr w:rsidR="000626C4" w:rsidRPr="002811DB" w14:paraId="248BB3F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3A74EAC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magick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325EF0B7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F4566F5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and image processing</w:t>
            </w:r>
          </w:p>
        </w:tc>
      </w:tr>
      <w:tr w:rsidR="0058046A" w:rsidRPr="002811DB" w14:paraId="56104734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</w:tcPr>
          <w:p w14:paraId="2AC1A239" w14:textId="14725128" w:rsidR="0058046A" w:rsidRPr="002811DB" w:rsidRDefault="0058046A" w:rsidP="00491D3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reader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  <w:vAlign w:val="center"/>
          </w:tcPr>
          <w:p w14:paraId="61792598" w14:textId="19B40167" w:rsidR="0058046A" w:rsidRPr="002811DB" w:rsidRDefault="0058046A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  <w:noWrap/>
            <w:vAlign w:val="center"/>
          </w:tcPr>
          <w:p w14:paraId="7FA41D98" w14:textId="42D0FC0E" w:rsidR="0058046A" w:rsidRPr="002811DB" w:rsidRDefault="0058046A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Reading rectangular text data</w:t>
            </w:r>
          </w:p>
        </w:tc>
      </w:tr>
    </w:tbl>
    <w:p w14:paraId="1E8431BF" w14:textId="77777777" w:rsidR="000626C4" w:rsidRDefault="000626C4" w:rsidP="00196B77">
      <w:pPr>
        <w:jc w:val="left"/>
      </w:pPr>
    </w:p>
    <w:p w14:paraId="50754181" w14:textId="77777777" w:rsidR="00682F08" w:rsidRDefault="00682F08" w:rsidP="00682F08">
      <w:pPr>
        <w:pStyle w:val="Heading2"/>
      </w:pPr>
      <w:r>
        <w:t>2.</w:t>
      </w:r>
      <w:r>
        <w:tab/>
        <w:t>Tutorial</w:t>
      </w:r>
    </w:p>
    <w:p w14:paraId="3D5ED8E4" w14:textId="77777777" w:rsidR="00682F08" w:rsidRDefault="00682F08" w:rsidP="00682F08"/>
    <w:p w14:paraId="7AB3734C" w14:textId="488E554F" w:rsidR="000263C1" w:rsidRDefault="00682F08" w:rsidP="00682F08">
      <w:r>
        <w:t xml:space="preserve">After verifying </w:t>
      </w:r>
      <w:proofErr w:type="spellStart"/>
      <w:r w:rsidR="00501777">
        <w:t>TEST_Execution.R</w:t>
      </w:r>
      <w:proofErr w:type="spellEnd"/>
      <w:r w:rsidR="00942CBC">
        <w:t xml:space="preserve"> executes correctly,</w:t>
      </w:r>
      <w:r w:rsidR="00103C69">
        <w:t xml:space="preserve"> we</w:t>
      </w:r>
      <w:r w:rsidR="00411391">
        <w:t xml:space="preserve"> a</w:t>
      </w:r>
      <w:r w:rsidR="00103C69">
        <w:t>re ready to run our own custom simulations. L</w:t>
      </w:r>
      <w:r w:rsidR="00942CBC">
        <w:t>et’s walk through how to create a custom simulation</w:t>
      </w:r>
      <w:r w:rsidR="00103C69">
        <w:t xml:space="preserve">. </w:t>
      </w:r>
      <w:proofErr w:type="spellStart"/>
      <w:r w:rsidR="00217E8E">
        <w:t>policy_</w:t>
      </w:r>
      <w:proofErr w:type="gramStart"/>
      <w:r w:rsidR="00217E8E">
        <w:t>simulation</w:t>
      </w:r>
      <w:proofErr w:type="spellEnd"/>
      <w:r w:rsidR="00217E8E">
        <w:t>(</w:t>
      </w:r>
      <w:proofErr w:type="gramEnd"/>
      <w:r w:rsidR="00217E8E">
        <w:t xml:space="preserve">) is the master function that governs the entire simulation. There are </w:t>
      </w:r>
      <w:r w:rsidR="00406767">
        <w:t>71</w:t>
      </w:r>
      <w:r w:rsidR="00217E8E">
        <w:t xml:space="preserve"> different parameters that can be passed as named arguments to </w:t>
      </w:r>
      <w:proofErr w:type="spellStart"/>
      <w:r w:rsidR="00217E8E">
        <w:t>policy_</w:t>
      </w:r>
      <w:proofErr w:type="gramStart"/>
      <w:r w:rsidR="00217E8E">
        <w:t>simulation</w:t>
      </w:r>
      <w:proofErr w:type="spellEnd"/>
      <w:r w:rsidR="00217E8E">
        <w:t>(</w:t>
      </w:r>
      <w:proofErr w:type="gramEnd"/>
      <w:r w:rsidR="00217E8E">
        <w:t xml:space="preserve">) to customize a simulation run. Most of these parameters have default values if not passed explicitly. </w:t>
      </w:r>
      <w:r w:rsidR="0037020D">
        <w:t>The keyword name and specifics of each parameter are</w:t>
      </w:r>
      <w:r w:rsidR="000263C1">
        <w:t xml:space="preserve"> </w:t>
      </w:r>
      <w:r w:rsidR="0037020D">
        <w:t>described in more detail in “R model – Parameter Dictionary.xlsx”</w:t>
      </w:r>
      <w:r w:rsidR="000263C1">
        <w:t xml:space="preserve">, found in the “Documentation” subfolder. Open up </w:t>
      </w:r>
      <w:proofErr w:type="spellStart"/>
      <w:r w:rsidR="000263C1">
        <w:t>Tutorial_Execution.R</w:t>
      </w:r>
      <w:proofErr w:type="spellEnd"/>
      <w:r w:rsidR="000263C1">
        <w:t xml:space="preserve"> for a simple example and explanation of each of the key parameters to pass.</w:t>
      </w:r>
    </w:p>
    <w:p w14:paraId="515B2DF5" w14:textId="77777777" w:rsidR="000263C1" w:rsidRDefault="000263C1" w:rsidP="00682F08"/>
    <w:p w14:paraId="31FEF9E1" w14:textId="77777777" w:rsidR="000263C1" w:rsidRDefault="003133A7" w:rsidP="000263C1">
      <w:pPr>
        <w:jc w:val="center"/>
        <w:rPr>
          <w:b/>
        </w:rPr>
      </w:pPr>
      <w:r>
        <w:rPr>
          <w:b/>
        </w:rPr>
        <w:t>Exhibit 2</w:t>
      </w:r>
      <w:r w:rsidR="000263C1">
        <w:rPr>
          <w:b/>
        </w:rPr>
        <w:t xml:space="preserve">. </w:t>
      </w:r>
      <w:proofErr w:type="spellStart"/>
      <w:r w:rsidR="006B2906" w:rsidRPr="006B2906">
        <w:rPr>
          <w:b/>
        </w:rPr>
        <w:t>Tutorial_Execution.R</w:t>
      </w:r>
      <w:proofErr w:type="spellEnd"/>
      <w:r w:rsidR="00DD378B">
        <w:rPr>
          <w:b/>
        </w:rPr>
        <w:t xml:space="preserve"> Screenshot</w:t>
      </w:r>
    </w:p>
    <w:p w14:paraId="1DC4F978" w14:textId="77777777" w:rsidR="000263C1" w:rsidRDefault="000263C1" w:rsidP="00682F08"/>
    <w:p w14:paraId="28A32412" w14:textId="77777777" w:rsidR="000263C1" w:rsidRDefault="006B2906" w:rsidP="00682F08">
      <w:r>
        <w:rPr>
          <w:noProof/>
        </w:rPr>
        <w:lastRenderedPageBreak/>
        <w:drawing>
          <wp:inline distT="0" distB="0" distL="0" distR="0" wp14:anchorId="3B5FAA59" wp14:editId="6016E116">
            <wp:extent cx="5943600" cy="409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9837" w14:textId="77777777" w:rsidR="000263C1" w:rsidRDefault="000263C1" w:rsidP="00682F08"/>
    <w:p w14:paraId="72FB2901" w14:textId="4952BDFB" w:rsidR="006B2906" w:rsidRDefault="006B2906" w:rsidP="00682F08">
      <w:r>
        <w:t>Try running this file.</w:t>
      </w:r>
      <w:r w:rsidR="00406767">
        <w:t xml:space="preserve"> Some warnings may occur noting insufficient sample size due to requested take-up rate. These are ok, and should not be of concern for this tutorial.</w:t>
      </w:r>
      <w:r>
        <w:t xml:space="preserve"> If successful, you should see two files appear in the “output” subfolder. </w:t>
      </w:r>
    </w:p>
    <w:p w14:paraId="2860FFF4" w14:textId="77777777" w:rsidR="004F01C7" w:rsidRDefault="004F01C7" w:rsidP="001631C0">
      <w:pPr>
        <w:jc w:val="center"/>
        <w:rPr>
          <w:b/>
        </w:rPr>
      </w:pPr>
    </w:p>
    <w:p w14:paraId="2C47FF65" w14:textId="77777777" w:rsidR="001631C0" w:rsidRPr="001631C0" w:rsidRDefault="001631C0" w:rsidP="001631C0">
      <w:pPr>
        <w:jc w:val="center"/>
        <w:rPr>
          <w:b/>
        </w:rPr>
      </w:pPr>
      <w:r>
        <w:rPr>
          <w:b/>
        </w:rPr>
        <w:t>Exhibit 3. Output Folder Screenshot</w:t>
      </w:r>
    </w:p>
    <w:p w14:paraId="611D91AB" w14:textId="77777777" w:rsidR="006B2906" w:rsidRDefault="006B2906" w:rsidP="00682F08"/>
    <w:p w14:paraId="466A2E01" w14:textId="77777777" w:rsidR="006B2906" w:rsidRDefault="006B2906" w:rsidP="00682F08">
      <w:r>
        <w:rPr>
          <w:noProof/>
        </w:rPr>
        <w:drawing>
          <wp:inline distT="0" distB="0" distL="0" distR="0" wp14:anchorId="68C5F124" wp14:editId="0CC0DE5A">
            <wp:extent cx="5943600" cy="1254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B0E1" w14:textId="77777777" w:rsidR="006B2906" w:rsidRDefault="006B2906" w:rsidP="00682F08"/>
    <w:p w14:paraId="5B55A3BE" w14:textId="77777777" w:rsidR="001631C0" w:rsidRPr="00682F08" w:rsidRDefault="006B2906" w:rsidP="006B2906">
      <w:r>
        <w:t xml:space="preserve">“tutorial.csv” is the output micro-level data set from the simulation. </w:t>
      </w:r>
      <w:r w:rsidR="00DA7F04">
        <w:t xml:space="preserve">The simulation takes the specified state’s American Community Survey (ACS) file, and adds several columns to represent simulated leave taking, program participation, and other relevant behaviors. </w:t>
      </w:r>
      <w:r>
        <w:t xml:space="preserve"> You can also analyze the output micro-level data set just like you would an unaltered </w:t>
      </w:r>
      <w:r w:rsidR="00DA7F04">
        <w:t xml:space="preserve">ACS </w:t>
      </w:r>
      <w:r>
        <w:t>data set</w:t>
      </w:r>
      <w:r w:rsidR="00DA7F04">
        <w:t xml:space="preserve"> or any other survey data set</w:t>
      </w:r>
      <w:r>
        <w:t xml:space="preserve">. </w:t>
      </w:r>
      <w:r w:rsidR="001631C0">
        <w:t>For more details on the variables created by the simulation, see the “</w:t>
      </w:r>
      <w:r w:rsidR="001631C0" w:rsidRPr="001631C0">
        <w:t>R Model - Derived Data Dictionary.xlsx</w:t>
      </w:r>
      <w:r w:rsidR="001631C0">
        <w:t>” excel file in the “Documentation” subfolder.</w:t>
      </w:r>
      <w:r w:rsidR="002078AB">
        <w:t xml:space="preserve"> </w:t>
      </w:r>
      <w:r w:rsidR="001631C0">
        <w:t xml:space="preserve">The current version of the R model can perform some basic summary statistics of key leave taking </w:t>
      </w:r>
      <w:r w:rsidR="004F01C7">
        <w:t xml:space="preserve">and program participation automatically. These are saved as a CSV; in this case “tutorial_stats.csv”. </w:t>
      </w:r>
    </w:p>
    <w:p w14:paraId="7F77A189" w14:textId="77777777" w:rsidR="006B2906" w:rsidRDefault="006B2906" w:rsidP="00682F08"/>
    <w:p w14:paraId="2B7D0C17" w14:textId="77777777" w:rsidR="006B2906" w:rsidRDefault="004F01C7" w:rsidP="00682F08">
      <w:r>
        <w:t>Now, you should</w:t>
      </w:r>
      <w:r w:rsidR="006B2906">
        <w:t xml:space="preserve"> feel more comfortable with </w:t>
      </w:r>
      <w:r>
        <w:t>how to run</w:t>
      </w:r>
      <w:r w:rsidR="006B2906">
        <w:t xml:space="preserve"> the simulation model. Feel free to try running the model with different program characteristics, eligibility restrictions, and other parameters to simulate different scenarios. </w:t>
      </w:r>
      <w:r w:rsidR="008E0D64">
        <w:t>For more details about all aspects of the model, f</w:t>
      </w:r>
      <w:r w:rsidR="00F36F13">
        <w:t xml:space="preserve">ull </w:t>
      </w:r>
      <w:r w:rsidR="008E0D64">
        <w:t xml:space="preserve">documentation </w:t>
      </w:r>
      <w:r w:rsidR="00F36F13">
        <w:t>to the entire R model is found in the “Documentation” subfolder</w:t>
      </w:r>
      <w:r w:rsidR="008E0D64">
        <w:t xml:space="preserve"> in the “</w:t>
      </w:r>
      <w:proofErr w:type="spellStart"/>
      <w:r w:rsidR="008E0D64" w:rsidRPr="008E0D64">
        <w:t>Microsim</w:t>
      </w:r>
      <w:proofErr w:type="spellEnd"/>
      <w:r w:rsidR="008E0D64" w:rsidRPr="008E0D64">
        <w:t xml:space="preserve"> R Model Documentation.docx</w:t>
      </w:r>
      <w:r w:rsidR="008E0D64">
        <w:t>” word document</w:t>
      </w:r>
      <w:r w:rsidR="00F36F13">
        <w:t>.</w:t>
      </w:r>
    </w:p>
    <w:p w14:paraId="7745A9FD" w14:textId="77777777" w:rsidR="006B2906" w:rsidRDefault="006B2906" w:rsidP="00682F08">
      <w:bookmarkStart w:id="9" w:name="_GoBack"/>
      <w:bookmarkEnd w:id="9"/>
    </w:p>
    <w:sectPr w:rsidR="006B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93BD0" w14:textId="77777777" w:rsidR="00E9317A" w:rsidRDefault="00E9317A" w:rsidP="000263C1">
      <w:r>
        <w:separator/>
      </w:r>
    </w:p>
  </w:endnote>
  <w:endnote w:type="continuationSeparator" w:id="0">
    <w:p w14:paraId="5B2344E7" w14:textId="77777777" w:rsidR="00E9317A" w:rsidRDefault="00E9317A" w:rsidP="0002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863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212F1" w14:textId="02840C68" w:rsidR="006904E8" w:rsidRDefault="006904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61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42DA103" w14:textId="77777777" w:rsidR="006904E8" w:rsidRDefault="00690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FAA60" w14:textId="77777777" w:rsidR="00E9317A" w:rsidRDefault="00E9317A" w:rsidP="000263C1">
      <w:r>
        <w:separator/>
      </w:r>
    </w:p>
  </w:footnote>
  <w:footnote w:type="continuationSeparator" w:id="0">
    <w:p w14:paraId="1768A669" w14:textId="77777777" w:rsidR="00E9317A" w:rsidRDefault="00E9317A" w:rsidP="0002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F667C"/>
    <w:multiLevelType w:val="hybridMultilevel"/>
    <w:tmpl w:val="EF88C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A7516"/>
    <w:multiLevelType w:val="hybridMultilevel"/>
    <w:tmpl w:val="31BC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EE"/>
    <w:rsid w:val="000263C1"/>
    <w:rsid w:val="000626C4"/>
    <w:rsid w:val="00103C69"/>
    <w:rsid w:val="00162EAA"/>
    <w:rsid w:val="001631C0"/>
    <w:rsid w:val="00196B77"/>
    <w:rsid w:val="001C30DA"/>
    <w:rsid w:val="001D1A84"/>
    <w:rsid w:val="002078AB"/>
    <w:rsid w:val="00217E8E"/>
    <w:rsid w:val="002811DB"/>
    <w:rsid w:val="003133A7"/>
    <w:rsid w:val="0032661C"/>
    <w:rsid w:val="0037020D"/>
    <w:rsid w:val="0039637E"/>
    <w:rsid w:val="00406767"/>
    <w:rsid w:val="00411391"/>
    <w:rsid w:val="004121A0"/>
    <w:rsid w:val="0041490D"/>
    <w:rsid w:val="00435CB3"/>
    <w:rsid w:val="004F01C7"/>
    <w:rsid w:val="00501777"/>
    <w:rsid w:val="00570CC3"/>
    <w:rsid w:val="0058046A"/>
    <w:rsid w:val="00682F08"/>
    <w:rsid w:val="006904E8"/>
    <w:rsid w:val="006B2906"/>
    <w:rsid w:val="006C0594"/>
    <w:rsid w:val="006D1707"/>
    <w:rsid w:val="00702F02"/>
    <w:rsid w:val="007C69CC"/>
    <w:rsid w:val="007D5634"/>
    <w:rsid w:val="007F4CE1"/>
    <w:rsid w:val="008D4EBA"/>
    <w:rsid w:val="008E0D64"/>
    <w:rsid w:val="00942CBC"/>
    <w:rsid w:val="009A597E"/>
    <w:rsid w:val="009C4CF5"/>
    <w:rsid w:val="009D6D8D"/>
    <w:rsid w:val="00A41613"/>
    <w:rsid w:val="00AA495B"/>
    <w:rsid w:val="00B27F64"/>
    <w:rsid w:val="00B4699C"/>
    <w:rsid w:val="00B669E2"/>
    <w:rsid w:val="00BD2185"/>
    <w:rsid w:val="00CC0B91"/>
    <w:rsid w:val="00CF54BA"/>
    <w:rsid w:val="00D768A5"/>
    <w:rsid w:val="00DA15E7"/>
    <w:rsid w:val="00DA7F04"/>
    <w:rsid w:val="00DD12F5"/>
    <w:rsid w:val="00DD378B"/>
    <w:rsid w:val="00E9317A"/>
    <w:rsid w:val="00EE2AEE"/>
    <w:rsid w:val="00EF1FBD"/>
    <w:rsid w:val="00F36F13"/>
    <w:rsid w:val="00F5661E"/>
    <w:rsid w:val="00F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330E"/>
  <w15:chartTrackingRefBased/>
  <w15:docId w15:val="{20444712-1662-4C3D-8DF5-3C7C9F00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5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CE1"/>
    <w:pPr>
      <w:keepNext/>
      <w:keepLines/>
      <w:tabs>
        <w:tab w:val="left" w:pos="720"/>
      </w:tabs>
      <w:outlineLvl w:val="1"/>
    </w:pPr>
    <w:rPr>
      <w:rFonts w:eastAsiaTheme="majorEastAsia" w:cstheme="majorBidi"/>
      <w:b/>
      <w:bCs/>
      <w:color w:val="66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Code Reference"/>
    <w:basedOn w:val="Normal"/>
    <w:link w:val="BodyTextChar"/>
    <w:qFormat/>
    <w:rsid w:val="00DA15E7"/>
    <w:pPr>
      <w:widowControl w:val="0"/>
      <w:autoSpaceDE w:val="0"/>
      <w:autoSpaceDN w:val="0"/>
    </w:pPr>
    <w:rPr>
      <w:rFonts w:ascii="Courier New" w:eastAsia="Arial" w:hAnsi="Courier New" w:cs="Arial"/>
    </w:rPr>
  </w:style>
  <w:style w:type="character" w:customStyle="1" w:styleId="BodyTextChar">
    <w:name w:val="Body Text Char"/>
    <w:aliases w:val="Code Reference Char"/>
    <w:basedOn w:val="DefaultParagraphFont"/>
    <w:link w:val="BodyText"/>
    <w:rsid w:val="00DA15E7"/>
    <w:rPr>
      <w:rFonts w:ascii="Courier New" w:eastAsia="Arial" w:hAnsi="Courier New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4CE1"/>
    <w:rPr>
      <w:rFonts w:ascii="Times New Roman" w:eastAsiaTheme="majorEastAsia" w:hAnsi="Times New Roman" w:cstheme="majorBidi"/>
      <w:b/>
      <w:bCs/>
      <w:color w:val="66000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6D8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IMPAQ</Company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Patterson</dc:creator>
  <cp:keywords/>
  <dc:description/>
  <cp:lastModifiedBy>Luke Patterson</cp:lastModifiedBy>
  <cp:revision>5</cp:revision>
  <dcterms:created xsi:type="dcterms:W3CDTF">2020-02-12T15:12:00Z</dcterms:created>
  <dcterms:modified xsi:type="dcterms:W3CDTF">2020-02-12T15:38:00Z</dcterms:modified>
</cp:coreProperties>
</file>