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 — Research Report</w:t>
      </w:r>
    </w:p>
    <w:p>
      <w:r>
        <w:rPr>
          <w:b/>
          <w:sz w:val="24"/>
        </w:rPr>
        <w:t>09 September 2026  ·  Four companies analysed  ·  Phases 1–5 complete</w:t>
      </w:r>
    </w:p>
    <w:p>
      <w:r>
        <w:rPr>
          <w:i/>
          <w:color w:val="B3261E"/>
        </w:rPr>
        <w:t>This is researched opinion, not financial advice. Claude is not a licensed financial advisor. No return here is guaranteed — every forward number is a projection under stated assumptions, and the probabilities are informed estimates, not measurements.</w:t>
      </w:r>
    </w:p>
    <w:p/>
    <w:p>
      <w:r>
        <w:rPr>
          <w:b/>
          <w:sz w:val="24"/>
        </w:rPr>
        <w:t>THE HEADLINE: no stock scored high enough to recommend buying.</w:t>
      </w:r>
    </w:p>
    <w:p>
      <w:r>
        <w:t>Four companies went through the full five-phase process. The best scored 77.8 out of 100, which the project's own rulebook classes as 'worth monitoring', not 'strong'. Two scored in the speculative band and are rejected. Nothing reached the 80+ needed for a BUY. Forcing a recommendation from this set would mean inflating a score, which the rules explicitly forbid.</w:t>
      </w:r>
    </w:p>
    <w:p>
      <w:pPr>
        <w:pStyle w:val="Heading1"/>
      </w:pPr>
      <w:r>
        <w:t>The four, at a glance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Ticker</w:t>
            </w:r>
          </w:p>
        </w:tc>
        <w:tc>
          <w:tcPr>
            <w:tcW w:type="dxa" w:w="1234"/>
          </w:tcPr>
          <w:p>
            <w:r>
              <w:rPr>
                <w:b/>
              </w:rPr>
              <w:t>Company</w:t>
            </w:r>
          </w:p>
        </w:tc>
        <w:tc>
          <w:tcPr>
            <w:tcW w:type="dxa" w:w="1234"/>
          </w:tcPr>
          <w:p>
            <w:r>
              <w:rPr>
                <w:b/>
              </w:rPr>
              <w:t>Price</w:t>
            </w:r>
          </w:p>
        </w:tc>
        <w:tc>
          <w:tcPr>
            <w:tcW w:type="dxa" w:w="1234"/>
          </w:tcPr>
          <w:p>
            <w:r>
              <w:rPr>
                <w:b/>
              </w:rPr>
              <w:t>Score</w:t>
            </w:r>
          </w:p>
        </w:tc>
        <w:tc>
          <w:tcPr>
            <w:tcW w:type="dxa" w:w="1234"/>
          </w:tcPr>
          <w:p>
            <w:r>
              <w:rPr>
                <w:b/>
              </w:rPr>
              <w:t>Action</w:t>
            </w:r>
          </w:p>
        </w:tc>
        <w:tc>
          <w:tcPr>
            <w:tcW w:type="dxa" w:w="1234"/>
          </w:tcPr>
          <w:p>
            <w:r>
              <w:rPr>
                <w:b/>
              </w:rPr>
              <w:t>Expected return</w:t>
            </w:r>
          </w:p>
        </w:tc>
        <w:tc>
          <w:tcPr>
            <w:tcW w:type="dxa" w:w="1234"/>
          </w:tcPr>
          <w:p>
            <w:r>
              <w:rPr>
                <w:b/>
              </w:rPr>
              <w:t>Chance of +20%</w:t>
            </w:r>
          </w:p>
        </w:tc>
      </w:tr>
      <w:tr>
        <w:tc>
          <w:tcPr>
            <w:tcW w:type="dxa" w:w="1234"/>
          </w:tcPr>
          <w:p>
            <w:r>
              <w:t>BKNG</w:t>
            </w:r>
          </w:p>
        </w:tc>
        <w:tc>
          <w:tcPr>
            <w:tcW w:type="dxa" w:w="1234"/>
          </w:tcPr>
          <w:p>
            <w:r>
              <w:t>Booking Holdings</w:t>
            </w:r>
          </w:p>
        </w:tc>
        <w:tc>
          <w:tcPr>
            <w:tcW w:type="dxa" w:w="1234"/>
          </w:tcPr>
          <w:p>
            <w:r>
              <w:t>$180.30</w:t>
            </w:r>
          </w:p>
        </w:tc>
        <w:tc>
          <w:tcPr>
            <w:tcW w:type="dxa" w:w="1234"/>
          </w:tcPr>
          <w:p>
            <w:r>
              <w:t>77.8/100</w:t>
            </w:r>
          </w:p>
        </w:tc>
        <w:tc>
          <w:tcPr>
            <w:tcW w:type="dxa" w:w="1234"/>
          </w:tcPr>
          <w:p>
            <w:r>
              <w:rPr>
                <w:b/>
                <w:color w:val="B86E00"/>
              </w:rPr>
              <w:t>WATCH</w:t>
            </w:r>
          </w:p>
        </w:tc>
        <w:tc>
          <w:tcPr>
            <w:tcW w:type="dxa" w:w="1234"/>
          </w:tcPr>
          <w:p>
            <w:r>
              <w:t>+8.4%</w:t>
            </w:r>
          </w:p>
        </w:tc>
        <w:tc>
          <w:tcPr>
            <w:tcW w:type="dxa" w:w="1234"/>
          </w:tcPr>
          <w:p>
            <w:r>
              <w:t>25%</w:t>
            </w:r>
          </w:p>
        </w:tc>
      </w:tr>
      <w:tr>
        <w:tc>
          <w:tcPr>
            <w:tcW w:type="dxa" w:w="1234"/>
          </w:tcPr>
          <w:p>
            <w:r>
              <w:t>ADBE</w:t>
            </w:r>
          </w:p>
        </w:tc>
        <w:tc>
          <w:tcPr>
            <w:tcW w:type="dxa" w:w="1234"/>
          </w:tcPr>
          <w:p>
            <w:r>
              <w:t>Adobe</w:t>
            </w:r>
          </w:p>
        </w:tc>
        <w:tc>
          <w:tcPr>
            <w:tcW w:type="dxa" w:w="1234"/>
          </w:tcPr>
          <w:p>
            <w:r>
              <w:t>$257.26</w:t>
            </w:r>
          </w:p>
        </w:tc>
        <w:tc>
          <w:tcPr>
            <w:tcW w:type="dxa" w:w="1234"/>
          </w:tcPr>
          <w:p>
            <w:r>
              <w:t>72.7/100</w:t>
            </w:r>
          </w:p>
        </w:tc>
        <w:tc>
          <w:tcPr>
            <w:tcW w:type="dxa" w:w="1234"/>
          </w:tcPr>
          <w:p>
            <w:r>
              <w:rPr>
                <w:b/>
                <w:color w:val="B86E00"/>
              </w:rPr>
              <w:t>WATCH</w:t>
            </w:r>
          </w:p>
        </w:tc>
        <w:tc>
          <w:tcPr>
            <w:tcW w:type="dxa" w:w="1234"/>
          </w:tcPr>
          <w:p>
            <w:r>
              <w:t>+11.5%</w:t>
            </w:r>
          </w:p>
        </w:tc>
        <w:tc>
          <w:tcPr>
            <w:tcW w:type="dxa" w:w="1234"/>
          </w:tcPr>
          <w:p>
            <w:r>
              <w:t>25%</w:t>
            </w:r>
          </w:p>
        </w:tc>
      </w:tr>
      <w:tr>
        <w:tc>
          <w:tcPr>
            <w:tcW w:type="dxa" w:w="1234"/>
          </w:tcPr>
          <w:p>
            <w:r>
              <w:t>EOG</w:t>
            </w:r>
          </w:p>
        </w:tc>
        <w:tc>
          <w:tcPr>
            <w:tcW w:type="dxa" w:w="1234"/>
          </w:tcPr>
          <w:p>
            <w:r>
              <w:t>EOG Resources</w:t>
            </w:r>
          </w:p>
        </w:tc>
        <w:tc>
          <w:tcPr>
            <w:tcW w:type="dxa" w:w="1234"/>
          </w:tcPr>
          <w:p>
            <w:r>
              <w:t>$145.36</w:t>
            </w:r>
          </w:p>
        </w:tc>
        <w:tc>
          <w:tcPr>
            <w:tcW w:type="dxa" w:w="1234"/>
          </w:tcPr>
          <w:p>
            <w:r>
              <w:t>67.6/100</w:t>
            </w:r>
          </w:p>
        </w:tc>
        <w:tc>
          <w:tcPr>
            <w:tcW w:type="dxa" w:w="1234"/>
          </w:tcPr>
          <w:p>
            <w:r>
              <w:rPr>
                <w:b/>
                <w:color w:val="B3261E"/>
              </w:rPr>
              <w:t>AVOID</w:t>
            </w:r>
          </w:p>
        </w:tc>
        <w:tc>
          <w:tcPr>
            <w:tcW w:type="dxa" w:w="1234"/>
          </w:tcPr>
          <w:p>
            <w:r>
              <w:t>+7.0%</w:t>
            </w:r>
          </w:p>
        </w:tc>
        <w:tc>
          <w:tcPr>
            <w:tcW w:type="dxa" w:w="1234"/>
          </w:tcPr>
          <w:p>
            <w:r>
              <w:t>25%</w:t>
            </w:r>
          </w:p>
        </w:tc>
      </w:tr>
      <w:tr>
        <w:tc>
          <w:tcPr>
            <w:tcW w:type="dxa" w:w="1234"/>
          </w:tcPr>
          <w:p>
            <w:r>
              <w:t>ULTA</w:t>
            </w:r>
          </w:p>
        </w:tc>
        <w:tc>
          <w:tcPr>
            <w:tcW w:type="dxa" w:w="1234"/>
          </w:tcPr>
          <w:p>
            <w:r>
              <w:t>Ulta Beauty</w:t>
            </w:r>
          </w:p>
        </w:tc>
        <w:tc>
          <w:tcPr>
            <w:tcW w:type="dxa" w:w="1234"/>
          </w:tcPr>
          <w:p>
            <w:r>
              <w:t>$549.23</w:t>
            </w:r>
          </w:p>
        </w:tc>
        <w:tc>
          <w:tcPr>
            <w:tcW w:type="dxa" w:w="1234"/>
          </w:tcPr>
          <w:p>
            <w:r>
              <w:t>66.2/100</w:t>
            </w:r>
          </w:p>
        </w:tc>
        <w:tc>
          <w:tcPr>
            <w:tcW w:type="dxa" w:w="1234"/>
          </w:tcPr>
          <w:p>
            <w:r>
              <w:rPr>
                <w:b/>
                <w:color w:val="B3261E"/>
              </w:rPr>
              <w:t>AVOID</w:t>
            </w:r>
          </w:p>
        </w:tc>
        <w:tc>
          <w:tcPr>
            <w:tcW w:type="dxa" w:w="1234"/>
          </w:tcPr>
          <w:p>
            <w:r>
              <w:t>+1.6%</w:t>
            </w:r>
          </w:p>
        </w:tc>
        <w:tc>
          <w:tcPr>
            <w:tcW w:type="dxa" w:w="1234"/>
          </w:tcPr>
          <w:p>
            <w:r>
              <w:t>20%</w:t>
            </w:r>
          </w:p>
        </w:tc>
      </w:tr>
    </w:tbl>
    <w:p/>
    <w:p>
      <w:r>
        <w:rPr>
          <w:i/>
          <w:sz w:val="18"/>
        </w:rPr>
        <w:t>Scoring bands: 90–100 exceptional · 80–89 strong · 70–79 worth monitoring · 60–69 speculative · below 60 reject.</w:t>
      </w:r>
    </w:p>
    <w:p>
      <w:r>
        <w:br w:type="page"/>
      </w:r>
    </w:p>
    <w:p>
      <w:pPr>
        <w:pStyle w:val="Heading1"/>
      </w:pPr>
      <w:r>
        <w:t>Booking Holdings  (BKNG)</w:t>
      </w:r>
    </w:p>
    <w:p>
      <w:r>
        <w:rPr>
          <w:b/>
        </w:rPr>
        <w:t xml:space="preserve">$180.30  ·  Score 77.8/100  ·  </w:t>
      </w:r>
      <w:r>
        <w:rPr>
          <w:b/>
          <w:color w:val="B86E00"/>
        </w:rPr>
        <w:t>WATCH</w:t>
      </w:r>
      <w:r>
        <w:t xml:space="preserve">  ·  12-month horizon</w:t>
      </w:r>
    </w:p>
    <w:p>
      <w:pPr>
        <w:pStyle w:val="Heading2"/>
      </w:pPr>
      <w:r>
        <w:t>The numbers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Metric</w:t>
            </w:r>
          </w:p>
        </w:tc>
        <w:tc>
          <w:tcPr>
            <w:tcW w:type="dxa" w:w="2160"/>
          </w:tcPr>
          <w:p>
            <w:r>
              <w:rPr>
                <w:b/>
              </w:rPr>
              <w:t>Value</w:t>
            </w:r>
          </w:p>
        </w:tc>
      </w:tr>
      <w:tr>
        <w:tc>
          <w:tcPr>
            <w:tcW w:type="dxa" w:w="2160"/>
          </w:tcPr>
          <w:p>
            <w:r>
              <w:t>Operating margin</w:t>
            </w:r>
          </w:p>
        </w:tc>
        <w:tc>
          <w:tcPr>
            <w:tcW w:type="dxa" w:w="2160"/>
          </w:tcPr>
          <w:p>
            <w:r>
              <w:t>32.8%</w:t>
            </w:r>
          </w:p>
        </w:tc>
        <w:tc>
          <w:tcPr>
            <w:tcW w:type="dxa" w:w="2160"/>
          </w:tcPr>
          <w:p>
            <w:r>
              <w:t>P/E ratio</w:t>
            </w:r>
          </w:p>
        </w:tc>
        <w:tc>
          <w:tcPr>
            <w:tcW w:type="dxa" w:w="2160"/>
          </w:tcPr>
          <w:p>
            <w:r>
              <w:t>25.1x</w:t>
            </w:r>
          </w:p>
        </w:tc>
      </w:tr>
      <w:tr>
        <w:tc>
          <w:tcPr>
            <w:tcW w:type="dxa" w:w="2160"/>
          </w:tcPr>
          <w:p>
            <w:r>
              <w:t>Free cash flow margin</w:t>
            </w:r>
          </w:p>
        </w:tc>
        <w:tc>
          <w:tcPr>
            <w:tcW w:type="dxa" w:w="2160"/>
          </w:tcPr>
          <w:p>
            <w:r>
              <w:t>33.8%</w:t>
            </w:r>
          </w:p>
        </w:tc>
        <w:tc>
          <w:tcPr>
            <w:tcW w:type="dxa" w:w="2160"/>
          </w:tcPr>
          <w:p>
            <w:r>
              <w:t>P/FCF</w:t>
            </w:r>
          </w:p>
        </w:tc>
        <w:tc>
          <w:tcPr>
            <w:tcW w:type="dxa" w:w="2160"/>
          </w:tcPr>
          <w:p>
            <w:r>
              <w:t>14.9x</w:t>
            </w:r>
          </w:p>
        </w:tc>
      </w:tr>
      <w:tr>
        <w:tc>
          <w:tcPr>
            <w:tcW w:type="dxa" w:w="2160"/>
          </w:tcPr>
          <w:p>
            <w:r>
              <w:t>ROIC</w:t>
            </w:r>
          </w:p>
        </w:tc>
        <w:tc>
          <w:tcPr>
            <w:tcW w:type="dxa" w:w="2160"/>
          </w:tcPr>
          <w:p>
            <w:r>
              <w:t>not available</w:t>
            </w:r>
          </w:p>
        </w:tc>
        <w:tc>
          <w:tcPr>
            <w:tcW w:type="dxa" w:w="2160"/>
          </w:tcPr>
          <w:p>
            <w:r>
              <w:t>FCF yield</w:t>
            </w:r>
          </w:p>
        </w:tc>
        <w:tc>
          <w:tcPr>
            <w:tcW w:type="dxa" w:w="2160"/>
          </w:tcPr>
          <w:p>
            <w:r>
              <w:t>6.7%</w:t>
            </w:r>
          </w:p>
        </w:tc>
      </w:tr>
      <w:tr>
        <w:tc>
          <w:tcPr>
            <w:tcW w:type="dxa" w:w="2160"/>
          </w:tcPr>
          <w:p>
            <w:r>
              <w:t>Revenue CAGR (6y)</w:t>
            </w:r>
          </w:p>
        </w:tc>
        <w:tc>
          <w:tcPr>
            <w:tcW w:type="dxa" w:w="2160"/>
          </w:tcPr>
          <w:p>
            <w:r>
              <w:t>31.7%</w:t>
            </w:r>
          </w:p>
        </w:tc>
        <w:tc>
          <w:tcPr>
            <w:tcW w:type="dxa" w:w="2160"/>
          </w:tcPr>
          <w:p>
            <w:r>
              <w:t>Revenue CAGR (recent 3y)</w:t>
            </w:r>
          </w:p>
        </w:tc>
        <w:tc>
          <w:tcPr>
            <w:tcW w:type="dxa" w:w="2160"/>
          </w:tcPr>
          <w:p>
            <w:r>
              <w:t>not available</w:t>
            </w:r>
          </w:p>
        </w:tc>
      </w:tr>
      <w:tr>
        <w:tc>
          <w:tcPr>
            <w:tcW w:type="dxa" w:w="2160"/>
          </w:tcPr>
          <w:p>
            <w:r>
              <w:t>Free cash flow</w:t>
            </w:r>
          </w:p>
        </w:tc>
        <w:tc>
          <w:tcPr>
            <w:tcW w:type="dxa" w:w="2160"/>
          </w:tcPr>
          <w:p>
            <w:r>
              <w:t>$9.09B</w:t>
            </w:r>
          </w:p>
        </w:tc>
        <w:tc>
          <w:tcPr>
            <w:tcW w:type="dxa" w:w="2160"/>
          </w:tcPr>
          <w:p>
            <w:r>
              <w:t>Share count change</w:t>
            </w:r>
          </w:p>
        </w:tc>
        <w:tc>
          <w:tcPr>
            <w:tcW w:type="dxa" w:w="2160"/>
          </w:tcPr>
          <w:p>
            <w:r>
              <w:t>-20.7%</w:t>
            </w:r>
          </w:p>
        </w:tc>
      </w:tr>
      <w:tr>
        <w:tc>
          <w:tcPr>
            <w:tcW w:type="dxa" w:w="2160"/>
          </w:tcPr>
          <w:p>
            <w:r>
              <w:t>Debt / equity</w:t>
            </w:r>
          </w:p>
        </w:tc>
        <w:tc>
          <w:tcPr>
            <w:tcW w:type="dxa" w:w="2160"/>
          </w:tcPr>
          <w:p>
            <w:r>
              <w:t>-3.36x</w:t>
            </w:r>
          </w:p>
        </w:tc>
        <w:tc>
          <w:tcPr>
            <w:tcW w:type="dxa" w:w="2160"/>
          </w:tcPr>
          <w:p>
            <w:r>
              <w:t>Net debt / EBITDA</w:t>
            </w:r>
          </w:p>
        </w:tc>
        <w:tc>
          <w:tcPr>
            <w:tcW w:type="dxa" w:w="2160"/>
          </w:tcPr>
          <w:p>
            <w:r>
              <w:t>0.16x</w:t>
            </w:r>
          </w:p>
        </w:tc>
      </w:tr>
    </w:tbl>
    <w:p>
      <w:pPr>
        <w:pStyle w:val="Heading2"/>
      </w:pPr>
      <w:r>
        <w:t>If it goes well, and if it goes badly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Target price</w:t>
            </w:r>
          </w:p>
        </w:tc>
        <w:tc>
          <w:tcPr>
            <w:tcW w:type="dxa" w:w="2160"/>
          </w:tcPr>
          <w:p>
            <w:r>
              <w:rPr>
                <w:b/>
              </w:rPr>
              <w:t>Return</w:t>
            </w:r>
          </w:p>
        </w:tc>
        <w:tc>
          <w:tcPr>
            <w:tcW w:type="dxa" w:w="2160"/>
          </w:tcPr>
          <w:p>
            <w:r>
              <w:rPr>
                <w:b/>
              </w:rPr>
              <w:t>Likelihood</w:t>
            </w:r>
          </w:p>
        </w:tc>
      </w:tr>
      <w:tr>
        <w:tc>
          <w:tcPr>
            <w:tcW w:type="dxa" w:w="2160"/>
          </w:tcPr>
          <w:p>
            <w:r>
              <w:t>BEAR</w:t>
            </w:r>
          </w:p>
        </w:tc>
        <w:tc>
          <w:tcPr>
            <w:tcW w:type="dxa" w:w="2160"/>
          </w:tcPr>
          <w:p>
            <w:r>
              <w:t>$121.00</w:t>
            </w:r>
          </w:p>
        </w:tc>
        <w:tc>
          <w:tcPr>
            <w:tcW w:type="dxa" w:w="2160"/>
          </w:tcPr>
          <w:p>
            <w:r>
              <w:t>-33%</w:t>
            </w:r>
          </w:p>
        </w:tc>
        <w:tc>
          <w:tcPr>
            <w:tcW w:type="dxa" w:w="2160"/>
          </w:tcPr>
          <w:p>
            <w:r>
              <w:t>25%</w:t>
            </w:r>
          </w:p>
        </w:tc>
      </w:tr>
      <w:tr>
        <w:tc>
          <w:tcPr>
            <w:tcW w:type="dxa" w:w="2160"/>
          </w:tcPr>
          <w:p>
            <w:r>
              <w:t>BASE</w:t>
            </w:r>
          </w:p>
        </w:tc>
        <w:tc>
          <w:tcPr>
            <w:tcW w:type="dxa" w:w="2160"/>
          </w:tcPr>
          <w:p>
            <w:r>
              <w:t>$206.00</w:t>
            </w:r>
          </w:p>
        </w:tc>
        <w:tc>
          <w:tcPr>
            <w:tcW w:type="dxa" w:w="2160"/>
          </w:tcPr>
          <w:p>
            <w:r>
              <w:t>+14%</w:t>
            </w:r>
          </w:p>
        </w:tc>
        <w:tc>
          <w:tcPr>
            <w:tcW w:type="dxa" w:w="2160"/>
          </w:tcPr>
          <w:p>
            <w:r>
              <w:t>50%</w:t>
            </w:r>
          </w:p>
        </w:tc>
      </w:tr>
      <w:tr>
        <w:tc>
          <w:tcPr>
            <w:tcW w:type="dxa" w:w="2160"/>
          </w:tcPr>
          <w:p>
            <w:r>
              <w:t>BULL</w:t>
            </w:r>
          </w:p>
        </w:tc>
        <w:tc>
          <w:tcPr>
            <w:tcW w:type="dxa" w:w="2160"/>
          </w:tcPr>
          <w:p>
            <w:r>
              <w:t>$249.00</w:t>
            </w:r>
          </w:p>
        </w:tc>
        <w:tc>
          <w:tcPr>
            <w:tcW w:type="dxa" w:w="2160"/>
          </w:tcPr>
          <w:p>
            <w:r>
              <w:t>+38%</w:t>
            </w:r>
          </w:p>
        </w:tc>
        <w:tc>
          <w:tcPr>
            <w:tcW w:type="dxa" w:w="2160"/>
          </w:tcPr>
          <w:p>
            <w:r>
              <w:t>25%</w:t>
            </w:r>
          </w:p>
        </w:tc>
      </w:tr>
    </w:tbl>
    <w:p>
      <w:r>
        <w:rPr>
          <w:b/>
        </w:rPr>
        <w:t>Probability-weighted return: +8.4%   ·   Chance of any gain: 75%   ·   Chance of +20%: 25%   ·   Chance of a loss: 25%</w:t>
      </w:r>
    </w:p>
    <w:p>
      <w:pPr>
        <w:pStyle w:val="Heading2"/>
      </w:pPr>
      <w:r>
        <w:t>What has to go right</w:t>
      </w:r>
    </w:p>
    <w:p>
      <w:pPr>
        <w:pStyle w:val="ListBullet"/>
      </w:pPr>
      <w:r>
        <w:t>Travel demand proves resilient and room-night growth re-accelerates above 5%.</w:t>
      </w:r>
    </w:p>
    <w:p>
      <w:pPr>
        <w:pStyle w:val="ListBullet"/>
      </w:pPr>
      <w:r>
        <w:t>Record buyback pace continues (Q2 2026 alone returned $4.1B, $3.7B of it repurchases).</w:t>
      </w:r>
    </w:p>
    <w:p>
      <w:pPr>
        <w:pStyle w:val="ListBullet"/>
      </w:pPr>
      <w:r>
        <w:t>Multiple expands modestly on evidence the deceleration was temporary.</w:t>
      </w:r>
    </w:p>
    <w:p>
      <w:pPr>
        <w:pStyle w:val="Heading2"/>
      </w:pPr>
      <w:r>
        <w:t>What could go wrong</w:t>
      </w:r>
    </w:p>
    <w:p>
      <w:pPr>
        <w:pStyle w:val="ListBullet"/>
      </w:pPr>
      <w:r>
        <w:t>Consumer recession cuts discretionary travel; room-night growth goes flat or negative against the guided 3-5%.</w:t>
      </w:r>
    </w:p>
    <w:p>
      <w:pPr>
        <w:pStyle w:val="ListBullet"/>
      </w:pPr>
      <w:r>
        <w:t>Take rate and marketing efficiency compress at the same time - these risks are correlated, not independent.</w:t>
      </w:r>
    </w:p>
    <w:p>
      <w:pPr>
        <w:pStyle w:val="ListBullet"/>
      </w:pPr>
      <w:r>
        <w:t>Multiple derates from 14.9x free cash flow toward 11x as growth disappoints.</w:t>
      </w:r>
    </w:p>
    <w:p>
      <w:pPr>
        <w:pStyle w:val="Heading2"/>
      </w:pPr>
      <w:r>
        <w:t>The judgment calls a script cannot make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Score</w:t>
            </w:r>
          </w:p>
        </w:tc>
        <w:tc>
          <w:tcPr>
            <w:tcW w:type="dxa" w:w="2880"/>
          </w:tcPr>
          <w:p>
            <w:r>
              <w:rPr>
                <w:b/>
              </w:rPr>
              <w:t>Why</w:t>
            </w:r>
          </w:p>
        </w:tc>
      </w:tr>
      <w:tr>
        <w:tc>
          <w:tcPr>
            <w:tcW w:type="dxa" w:w="2880"/>
          </w:tcPr>
          <w:p>
            <w:r>
              <w:t>Business quality (15)</w:t>
            </w:r>
          </w:p>
        </w:tc>
        <w:tc>
          <w:tcPr>
            <w:tcW w:type="dxa" w:w="2880"/>
          </w:tcPr>
          <w:p>
            <w:r>
              <w:t>12</w:t>
            </w:r>
          </w:p>
        </w:tc>
        <w:tc>
          <w:tcPr>
            <w:tcW w:type="dxa" w:w="2880"/>
          </w:tcPr>
          <w:p>
            <w:r>
              <w:rPr>
                <w:sz w:val="17"/>
              </w:rPr>
              <w:t>Genuinely excellent economics: operating margin 32.8%, FCF margin 33.8%, and $9.09B of free cash flow on $26.9B revenue. Asset-light marketplace with negative working capital. Q2 2026 delivered 5% room-night growth to 325 million, 9% gross-bookings growth to $51.0B, and $3.64B of quarterly FCF (+16%). Deducted because the six-year growth figures are badly distorted - FY2020 revenue of $6.8B was the covid travel trough, so the headline 31.7% revenue CAGR and 146.8% net-income CAGR measure recovery, not growth. On the recent three years the real rate is ~16%, and the latest years were +11% and +13%.</w:t>
            </w:r>
          </w:p>
        </w:tc>
      </w:tr>
      <w:tr>
        <w:tc>
          <w:tcPr>
            <w:tcW w:type="dxa" w:w="2880"/>
          </w:tcPr>
          <w:p>
            <w:r>
              <w:t>Moat (10)</w:t>
            </w:r>
          </w:p>
        </w:tc>
        <w:tc>
          <w:tcPr>
            <w:tcW w:type="dxa" w:w="2880"/>
          </w:tcPr>
          <w:p>
            <w:r>
              <w:t>8</w:t>
            </w:r>
          </w:p>
        </w:tc>
        <w:tc>
          <w:tcPr>
            <w:tcW w:type="dxa" w:w="2880"/>
          </w:tcPr>
          <w:p>
            <w:r>
              <w:rPr>
                <w:sz w:val="17"/>
              </w:rPr>
              <w:t>A real two-sided network: more properties attract more travellers which attract more properties, reinforced by enormous brand-search spend and supplier habit. Booking.com's European hotel supply is difficult to replicate. Deducted 2 points for genuine structural threats - Google inserting itself between traveller and OTA, hotel direct-booking pushes, and the fact that a large share of traffic is rented through paid marketing rather than owned.</w:t>
            </w:r>
          </w:p>
        </w:tc>
      </w:tr>
      <w:tr>
        <w:tc>
          <w:tcPr>
            <w:tcW w:type="dxa" w:w="2880"/>
          </w:tcPr>
          <w:p>
            <w:r>
              <w:t>Catalysts (10)</w:t>
            </w:r>
          </w:p>
        </w:tc>
        <w:tc>
          <w:tcPr>
            <w:tcW w:type="dxa" w:w="2880"/>
          </w:tcPr>
          <w:p>
            <w:r>
              <w:t>6</w:t>
            </w:r>
          </w:p>
        </w:tc>
        <w:tc>
          <w:tcPr>
            <w:tcW w:type="dxa" w:w="2880"/>
          </w:tcPr>
          <w:p>
            <w:r>
              <w:rPr>
                <w:sz w:val="17"/>
              </w:rPr>
              <w:t>Dated and specific: Q3 2026 guidance of 3-5% room-night growth and 4-6% growth in gross bookings, revenue and adjusted EBITDA, with full-year adjusted EPS growth guided to the low-to-mid teens. The mechanical catalyst is capital return - $4.1B returned in Q2 2026 including $3.7B of buybacks, the largest quarterly return in company history, against a share count already down 20.7%. Marked down because guidance points to DECELERATION, and management explicitly flags continued indirect impacts from the Middle East conflict.</w:t>
            </w:r>
          </w:p>
        </w:tc>
      </w:tr>
      <w:tr>
        <w:tc>
          <w:tcPr>
            <w:tcW w:type="dxa" w:w="2880"/>
          </w:tcPr>
          <w:p>
            <w:r>
              <w:t>Risk / reward (10)</w:t>
            </w:r>
          </w:p>
        </w:tc>
        <w:tc>
          <w:tcPr>
            <w:tcW w:type="dxa" w:w="2880"/>
          </w:tcPr>
          <w:p>
            <w:r>
              <w:t>5</w:t>
            </w:r>
          </w:p>
        </w:tc>
        <w:tc>
          <w:tcPr>
            <w:tcW w:type="dxa" w:w="2880"/>
          </w:tcPr>
          <w:p>
            <w:r>
              <w:rPr>
                <w:sz w:val="17"/>
              </w:rPr>
              <w:t>Base case +17% against a bear case of -33%. Travel is discretionary and highly cyclical: a consumer recession hits room nights, take rate and marketing efficiency simultaneously. The valuation already embeds a good outcome at 25x earnings and 14.9x free cash flow, so this is not a discounted entry. Weak asymmetry.</w:t>
            </w:r>
          </w:p>
        </w:tc>
      </w:tr>
      <w:tr>
        <w:tc>
          <w:tcPr>
            <w:tcW w:type="dxa" w:w="2880"/>
          </w:tcPr>
          <w:p>
            <w:r>
              <w:t>Management (5)</w:t>
            </w:r>
          </w:p>
        </w:tc>
        <w:tc>
          <w:tcPr>
            <w:tcW w:type="dxa" w:w="2880"/>
          </w:tcPr>
          <w:p>
            <w:r>
              <w:t>3</w:t>
            </w:r>
          </w:p>
        </w:tc>
        <w:tc>
          <w:tcPr>
            <w:tcW w:type="dxa" w:w="2880"/>
          </w:tcPr>
          <w:p>
            <w:r>
              <w:rPr>
                <w:sz w:val="17"/>
              </w:rPr>
              <w:t>Aggressive, consistent buybacks have cut the share count 20.7% and genuinely compound per-share value. But two deductions. First, shareholders' equity is NEGATIVE $5.6B from buying back stock beyond retained earnings, which removes the ROIC check entirely and reduces the buffer in a downturn. Second, insider behaviour is one-sided: 55 open-market sales and ZERO purchases across the Form 4 filings examined, netting -$33.3M. That is not proof of anything - most will be scheduled 10b5-1 plans - but zero buys at any price is a fact worth recording.</w:t>
            </w:r>
          </w:p>
        </w:tc>
      </w:tr>
    </w:tbl>
    <w:p>
      <w:r>
        <w:rPr>
          <w:i/>
          <w:sz w:val="18"/>
        </w:rPr>
        <w:t>Full written thesis with sources: research/theses/BKNG.md</w:t>
      </w:r>
    </w:p>
    <w:p>
      <w:r>
        <w:br w:type="page"/>
      </w:r>
    </w:p>
    <w:p>
      <w:pPr>
        <w:pStyle w:val="Heading1"/>
      </w:pPr>
      <w:r>
        <w:t>Adobe  (ADBE)</w:t>
      </w:r>
    </w:p>
    <w:p>
      <w:r>
        <w:rPr>
          <w:b/>
        </w:rPr>
        <w:t xml:space="preserve">$257.26  ·  Score 72.7/100  ·  </w:t>
      </w:r>
      <w:r>
        <w:rPr>
          <w:b/>
          <w:color w:val="B86E00"/>
        </w:rPr>
        <w:t>WATCH</w:t>
      </w:r>
      <w:r>
        <w:t xml:space="preserve">  ·  18-month horizon</w:t>
      </w:r>
    </w:p>
    <w:p>
      <w:pPr>
        <w:pStyle w:val="Heading2"/>
      </w:pPr>
      <w:r>
        <w:t>The numbers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Metric</w:t>
            </w:r>
          </w:p>
        </w:tc>
        <w:tc>
          <w:tcPr>
            <w:tcW w:type="dxa" w:w="2160"/>
          </w:tcPr>
          <w:p>
            <w:r>
              <w:rPr>
                <w:b/>
              </w:rPr>
              <w:t>Value</w:t>
            </w:r>
          </w:p>
        </w:tc>
      </w:tr>
      <w:tr>
        <w:tc>
          <w:tcPr>
            <w:tcW w:type="dxa" w:w="2160"/>
          </w:tcPr>
          <w:p>
            <w:r>
              <w:t>Operating margin</w:t>
            </w:r>
          </w:p>
        </w:tc>
        <w:tc>
          <w:tcPr>
            <w:tcW w:type="dxa" w:w="2160"/>
          </w:tcPr>
          <w:p>
            <w:r>
              <w:t>36.6%</w:t>
            </w:r>
          </w:p>
        </w:tc>
        <w:tc>
          <w:tcPr>
            <w:tcW w:type="dxa" w:w="2160"/>
          </w:tcPr>
          <w:p>
            <w:r>
              <w:t>P/E ratio</w:t>
            </w:r>
          </w:p>
        </w:tc>
        <w:tc>
          <w:tcPr>
            <w:tcW w:type="dxa" w:w="2160"/>
          </w:tcPr>
          <w:p>
            <w:r>
              <w:t>14.3x</w:t>
            </w:r>
          </w:p>
        </w:tc>
      </w:tr>
      <w:tr>
        <w:tc>
          <w:tcPr>
            <w:tcW w:type="dxa" w:w="2160"/>
          </w:tcPr>
          <w:p>
            <w:r>
              <w:t>Free cash flow margin</w:t>
            </w:r>
          </w:p>
        </w:tc>
        <w:tc>
          <w:tcPr>
            <w:tcW w:type="dxa" w:w="2160"/>
          </w:tcPr>
          <w:p>
            <w:r>
              <w:t>41.4%</w:t>
            </w:r>
          </w:p>
        </w:tc>
        <w:tc>
          <w:tcPr>
            <w:tcW w:type="dxa" w:w="2160"/>
          </w:tcPr>
          <w:p>
            <w:r>
              <w:t>P/FCF</w:t>
            </w:r>
          </w:p>
        </w:tc>
        <w:tc>
          <w:tcPr>
            <w:tcW w:type="dxa" w:w="2160"/>
          </w:tcPr>
          <w:p>
            <w:r>
              <w:t>10.4x</w:t>
            </w:r>
          </w:p>
        </w:tc>
      </w:tr>
      <w:tr>
        <w:tc>
          <w:tcPr>
            <w:tcW w:type="dxa" w:w="2160"/>
          </w:tcPr>
          <w:p>
            <w:r>
              <w:t>ROIC</w:t>
            </w:r>
          </w:p>
        </w:tc>
        <w:tc>
          <w:tcPr>
            <w:tcW w:type="dxa" w:w="2160"/>
          </w:tcPr>
          <w:p>
            <w:r>
              <w:t>63.2%</w:t>
            </w:r>
          </w:p>
        </w:tc>
        <w:tc>
          <w:tcPr>
            <w:tcW w:type="dxa" w:w="2160"/>
          </w:tcPr>
          <w:p>
            <w:r>
              <w:t>FCF yield</w:t>
            </w:r>
          </w:p>
        </w:tc>
        <w:tc>
          <w:tcPr>
            <w:tcW w:type="dxa" w:w="2160"/>
          </w:tcPr>
          <w:p>
            <w:r>
              <w:t>9.6%</w:t>
            </w:r>
          </w:p>
        </w:tc>
      </w:tr>
      <w:tr>
        <w:tc>
          <w:tcPr>
            <w:tcW w:type="dxa" w:w="2160"/>
          </w:tcPr>
          <w:p>
            <w:r>
              <w:t>Revenue CAGR (6y)</w:t>
            </w:r>
          </w:p>
        </w:tc>
        <w:tc>
          <w:tcPr>
            <w:tcW w:type="dxa" w:w="2160"/>
          </w:tcPr>
          <w:p>
            <w:r>
              <w:t>13.1%</w:t>
            </w:r>
          </w:p>
        </w:tc>
        <w:tc>
          <w:tcPr>
            <w:tcW w:type="dxa" w:w="2160"/>
          </w:tcPr>
          <w:p>
            <w:r>
              <w:t>Revenue CAGR (recent 3y)</w:t>
            </w:r>
          </w:p>
        </w:tc>
        <w:tc>
          <w:tcPr>
            <w:tcW w:type="dxa" w:w="2160"/>
          </w:tcPr>
          <w:p>
            <w:r>
              <w:t>not available</w:t>
            </w:r>
          </w:p>
        </w:tc>
      </w:tr>
      <w:tr>
        <w:tc>
          <w:tcPr>
            <w:tcW w:type="dxa" w:w="2160"/>
          </w:tcPr>
          <w:p>
            <w:r>
              <w:t>Free cash flow</w:t>
            </w:r>
          </w:p>
        </w:tc>
        <w:tc>
          <w:tcPr>
            <w:tcW w:type="dxa" w:w="2160"/>
          </w:tcPr>
          <w:p>
            <w:r>
              <w:t>$9.85B</w:t>
            </w:r>
          </w:p>
        </w:tc>
        <w:tc>
          <w:tcPr>
            <w:tcW w:type="dxa" w:w="2160"/>
          </w:tcPr>
          <w:p>
            <w:r>
              <w:t>Share count change</w:t>
            </w:r>
          </w:p>
        </w:tc>
        <w:tc>
          <w:tcPr>
            <w:tcW w:type="dxa" w:w="2160"/>
          </w:tcPr>
          <w:p>
            <w:r>
              <w:t>-12.0%</w:t>
            </w:r>
          </w:p>
        </w:tc>
      </w:tr>
      <w:tr>
        <w:tc>
          <w:tcPr>
            <w:tcW w:type="dxa" w:w="2160"/>
          </w:tcPr>
          <w:p>
            <w:r>
              <w:t>Debt / equity</w:t>
            </w:r>
          </w:p>
        </w:tc>
        <w:tc>
          <w:tcPr>
            <w:tcW w:type="dxa" w:w="2160"/>
          </w:tcPr>
          <w:p>
            <w:r>
              <w:t>0.53x</w:t>
            </w:r>
          </w:p>
        </w:tc>
        <w:tc>
          <w:tcPr>
            <w:tcW w:type="dxa" w:w="2160"/>
          </w:tcPr>
          <w:p>
            <w:r>
              <w:t>Net debt / EBITDA</w:t>
            </w:r>
          </w:p>
        </w:tc>
        <w:tc>
          <w:tcPr>
            <w:tcW w:type="dxa" w:w="2160"/>
          </w:tcPr>
          <w:p>
            <w:r>
              <w:t>-0.04x</w:t>
            </w:r>
          </w:p>
        </w:tc>
      </w:tr>
    </w:tbl>
    <w:p>
      <w:pPr>
        <w:pStyle w:val="Heading2"/>
      </w:pPr>
      <w:r>
        <w:t>If it goes well, and if it goes badly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Target price</w:t>
            </w:r>
          </w:p>
        </w:tc>
        <w:tc>
          <w:tcPr>
            <w:tcW w:type="dxa" w:w="2160"/>
          </w:tcPr>
          <w:p>
            <w:r>
              <w:rPr>
                <w:b/>
              </w:rPr>
              <w:t>Return</w:t>
            </w:r>
          </w:p>
        </w:tc>
        <w:tc>
          <w:tcPr>
            <w:tcW w:type="dxa" w:w="2160"/>
          </w:tcPr>
          <w:p>
            <w:r>
              <w:rPr>
                <w:b/>
              </w:rPr>
              <w:t>Likelihood</w:t>
            </w:r>
          </w:p>
        </w:tc>
      </w:tr>
      <w:tr>
        <w:tc>
          <w:tcPr>
            <w:tcW w:type="dxa" w:w="2160"/>
          </w:tcPr>
          <w:p>
            <w:r>
              <w:t>BEAR</w:t>
            </w:r>
          </w:p>
        </w:tc>
        <w:tc>
          <w:tcPr>
            <w:tcW w:type="dxa" w:w="2160"/>
          </w:tcPr>
          <w:p>
            <w:r>
              <w:t>$180.00</w:t>
            </w:r>
          </w:p>
        </w:tc>
        <w:tc>
          <w:tcPr>
            <w:tcW w:type="dxa" w:w="2160"/>
          </w:tcPr>
          <w:p>
            <w:r>
              <w:t>-30%</w:t>
            </w:r>
          </w:p>
        </w:tc>
        <w:tc>
          <w:tcPr>
            <w:tcW w:type="dxa" w:w="2160"/>
          </w:tcPr>
          <w:p>
            <w:r>
              <w:t>30%</w:t>
            </w:r>
          </w:p>
        </w:tc>
      </w:tr>
      <w:tr>
        <w:tc>
          <w:tcPr>
            <w:tcW w:type="dxa" w:w="2160"/>
          </w:tcPr>
          <w:p>
            <w:r>
              <w:t>BASE</w:t>
            </w:r>
          </w:p>
        </w:tc>
        <w:tc>
          <w:tcPr>
            <w:tcW w:type="dxa" w:w="2160"/>
          </w:tcPr>
          <w:p>
            <w:r>
              <w:t>$303.00</w:t>
            </w:r>
          </w:p>
        </w:tc>
        <w:tc>
          <w:tcPr>
            <w:tcW w:type="dxa" w:w="2160"/>
          </w:tcPr>
          <w:p>
            <w:r>
              <w:t>+18%</w:t>
            </w:r>
          </w:p>
        </w:tc>
        <w:tc>
          <w:tcPr>
            <w:tcW w:type="dxa" w:w="2160"/>
          </w:tcPr>
          <w:p>
            <w:r>
              <w:t>45%</w:t>
            </w:r>
          </w:p>
        </w:tc>
      </w:tr>
      <w:tr>
        <w:tc>
          <w:tcPr>
            <w:tcW w:type="dxa" w:w="2160"/>
          </w:tcPr>
          <w:p>
            <w:r>
              <w:t>BULL</w:t>
            </w:r>
          </w:p>
        </w:tc>
        <w:tc>
          <w:tcPr>
            <w:tcW w:type="dxa" w:w="2160"/>
          </w:tcPr>
          <w:p>
            <w:r>
              <w:t>$386.00</w:t>
            </w:r>
          </w:p>
        </w:tc>
        <w:tc>
          <w:tcPr>
            <w:tcW w:type="dxa" w:w="2160"/>
          </w:tcPr>
          <w:p>
            <w:r>
              <w:t>+50%</w:t>
            </w:r>
          </w:p>
        </w:tc>
        <w:tc>
          <w:tcPr>
            <w:tcW w:type="dxa" w:w="2160"/>
          </w:tcPr>
          <w:p>
            <w:r>
              <w:t>25%</w:t>
            </w:r>
          </w:p>
        </w:tc>
      </w:tr>
    </w:tbl>
    <w:p>
      <w:r>
        <w:rPr>
          <w:b/>
        </w:rPr>
        <w:t>Probability-weighted return: +11.5%   ·   Chance of any gain: 70%   ·   Chance of +20%: 25%   ·   Chance of a loss: 30%</w:t>
      </w:r>
    </w:p>
    <w:p>
      <w:pPr>
        <w:pStyle w:val="Heading2"/>
      </w:pPr>
      <w:r>
        <w:t>What has to go right</w:t>
      </w:r>
    </w:p>
    <w:p>
      <w:pPr>
        <w:pStyle w:val="ListBullet"/>
      </w:pPr>
      <w:r>
        <w:t>Adobe demonstrates AI monetisation that adds revenue rather than cannibalising it.</w:t>
      </w:r>
    </w:p>
    <w:p>
      <w:pPr>
        <w:pStyle w:val="ListBullet"/>
      </w:pPr>
      <w:r>
        <w:t>Growth re-accelerates toward 12%+ and the AI-disruption discount unwinds.</w:t>
      </w:r>
    </w:p>
    <w:p>
      <w:pPr>
        <w:pStyle w:val="ListBullet"/>
      </w:pPr>
      <w:r>
        <w:t>Multiple returns toward 20x earnings, still below its own historical average.</w:t>
      </w:r>
    </w:p>
    <w:p>
      <w:pPr>
        <w:pStyle w:val="Heading2"/>
      </w:pPr>
      <w:r>
        <w:t>What could go wrong</w:t>
      </w:r>
    </w:p>
    <w:p>
      <w:pPr>
        <w:pStyle w:val="ListBullet"/>
      </w:pPr>
      <w:r>
        <w:t>AI-native tools keep taking the prosumer and SMB flank; ARR growth decays from 10.9% toward mid-single digits.</w:t>
      </w:r>
    </w:p>
    <w:p>
      <w:pPr>
        <w:pStyle w:val="ListBullet"/>
      </w:pPr>
      <w:r>
        <w:t>Free-tier shift and AI compute costs compress the 36.6% operating margin.</w:t>
      </w:r>
    </w:p>
    <w:p>
      <w:pPr>
        <w:pStyle w:val="ListBullet"/>
      </w:pPr>
      <w:r>
        <w:t>Market treats Adobe as a declining franchise; multiple stays at 10-12x free cash flow on falling cash flow.</w:t>
      </w:r>
    </w:p>
    <w:p>
      <w:pPr>
        <w:pStyle w:val="Heading2"/>
      </w:pPr>
      <w:r>
        <w:t>The judgment calls a script cannot make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Score</w:t>
            </w:r>
          </w:p>
        </w:tc>
        <w:tc>
          <w:tcPr>
            <w:tcW w:type="dxa" w:w="2880"/>
          </w:tcPr>
          <w:p>
            <w:r>
              <w:rPr>
                <w:b/>
              </w:rPr>
              <w:t>Why</w:t>
            </w:r>
          </w:p>
        </w:tc>
      </w:tr>
      <w:tr>
        <w:tc>
          <w:tcPr>
            <w:tcW w:type="dxa" w:w="2880"/>
          </w:tcPr>
          <w:p>
            <w:r>
              <w:t>Business quality (15)</w:t>
            </w:r>
          </w:p>
        </w:tc>
        <w:tc>
          <w:tcPr>
            <w:tcW w:type="dxa" w:w="2880"/>
          </w:tcPr>
          <w:p>
            <w:r>
              <w:t>12</w:t>
            </w:r>
          </w:p>
        </w:tc>
        <w:tc>
          <w:tcPr>
            <w:tcW w:type="dxa" w:w="2880"/>
          </w:tcPr>
          <w:p>
            <w:r>
              <w:rPr>
                <w:sz w:val="17"/>
              </w:rPr>
              <w:t>Operating margin 36.6%, net margin 30.0%, FCF margin 41.4%, ROIC 63.2% - all exceptional and stable across six years. Subscription model gives recurring revenue. Revenue grew from $12.9B (FY2020) to $23.8B (FY2025) with NO covid distortion: +23,+12,+10,+11,+11% year by year, the only clean growth series among the four candidates. Deducted 3 points because quality here is measured on a business model now facing a genuine technology shift; historical margins do not guarantee future ones.</w:t>
            </w:r>
          </w:p>
        </w:tc>
      </w:tr>
      <w:tr>
        <w:tc>
          <w:tcPr>
            <w:tcW w:type="dxa" w:w="2880"/>
          </w:tcPr>
          <w:p>
            <w:r>
              <w:t>Moat (10)</w:t>
            </w:r>
          </w:p>
        </w:tc>
        <w:tc>
          <w:tcPr>
            <w:tcW w:type="dxa" w:w="2880"/>
          </w:tcPr>
          <w:p>
            <w:r>
              <w:t>5</w:t>
            </w:r>
          </w:p>
        </w:tc>
        <w:tc>
          <w:tcPr>
            <w:tcW w:type="dxa" w:w="2880"/>
          </w:tcPr>
          <w:p>
            <w:r>
              <w:rPr>
                <w:sz w:val="17"/>
              </w:rPr>
              <w:t>Historically a wide moat: Creative Cloud switching costs, PDF as a de facto standard, entrenchment through education. But the moat is measurably narrowing at the low end. Adobe's ARR growth has decelerated to ~10.9% while Canva and Figma are reported growing ARR at ~30% and ~40%. Generative AI attacks the specific thing Adobe sells - the skilled production of images and layouts. Half marks: the enterprise/professional core still looks defensible, the prosumer and SMB flank does not.</w:t>
            </w:r>
          </w:p>
        </w:tc>
      </w:tr>
      <w:tr>
        <w:tc>
          <w:tcPr>
            <w:tcW w:type="dxa" w:w="2880"/>
          </w:tcPr>
          <w:p>
            <w:r>
              <w:t>Catalysts (10)</w:t>
            </w:r>
          </w:p>
        </w:tc>
        <w:tc>
          <w:tcPr>
            <w:tcW w:type="dxa" w:w="2880"/>
          </w:tcPr>
          <w:p>
            <w:r>
              <w:t>6</w:t>
            </w:r>
          </w:p>
        </w:tc>
        <w:tc>
          <w:tcPr>
            <w:tcW w:type="dxa" w:w="2880"/>
          </w:tcPr>
          <w:p>
            <w:r>
              <w:rPr>
                <w:sz w:val="17"/>
              </w:rPr>
              <w:t>Real and dated: Q3 FY2026 earnings due within weeks, and a $25B buyback authorisation that shrinks share count against a depressed price (diluted shares already -12.0% over the window). The genuine re-rating catalyst - visible evidence that AI monetisation offsets prosumer share loss - has no date attached and may not arrive. Adobe has beaten EPS five straight quarters and the stock still fell, which means beats alone are not the catalyst.</w:t>
            </w:r>
          </w:p>
        </w:tc>
      </w:tr>
      <w:tr>
        <w:tc>
          <w:tcPr>
            <w:tcW w:type="dxa" w:w="2880"/>
          </w:tcPr>
          <w:p>
            <w:r>
              <w:t>Risk / reward (10)</w:t>
            </w:r>
          </w:p>
        </w:tc>
        <w:tc>
          <w:tcPr>
            <w:tcW w:type="dxa" w:w="2880"/>
          </w:tcPr>
          <w:p>
            <w:r>
              <w:t>6</w:t>
            </w:r>
          </w:p>
        </w:tc>
        <w:tc>
          <w:tcPr>
            <w:tcW w:type="dxa" w:w="2880"/>
          </w:tcPr>
          <w:p>
            <w:r>
              <w:rPr>
                <w:sz w:val="17"/>
              </w:rPr>
              <w:t>Base case +22% against a bear case of -30%, at roughly 45/30 odds. Positive expectancy but not the asymmetry I would want when the bear case is structural rather than cyclical. A 9.6% FCF yield and net cash provide a real floor; an AI-driven moat collapse has no floor.</w:t>
            </w:r>
          </w:p>
        </w:tc>
      </w:tr>
      <w:tr>
        <w:tc>
          <w:tcPr>
            <w:tcW w:type="dxa" w:w="2880"/>
          </w:tcPr>
          <w:p>
            <w:r>
              <w:t>Management (5)</w:t>
            </w:r>
          </w:p>
        </w:tc>
        <w:tc>
          <w:tcPr>
            <w:tcW w:type="dxa" w:w="2880"/>
          </w:tcPr>
          <w:p>
            <w:r>
              <w:t>3</w:t>
            </w:r>
          </w:p>
        </w:tc>
        <w:tc>
          <w:tcPr>
            <w:tcW w:type="dxa" w:w="2880"/>
          </w:tcPr>
          <w:p>
            <w:r>
              <w:rPr>
                <w:sz w:val="17"/>
              </w:rPr>
              <w:t>Capital allocation is shareholder-friendly in direction - consistent buybacks, share count down 12% - but was price-insensitive, running at the same pace when the multiple was roughly double today's. Operationally credible (five consecutive EPS beats). Deducted for the narrative failure: management has not convinced the market that its AI strategy defends the franchise, and that is management's job.</w:t>
            </w:r>
          </w:p>
        </w:tc>
      </w:tr>
    </w:tbl>
    <w:p>
      <w:r>
        <w:rPr>
          <w:i/>
          <w:sz w:val="18"/>
        </w:rPr>
        <w:t>Full written thesis with sources: research/theses/ADBE.md</w:t>
      </w:r>
    </w:p>
    <w:p>
      <w:r>
        <w:br w:type="page"/>
      </w:r>
    </w:p>
    <w:p>
      <w:pPr>
        <w:pStyle w:val="Heading1"/>
      </w:pPr>
      <w:r>
        <w:t>EOG Resources  (EOG)</w:t>
      </w:r>
    </w:p>
    <w:p>
      <w:r>
        <w:rPr>
          <w:b/>
        </w:rPr>
        <w:t xml:space="preserve">$145.36  ·  Score 67.6/100  ·  </w:t>
      </w:r>
      <w:r>
        <w:rPr>
          <w:b/>
          <w:color w:val="B3261E"/>
        </w:rPr>
        <w:t>AVOID</w:t>
      </w:r>
      <w:r>
        <w:t xml:space="preserve">  ·  12-month horizon</w:t>
      </w:r>
    </w:p>
    <w:p>
      <w:pPr>
        <w:pStyle w:val="Heading2"/>
      </w:pPr>
      <w:r>
        <w:t>The numbers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Metric</w:t>
            </w:r>
          </w:p>
        </w:tc>
        <w:tc>
          <w:tcPr>
            <w:tcW w:type="dxa" w:w="2160"/>
          </w:tcPr>
          <w:p>
            <w:r>
              <w:rPr>
                <w:b/>
              </w:rPr>
              <w:t>Value</w:t>
            </w:r>
          </w:p>
        </w:tc>
      </w:tr>
      <w:tr>
        <w:tc>
          <w:tcPr>
            <w:tcW w:type="dxa" w:w="2160"/>
          </w:tcPr>
          <w:p>
            <w:r>
              <w:t>Operating margin</w:t>
            </w:r>
          </w:p>
        </w:tc>
        <w:tc>
          <w:tcPr>
            <w:tcW w:type="dxa" w:w="2160"/>
          </w:tcPr>
          <w:p>
            <w:r>
              <w:t>28.2%</w:t>
            </w:r>
          </w:p>
        </w:tc>
        <w:tc>
          <w:tcPr>
            <w:tcW w:type="dxa" w:w="2160"/>
          </w:tcPr>
          <w:p>
            <w:r>
              <w:t>P/E ratio</w:t>
            </w:r>
          </w:p>
        </w:tc>
        <w:tc>
          <w:tcPr>
            <w:tcW w:type="dxa" w:w="2160"/>
          </w:tcPr>
          <w:p>
            <w:r>
              <w:t>15.3x</w:t>
            </w:r>
          </w:p>
        </w:tc>
      </w:tr>
      <w:tr>
        <w:tc>
          <w:tcPr>
            <w:tcW w:type="dxa" w:w="2160"/>
          </w:tcPr>
          <w:p>
            <w:r>
              <w:t>Free cash flow margin</w:t>
            </w:r>
          </w:p>
        </w:tc>
        <w:tc>
          <w:tcPr>
            <w:tcW w:type="dxa" w:w="2160"/>
          </w:tcPr>
          <w:p>
            <w:r>
              <w:t>42.3%</w:t>
            </w:r>
          </w:p>
        </w:tc>
        <w:tc>
          <w:tcPr>
            <w:tcW w:type="dxa" w:w="2160"/>
          </w:tcPr>
          <w:p>
            <w:r>
              <w:t>P/FCF</w:t>
            </w:r>
          </w:p>
        </w:tc>
        <w:tc>
          <w:tcPr>
            <w:tcW w:type="dxa" w:w="2160"/>
          </w:tcPr>
          <w:p>
            <w:r>
              <w:t>8.0x</w:t>
            </w:r>
          </w:p>
        </w:tc>
      </w:tr>
      <w:tr>
        <w:tc>
          <w:tcPr>
            <w:tcW w:type="dxa" w:w="2160"/>
          </w:tcPr>
          <w:p>
            <w:r>
              <w:t>ROIC</w:t>
            </w:r>
          </w:p>
        </w:tc>
        <w:tc>
          <w:tcPr>
            <w:tcW w:type="dxa" w:w="2160"/>
          </w:tcPr>
          <w:p>
            <w:r>
              <w:t>14.5%</w:t>
            </w:r>
          </w:p>
        </w:tc>
        <w:tc>
          <w:tcPr>
            <w:tcW w:type="dxa" w:w="2160"/>
          </w:tcPr>
          <w:p>
            <w:r>
              <w:t>FCF yield</w:t>
            </w:r>
          </w:p>
        </w:tc>
        <w:tc>
          <w:tcPr>
            <w:tcW w:type="dxa" w:w="2160"/>
          </w:tcPr>
          <w:p>
            <w:r>
              <w:t>12.5%</w:t>
            </w:r>
          </w:p>
        </w:tc>
      </w:tr>
      <w:tr>
        <w:tc>
          <w:tcPr>
            <w:tcW w:type="dxa" w:w="2160"/>
          </w:tcPr>
          <w:p>
            <w:r>
              <w:t>Revenue CAGR (6y)</w:t>
            </w:r>
          </w:p>
        </w:tc>
        <w:tc>
          <w:tcPr>
            <w:tcW w:type="dxa" w:w="2160"/>
          </w:tcPr>
          <w:p>
            <w:r>
              <w:t>15.5%</w:t>
            </w:r>
          </w:p>
        </w:tc>
        <w:tc>
          <w:tcPr>
            <w:tcW w:type="dxa" w:w="2160"/>
          </w:tcPr>
          <w:p>
            <w:r>
              <w:t>Revenue CAGR (recent 3y)</w:t>
            </w:r>
          </w:p>
        </w:tc>
        <w:tc>
          <w:tcPr>
            <w:tcW w:type="dxa" w:w="2160"/>
          </w:tcPr>
          <w:p>
            <w:r>
              <w:t>not available</w:t>
            </w:r>
          </w:p>
        </w:tc>
      </w:tr>
      <w:tr>
        <w:tc>
          <w:tcPr>
            <w:tcW w:type="dxa" w:w="2160"/>
          </w:tcPr>
          <w:p>
            <w:r>
              <w:t>Free cash flow</w:t>
            </w:r>
          </w:p>
        </w:tc>
        <w:tc>
          <w:tcPr>
            <w:tcW w:type="dxa" w:w="2160"/>
          </w:tcPr>
          <w:p>
            <w:r>
              <w:t>$9.56B</w:t>
            </w:r>
          </w:p>
        </w:tc>
        <w:tc>
          <w:tcPr>
            <w:tcW w:type="dxa" w:w="2160"/>
          </w:tcPr>
          <w:p>
            <w:r>
              <w:t>Share count change</w:t>
            </w:r>
          </w:p>
        </w:tc>
        <w:tc>
          <w:tcPr>
            <w:tcW w:type="dxa" w:w="2160"/>
          </w:tcPr>
          <w:p>
            <w:r>
              <w:t>-5.7%</w:t>
            </w:r>
          </w:p>
        </w:tc>
      </w:tr>
      <w:tr>
        <w:tc>
          <w:tcPr>
            <w:tcW w:type="dxa" w:w="2160"/>
          </w:tcPr>
          <w:p>
            <w:r>
              <w:t>Debt / equity</w:t>
            </w:r>
          </w:p>
        </w:tc>
        <w:tc>
          <w:tcPr>
            <w:tcW w:type="dxa" w:w="2160"/>
          </w:tcPr>
          <w:p>
            <w:r>
              <w:t>0.27x</w:t>
            </w:r>
          </w:p>
        </w:tc>
        <w:tc>
          <w:tcPr>
            <w:tcW w:type="dxa" w:w="2160"/>
          </w:tcPr>
          <w:p>
            <w:r>
              <w:t>Net debt / EBITDA</w:t>
            </w:r>
          </w:p>
        </w:tc>
        <w:tc>
          <w:tcPr>
            <w:tcW w:type="dxa" w:w="2160"/>
          </w:tcPr>
          <w:p>
            <w:r>
              <w:t>0.42x</w:t>
            </w:r>
          </w:p>
        </w:tc>
      </w:tr>
    </w:tbl>
    <w:p>
      <w:pPr>
        <w:pStyle w:val="Heading2"/>
      </w:pPr>
      <w:r>
        <w:t>If it goes well, and if it goes badly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Target price</w:t>
            </w:r>
          </w:p>
        </w:tc>
        <w:tc>
          <w:tcPr>
            <w:tcW w:type="dxa" w:w="2160"/>
          </w:tcPr>
          <w:p>
            <w:r>
              <w:rPr>
                <w:b/>
              </w:rPr>
              <w:t>Return</w:t>
            </w:r>
          </w:p>
        </w:tc>
        <w:tc>
          <w:tcPr>
            <w:tcW w:type="dxa" w:w="2160"/>
          </w:tcPr>
          <w:p>
            <w:r>
              <w:rPr>
                <w:b/>
              </w:rPr>
              <w:t>Likelihood</w:t>
            </w:r>
          </w:p>
        </w:tc>
      </w:tr>
      <w:tr>
        <w:tc>
          <w:tcPr>
            <w:tcW w:type="dxa" w:w="2160"/>
          </w:tcPr>
          <w:p>
            <w:r>
              <w:t>BEAR</w:t>
            </w:r>
          </w:p>
        </w:tc>
        <w:tc>
          <w:tcPr>
            <w:tcW w:type="dxa" w:w="2160"/>
          </w:tcPr>
          <w:p>
            <w:r>
              <w:t>$99.00</w:t>
            </w:r>
          </w:p>
        </w:tc>
        <w:tc>
          <w:tcPr>
            <w:tcW w:type="dxa" w:w="2160"/>
          </w:tcPr>
          <w:p>
            <w:r>
              <w:t>-32%</w:t>
            </w:r>
          </w:p>
        </w:tc>
        <w:tc>
          <w:tcPr>
            <w:tcW w:type="dxa" w:w="2160"/>
          </w:tcPr>
          <w:p>
            <w:r>
              <w:t>30%</w:t>
            </w:r>
          </w:p>
        </w:tc>
      </w:tr>
      <w:tr>
        <w:tc>
          <w:tcPr>
            <w:tcW w:type="dxa" w:w="2160"/>
          </w:tcPr>
          <w:p>
            <w:r>
              <w:t>BASE</w:t>
            </w:r>
          </w:p>
        </w:tc>
        <w:tc>
          <w:tcPr>
            <w:tcW w:type="dxa" w:w="2160"/>
          </w:tcPr>
          <w:p>
            <w:r>
              <w:t>$167.00</w:t>
            </w:r>
          </w:p>
        </w:tc>
        <w:tc>
          <w:tcPr>
            <w:tcW w:type="dxa" w:w="2160"/>
          </w:tcPr>
          <w:p>
            <w:r>
              <w:t>+15%</w:t>
            </w:r>
          </w:p>
        </w:tc>
        <w:tc>
          <w:tcPr>
            <w:tcW w:type="dxa" w:w="2160"/>
          </w:tcPr>
          <w:p>
            <w:r>
              <w:t>45%</w:t>
            </w:r>
          </w:p>
        </w:tc>
      </w:tr>
      <w:tr>
        <w:tc>
          <w:tcPr>
            <w:tcW w:type="dxa" w:w="2160"/>
          </w:tcPr>
          <w:p>
            <w:r>
              <w:t>BULL</w:t>
            </w:r>
          </w:p>
        </w:tc>
        <w:tc>
          <w:tcPr>
            <w:tcW w:type="dxa" w:w="2160"/>
          </w:tcPr>
          <w:p>
            <w:r>
              <w:t>$203.00</w:t>
            </w:r>
          </w:p>
        </w:tc>
        <w:tc>
          <w:tcPr>
            <w:tcW w:type="dxa" w:w="2160"/>
          </w:tcPr>
          <w:p>
            <w:r>
              <w:t>+40%</w:t>
            </w:r>
          </w:p>
        </w:tc>
        <w:tc>
          <w:tcPr>
            <w:tcW w:type="dxa" w:w="2160"/>
          </w:tcPr>
          <w:p>
            <w:r>
              <w:t>25%</w:t>
            </w:r>
          </w:p>
        </w:tc>
      </w:tr>
    </w:tbl>
    <w:p>
      <w:r>
        <w:rPr>
          <w:b/>
        </w:rPr>
        <w:t>Probability-weighted return: +7.0%   ·   Chance of any gain: 70%   ·   Chance of +20%: 25%   ·   Chance of a loss: 30%</w:t>
      </w:r>
    </w:p>
    <w:p>
      <w:pPr>
        <w:pStyle w:val="Heading2"/>
      </w:pPr>
      <w:r>
        <w:t>What has to go right</w:t>
      </w:r>
    </w:p>
    <w:p>
      <w:pPr>
        <w:pStyle w:val="ListBullet"/>
      </w:pPr>
      <w:r>
        <w:t>Oil prices rally on supply discipline or a demand surprise.</w:t>
      </w:r>
    </w:p>
    <w:p>
      <w:pPr>
        <w:pStyle w:val="ListBullet"/>
      </w:pPr>
      <w:r>
        <w:t>Encino integration keeps exceeding its $150M synergy target and unit costs fall.</w:t>
      </w:r>
    </w:p>
    <w:p>
      <w:pPr>
        <w:pStyle w:val="ListBullet"/>
      </w:pPr>
      <w:r>
        <w:t>Multiple expands from 7.4x EV/EBITDA as free cash flow beats plan.</w:t>
      </w:r>
    </w:p>
    <w:p>
      <w:pPr>
        <w:pStyle w:val="Heading2"/>
      </w:pPr>
      <w:r>
        <w:t>What could go wrong</w:t>
      </w:r>
    </w:p>
    <w:p>
      <w:pPr>
        <w:pStyle w:val="ListBullet"/>
      </w:pPr>
      <w:r>
        <w:t>Oil falls into the $50s; revenue, free cash flow, buyback and variable returns compress together.</w:t>
      </w:r>
    </w:p>
    <w:p>
      <w:pPr>
        <w:pStyle w:val="ListBullet"/>
      </w:pPr>
      <w:r>
        <w:t>Revenue has already declined three consecutive years (-6%, -2%, -4%) before any downcycle.</w:t>
      </w:r>
    </w:p>
    <w:p>
      <w:pPr>
        <w:pStyle w:val="ListBullet"/>
      </w:pPr>
      <w:r>
        <w:t>Multiple compresses as the market prices a lower mid-cycle oil price.</w:t>
      </w:r>
    </w:p>
    <w:p>
      <w:pPr>
        <w:pStyle w:val="Heading2"/>
      </w:pPr>
      <w:r>
        <w:t>The judgment calls a script cannot make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Score</w:t>
            </w:r>
          </w:p>
        </w:tc>
        <w:tc>
          <w:tcPr>
            <w:tcW w:type="dxa" w:w="2880"/>
          </w:tcPr>
          <w:p>
            <w:r>
              <w:rPr>
                <w:b/>
              </w:rPr>
              <w:t>Why</w:t>
            </w:r>
          </w:p>
        </w:tc>
      </w:tr>
      <w:tr>
        <w:tc>
          <w:tcPr>
            <w:tcW w:type="dxa" w:w="2880"/>
          </w:tcPr>
          <w:p>
            <w:r>
              <w:t>Business quality (15)</w:t>
            </w:r>
          </w:p>
        </w:tc>
        <w:tc>
          <w:tcPr>
            <w:tcW w:type="dxa" w:w="2880"/>
          </w:tcPr>
          <w:p>
            <w:r>
              <w:t>8</w:t>
            </w:r>
          </w:p>
        </w:tc>
        <w:tc>
          <w:tcPr>
            <w:tcW w:type="dxa" w:w="2880"/>
          </w:tcPr>
          <w:p>
            <w:r>
              <w:rPr>
                <w:sz w:val="17"/>
              </w:rPr>
              <w:t>A high-quality operator inside a low-quality industry. ROIC 14.5%, FCF margin 42.3%, debt/equity 0.27 - a genuinely conservative balance sheet for an E&amp;P. But the product is an undifferentiated commodity sold at a price the company does not set. Revenue has FALLEN three consecutive years (-6%, -2%, -4%); the headline 15.5% six-year CAGR is an artefact of measuring from the 2020 oil crash and is not evidence of growth.</w:t>
            </w:r>
          </w:p>
        </w:tc>
      </w:tr>
      <w:tr>
        <w:tc>
          <w:tcPr>
            <w:tcW w:type="dxa" w:w="2880"/>
          </w:tcPr>
          <w:p>
            <w:r>
              <w:t>Moat (10)</w:t>
            </w:r>
          </w:p>
        </w:tc>
        <w:tc>
          <w:tcPr>
            <w:tcW w:type="dxa" w:w="2880"/>
          </w:tcPr>
          <w:p>
            <w:r>
              <w:t>4</w:t>
            </w:r>
          </w:p>
        </w:tc>
        <w:tc>
          <w:tcPr>
            <w:tcW w:type="dxa" w:w="2880"/>
          </w:tcPr>
          <w:p>
            <w:r>
              <w:rPr>
                <w:sz w:val="17"/>
              </w:rPr>
              <w:t>The only durable edge available in E&amp;P is cost per barrel and acreage quality, and EOG has historically been among the better operators - the Encino acquisition exceeded its $150M synergy target. But no oil producer has pricing power. Its economics are set by OPEC decisions and global demand, neither of which any moat protects against.</w:t>
            </w:r>
          </w:p>
        </w:tc>
      </w:tr>
      <w:tr>
        <w:tc>
          <w:tcPr>
            <w:tcW w:type="dxa" w:w="2880"/>
          </w:tcPr>
          <w:p>
            <w:r>
              <w:t>Catalysts (10)</w:t>
            </w:r>
          </w:p>
        </w:tc>
        <w:tc>
          <w:tcPr>
            <w:tcW w:type="dxa" w:w="2880"/>
          </w:tcPr>
          <w:p>
            <w:r>
              <w:t>5</w:t>
            </w:r>
          </w:p>
        </w:tc>
        <w:tc>
          <w:tcPr>
            <w:tcW w:type="dxa" w:w="2880"/>
          </w:tcPr>
          <w:p>
            <w:r>
              <w:rPr>
                <w:sz w:val="17"/>
              </w:rPr>
              <w:t>Dated and real: the 2026 capital plan targets ~$4.5B free cash flow at strip pricing with 5% oil production growth and 13% total production growth including Encino, and the company returned 100% of FCF to shareholders last year ($1.8B in Q2 2026 alone). That is a mechanical return of capital, not a hope. Marked down because the dominant variable - the oil price - is not a catalyst anyone can schedule or forecast.</w:t>
            </w:r>
          </w:p>
        </w:tc>
      </w:tr>
      <w:tr>
        <w:tc>
          <w:tcPr>
            <w:tcW w:type="dxa" w:w="2880"/>
          </w:tcPr>
          <w:p>
            <w:r>
              <w:t>Risk / reward (10)</w:t>
            </w:r>
          </w:p>
        </w:tc>
        <w:tc>
          <w:tcPr>
            <w:tcW w:type="dxa" w:w="2880"/>
          </w:tcPr>
          <w:p>
            <w:r>
              <w:t>5</w:t>
            </w:r>
          </w:p>
        </w:tc>
        <w:tc>
          <w:tcPr>
            <w:tcW w:type="dxa" w:w="2880"/>
          </w:tcPr>
          <w:p>
            <w:r>
              <w:rPr>
                <w:sz w:val="17"/>
              </w:rPr>
              <w:t>A 12.5% FCF yield returned almost entirely to shareholders sets a solid floor while oil holds. But the bear case is a commodity downcycle in which revenue, FCF, the buyback and possibly the variable dividend all compress together - correlated, not independent, risks. Roughly +18% base against -32% bear. The honest statement is that this position is primarily a bet on the oil price, which I cannot forecast.</w:t>
            </w:r>
          </w:p>
        </w:tc>
      </w:tr>
      <w:tr>
        <w:tc>
          <w:tcPr>
            <w:tcW w:type="dxa" w:w="2880"/>
          </w:tcPr>
          <w:p>
            <w:r>
              <w:t>Management (5)</w:t>
            </w:r>
          </w:p>
        </w:tc>
        <w:tc>
          <w:tcPr>
            <w:tcW w:type="dxa" w:w="2880"/>
          </w:tcPr>
          <w:p>
            <w:r>
              <w:t>4</w:t>
            </w:r>
          </w:p>
        </w:tc>
        <w:tc>
          <w:tcPr>
            <w:tcW w:type="dxa" w:w="2880"/>
          </w:tcPr>
          <w:p>
            <w:r>
              <w:rPr>
                <w:sz w:val="17"/>
              </w:rPr>
              <w:t>Among the better capital allocators in the sector: returned 100% of 2025 free cash flow via a growing regular dividend (+8%) and $2.5B of buybacks, kept leverage low, and integrated Encino ahead of its synergy target. Share count down 5.7%. Withheld one point because buying back stock with commodity cash flow is inherently pro-cyclical - it buys most when prices are high.</w:t>
            </w:r>
          </w:p>
        </w:tc>
      </w:tr>
    </w:tbl>
    <w:p>
      <w:r>
        <w:rPr>
          <w:i/>
          <w:sz w:val="18"/>
        </w:rPr>
        <w:t>Full written thesis with sources: research/theses/EOG.md</w:t>
      </w:r>
    </w:p>
    <w:p>
      <w:r>
        <w:br w:type="page"/>
      </w:r>
    </w:p>
    <w:p>
      <w:pPr>
        <w:pStyle w:val="Heading1"/>
      </w:pPr>
      <w:r>
        <w:t>Ulta Beauty  (ULTA)</w:t>
      </w:r>
    </w:p>
    <w:p>
      <w:r>
        <w:rPr>
          <w:b/>
        </w:rPr>
        <w:t xml:space="preserve">$549.23  ·  Score 66.2/100  ·  </w:t>
      </w:r>
      <w:r>
        <w:rPr>
          <w:b/>
          <w:color w:val="B3261E"/>
        </w:rPr>
        <w:t>AVOID</w:t>
      </w:r>
      <w:r>
        <w:t xml:space="preserve">  ·  12-month horizon</w:t>
      </w:r>
    </w:p>
    <w:p>
      <w:pPr>
        <w:pStyle w:val="Heading2"/>
      </w:pPr>
      <w:r>
        <w:t>The numbers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Value</w:t>
            </w:r>
          </w:p>
        </w:tc>
        <w:tc>
          <w:tcPr>
            <w:tcW w:type="dxa" w:w="2160"/>
          </w:tcPr>
          <w:p>
            <w:r>
              <w:rPr>
                <w:b/>
              </w:rPr>
              <w:t>Metric</w:t>
            </w:r>
          </w:p>
        </w:tc>
        <w:tc>
          <w:tcPr>
            <w:tcW w:type="dxa" w:w="2160"/>
          </w:tcPr>
          <w:p>
            <w:r>
              <w:rPr>
                <w:b/>
              </w:rPr>
              <w:t>Value</w:t>
            </w:r>
          </w:p>
        </w:tc>
      </w:tr>
      <w:tr>
        <w:tc>
          <w:tcPr>
            <w:tcW w:type="dxa" w:w="2160"/>
          </w:tcPr>
          <w:p>
            <w:r>
              <w:t>Operating margin</w:t>
            </w:r>
          </w:p>
        </w:tc>
        <w:tc>
          <w:tcPr>
            <w:tcW w:type="dxa" w:w="2160"/>
          </w:tcPr>
          <w:p>
            <w:r>
              <w:t>12.4%</w:t>
            </w:r>
          </w:p>
        </w:tc>
        <w:tc>
          <w:tcPr>
            <w:tcW w:type="dxa" w:w="2160"/>
          </w:tcPr>
          <w:p>
            <w:r>
              <w:t>P/E ratio</w:t>
            </w:r>
          </w:p>
        </w:tc>
        <w:tc>
          <w:tcPr>
            <w:tcW w:type="dxa" w:w="2160"/>
          </w:tcPr>
          <w:p>
            <w:r>
              <w:t>20.4x</w:t>
            </w:r>
          </w:p>
        </w:tc>
      </w:tr>
      <w:tr>
        <w:tc>
          <w:tcPr>
            <w:tcW w:type="dxa" w:w="2160"/>
          </w:tcPr>
          <w:p>
            <w:r>
              <w:t>Free cash flow margin</w:t>
            </w:r>
          </w:p>
        </w:tc>
        <w:tc>
          <w:tcPr>
            <w:tcW w:type="dxa" w:w="2160"/>
          </w:tcPr>
          <w:p>
            <w:r>
              <w:t>8.6%</w:t>
            </w:r>
          </w:p>
        </w:tc>
        <w:tc>
          <w:tcPr>
            <w:tcW w:type="dxa" w:w="2160"/>
          </w:tcPr>
          <w:p>
            <w:r>
              <w:t>P/FCF</w:t>
            </w:r>
          </w:p>
        </w:tc>
        <w:tc>
          <w:tcPr>
            <w:tcW w:type="dxa" w:w="2160"/>
          </w:tcPr>
          <w:p>
            <w:r>
              <w:t>22.0x</w:t>
            </w:r>
          </w:p>
        </w:tc>
      </w:tr>
      <w:tr>
        <w:tc>
          <w:tcPr>
            <w:tcW w:type="dxa" w:w="2160"/>
          </w:tcPr>
          <w:p>
            <w:r>
              <w:t>ROIC</w:t>
            </w:r>
          </w:p>
        </w:tc>
        <w:tc>
          <w:tcPr>
            <w:tcW w:type="dxa" w:w="2160"/>
          </w:tcPr>
          <w:p>
            <w:r>
              <w:t>49.3%</w:t>
            </w:r>
          </w:p>
        </w:tc>
        <w:tc>
          <w:tcPr>
            <w:tcW w:type="dxa" w:w="2160"/>
          </w:tcPr>
          <w:p>
            <w:r>
              <w:t>FCF yield</w:t>
            </w:r>
          </w:p>
        </w:tc>
        <w:tc>
          <w:tcPr>
            <w:tcW w:type="dxa" w:w="2160"/>
          </w:tcPr>
          <w:p>
            <w:r>
              <w:t>4.5%</w:t>
            </w:r>
          </w:p>
        </w:tc>
      </w:tr>
      <w:tr>
        <w:tc>
          <w:tcPr>
            <w:tcW w:type="dxa" w:w="2160"/>
          </w:tcPr>
          <w:p>
            <w:r>
              <w:t>Revenue CAGR (6y)</w:t>
            </w:r>
          </w:p>
        </w:tc>
        <w:tc>
          <w:tcPr>
            <w:tcW w:type="dxa" w:w="2160"/>
          </w:tcPr>
          <w:p>
            <w:r>
              <w:t>15.0%</w:t>
            </w:r>
          </w:p>
        </w:tc>
        <w:tc>
          <w:tcPr>
            <w:tcW w:type="dxa" w:w="2160"/>
          </w:tcPr>
          <w:p>
            <w:r>
              <w:t>Revenue CAGR (recent 3y)</w:t>
            </w:r>
          </w:p>
        </w:tc>
        <w:tc>
          <w:tcPr>
            <w:tcW w:type="dxa" w:w="2160"/>
          </w:tcPr>
          <w:p>
            <w:r>
              <w:t>not available</w:t>
            </w:r>
          </w:p>
        </w:tc>
      </w:tr>
      <w:tr>
        <w:tc>
          <w:tcPr>
            <w:tcW w:type="dxa" w:w="2160"/>
          </w:tcPr>
          <w:p>
            <w:r>
              <w:t>Free cash flow</w:t>
            </w:r>
          </w:p>
        </w:tc>
        <w:tc>
          <w:tcPr>
            <w:tcW w:type="dxa" w:w="2160"/>
          </w:tcPr>
          <w:p>
            <w:r>
              <w:t>$1.07B</w:t>
            </w:r>
          </w:p>
        </w:tc>
        <w:tc>
          <w:tcPr>
            <w:tcW w:type="dxa" w:w="2160"/>
          </w:tcPr>
          <w:p>
            <w:r>
              <w:t>Share count change</w:t>
            </w:r>
          </w:p>
        </w:tc>
        <w:tc>
          <w:tcPr>
            <w:tcW w:type="dxa" w:w="2160"/>
          </w:tcPr>
          <w:p>
            <w:r>
              <w:t>-20.5%</w:t>
            </w:r>
          </w:p>
        </w:tc>
      </w:tr>
      <w:tr>
        <w:tc>
          <w:tcPr>
            <w:tcW w:type="dxa" w:w="2160"/>
          </w:tcPr>
          <w:p>
            <w:r>
              <w:t>Debt / equity</w:t>
            </w:r>
          </w:p>
        </w:tc>
        <w:tc>
          <w:tcPr>
            <w:tcW w:type="dxa" w:w="2160"/>
          </w:tcPr>
          <w:p>
            <w:r>
              <w:t>0.02x</w:t>
            </w:r>
          </w:p>
        </w:tc>
        <w:tc>
          <w:tcPr>
            <w:tcW w:type="dxa" w:w="2160"/>
          </w:tcPr>
          <w:p>
            <w:r>
              <w:t>Net debt / EBITDA</w:t>
            </w:r>
          </w:p>
        </w:tc>
        <w:tc>
          <w:tcPr>
            <w:tcW w:type="dxa" w:w="2160"/>
          </w:tcPr>
          <w:p>
            <w:r>
              <w:t>-0.24x</w:t>
            </w:r>
          </w:p>
        </w:tc>
      </w:tr>
    </w:tbl>
    <w:p>
      <w:pPr>
        <w:pStyle w:val="Heading2"/>
      </w:pPr>
      <w:r>
        <w:t>If it goes well, and if it goes badly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Target price</w:t>
            </w:r>
          </w:p>
        </w:tc>
        <w:tc>
          <w:tcPr>
            <w:tcW w:type="dxa" w:w="2160"/>
          </w:tcPr>
          <w:p>
            <w:r>
              <w:rPr>
                <w:b/>
              </w:rPr>
              <w:t>Return</w:t>
            </w:r>
          </w:p>
        </w:tc>
        <w:tc>
          <w:tcPr>
            <w:tcW w:type="dxa" w:w="2160"/>
          </w:tcPr>
          <w:p>
            <w:r>
              <w:rPr>
                <w:b/>
              </w:rPr>
              <w:t>Likelihood</w:t>
            </w:r>
          </w:p>
        </w:tc>
      </w:tr>
      <w:tr>
        <w:tc>
          <w:tcPr>
            <w:tcW w:type="dxa" w:w="2160"/>
          </w:tcPr>
          <w:p>
            <w:r>
              <w:t>BEAR</w:t>
            </w:r>
          </w:p>
        </w:tc>
        <w:tc>
          <w:tcPr>
            <w:tcW w:type="dxa" w:w="2160"/>
          </w:tcPr>
          <w:p>
            <w:r>
              <w:t>$395.00</w:t>
            </w:r>
          </w:p>
        </w:tc>
        <w:tc>
          <w:tcPr>
            <w:tcW w:type="dxa" w:w="2160"/>
          </w:tcPr>
          <w:p>
            <w:r>
              <w:t>-28%</w:t>
            </w:r>
          </w:p>
        </w:tc>
        <w:tc>
          <w:tcPr>
            <w:tcW w:type="dxa" w:w="2160"/>
          </w:tcPr>
          <w:p>
            <w:r>
              <w:t>35%</w:t>
            </w:r>
          </w:p>
        </w:tc>
      </w:tr>
      <w:tr>
        <w:tc>
          <w:tcPr>
            <w:tcW w:type="dxa" w:w="2160"/>
          </w:tcPr>
          <w:p>
            <w:r>
              <w:t>BASE</w:t>
            </w:r>
          </w:p>
        </w:tc>
        <w:tc>
          <w:tcPr>
            <w:tcW w:type="dxa" w:w="2160"/>
          </w:tcPr>
          <w:p>
            <w:r>
              <w:t>$615.00</w:t>
            </w:r>
          </w:p>
        </w:tc>
        <w:tc>
          <w:tcPr>
            <w:tcW w:type="dxa" w:w="2160"/>
          </w:tcPr>
          <w:p>
            <w:r>
              <w:t>+12%</w:t>
            </w:r>
          </w:p>
        </w:tc>
        <w:tc>
          <w:tcPr>
            <w:tcW w:type="dxa" w:w="2160"/>
          </w:tcPr>
          <w:p>
            <w:r>
              <w:t>45%</w:t>
            </w:r>
          </w:p>
        </w:tc>
      </w:tr>
      <w:tr>
        <w:tc>
          <w:tcPr>
            <w:tcW w:type="dxa" w:w="2160"/>
          </w:tcPr>
          <w:p>
            <w:r>
              <w:t>BULL</w:t>
            </w:r>
          </w:p>
        </w:tc>
        <w:tc>
          <w:tcPr>
            <w:tcW w:type="dxa" w:w="2160"/>
          </w:tcPr>
          <w:p>
            <w:r>
              <w:t>$714.00</w:t>
            </w:r>
          </w:p>
        </w:tc>
        <w:tc>
          <w:tcPr>
            <w:tcW w:type="dxa" w:w="2160"/>
          </w:tcPr>
          <w:p>
            <w:r>
              <w:t>+30%</w:t>
            </w:r>
          </w:p>
        </w:tc>
        <w:tc>
          <w:tcPr>
            <w:tcW w:type="dxa" w:w="2160"/>
          </w:tcPr>
          <w:p>
            <w:r>
              <w:t>20%</w:t>
            </w:r>
          </w:p>
        </w:tc>
      </w:tr>
    </w:tbl>
    <w:p>
      <w:r>
        <w:rPr>
          <w:b/>
        </w:rPr>
        <w:t>Probability-weighted return: +1.6%   ·   Chance of any gain: 65%   ·   Chance of +20%: 20%   ·   Chance of a loss: 35%</w:t>
      </w:r>
    </w:p>
    <w:p>
      <w:pPr>
        <w:pStyle w:val="Heading2"/>
      </w:pPr>
      <w:r>
        <w:t>What has to go right</w:t>
      </w:r>
    </w:p>
    <w:p>
      <w:pPr>
        <w:pStyle w:val="ListBullet"/>
      </w:pPr>
      <w:r>
        <w:t>Promotional intensity eases and operating margin recovers back toward 14%.</w:t>
      </w:r>
    </w:p>
    <w:p>
      <w:pPr>
        <w:pStyle w:val="ListBullet"/>
      </w:pPr>
      <w:r>
        <w:t>Comps re-accelerate above the guided range on new brand launches and loyalty gains.</w:t>
      </w:r>
    </w:p>
    <w:p>
      <w:pPr>
        <w:pStyle w:val="ListBullet"/>
      </w:pPr>
      <w:r>
        <w:t>Multiple expands as the market re-rates it back to a growth retailer.</w:t>
      </w:r>
    </w:p>
    <w:p>
      <w:pPr>
        <w:pStyle w:val="Heading2"/>
      </w:pPr>
      <w:r>
        <w:t>What could go wrong</w:t>
      </w:r>
    </w:p>
    <w:p>
      <w:pPr>
        <w:pStyle w:val="ListBullet"/>
      </w:pPr>
      <w:r>
        <w:t>Comparable sales decelerate through the guided 2-3% second half and turn negative.</w:t>
      </w:r>
    </w:p>
    <w:p>
      <w:pPr>
        <w:pStyle w:val="ListBullet"/>
      </w:pPr>
      <w:r>
        <w:t>Operating margin keeps compressing - it has already fallen three straight years while sales grew.</w:t>
      </w:r>
    </w:p>
    <w:p>
      <w:pPr>
        <w:pStyle w:val="ListBullet"/>
      </w:pPr>
      <w:r>
        <w:t>Multiple derates from 20.4x earnings once buybacks can no longer mask falling net income.</w:t>
      </w:r>
    </w:p>
    <w:p>
      <w:pPr>
        <w:pStyle w:val="Heading2"/>
      </w:pPr>
      <w:r>
        <w:t>The judgment calls a script cannot make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rPr>
              <w:t>Pillar</w:t>
            </w:r>
          </w:p>
        </w:tc>
        <w:tc>
          <w:tcPr>
            <w:tcW w:type="dxa" w:w="2880"/>
          </w:tcPr>
          <w:p>
            <w:r>
              <w:rPr>
                <w:b/>
              </w:rPr>
              <w:t>Score</w:t>
            </w:r>
          </w:p>
        </w:tc>
        <w:tc>
          <w:tcPr>
            <w:tcW w:type="dxa" w:w="2880"/>
          </w:tcPr>
          <w:p>
            <w:r>
              <w:rPr>
                <w:b/>
              </w:rPr>
              <w:t>Why</w:t>
            </w:r>
          </w:p>
        </w:tc>
      </w:tr>
      <w:tr>
        <w:tc>
          <w:tcPr>
            <w:tcW w:type="dxa" w:w="2880"/>
          </w:tcPr>
          <w:p>
            <w:r>
              <w:t>Business quality (15)</w:t>
            </w:r>
          </w:p>
        </w:tc>
        <w:tc>
          <w:tcPr>
            <w:tcW w:type="dxa" w:w="2880"/>
          </w:tcPr>
          <w:p>
            <w:r>
              <w:t>9</w:t>
            </w:r>
          </w:p>
        </w:tc>
        <w:tc>
          <w:tcPr>
            <w:tcW w:type="dxa" w:w="2880"/>
          </w:tcPr>
          <w:p>
            <w:r>
              <w:rPr>
                <w:sz w:val="17"/>
              </w:rPr>
              <w:t>ROIC 49.3%, debt/equity 0.02, and a differentiated mass-plus-prestige retail format with a large loyalty programme. But profitability is deteriorating beneath a growing top line: revenue rose ~10% in the year ended Jan-2026 while OPERATING income FELL from $1.68B to $1.56B to $1.53B and net income fell from $1.29B to $1.20B to $1.15B across three years. Operating margin has compressed to 12.4%. A retailer growing sales while earning less money on them is the classic signature of promotional pressure.</w:t>
            </w:r>
          </w:p>
        </w:tc>
      </w:tr>
      <w:tr>
        <w:tc>
          <w:tcPr>
            <w:tcW w:type="dxa" w:w="2880"/>
          </w:tcPr>
          <w:p>
            <w:r>
              <w:t>Moat (10)</w:t>
            </w:r>
          </w:p>
        </w:tc>
        <w:tc>
          <w:tcPr>
            <w:tcW w:type="dxa" w:w="2880"/>
          </w:tcPr>
          <w:p>
            <w:r>
              <w:t>5</w:t>
            </w:r>
          </w:p>
        </w:tc>
        <w:tc>
          <w:tcPr>
            <w:tcW w:type="dxa" w:w="2880"/>
          </w:tcPr>
          <w:p>
            <w:r>
              <w:rPr>
                <w:sz w:val="17"/>
              </w:rPr>
              <w:t>Scale, store footprint and the loyalty database are real advantages, and the salon/services attachment is hard for pure e-commerce to copy. But beauty retail has low switching costs, and the three-year margin compression IS the evidence that the moat is under pressure - from Sephora/Kohl's expansion, Amazon, and brands selling direct. A moat that is working should defend margins; this one is not.</w:t>
            </w:r>
          </w:p>
        </w:tc>
      </w:tr>
      <w:tr>
        <w:tc>
          <w:tcPr>
            <w:tcW w:type="dxa" w:w="2880"/>
          </w:tcPr>
          <w:p>
            <w:r>
              <w:t>Catalysts (10)</w:t>
            </w:r>
          </w:p>
        </w:tc>
        <w:tc>
          <w:tcPr>
            <w:tcW w:type="dxa" w:w="2880"/>
          </w:tcPr>
          <w:p>
            <w:r>
              <w:t>5</w:t>
            </w:r>
          </w:p>
        </w:tc>
        <w:tc>
          <w:tcPr>
            <w:tcW w:type="dxa" w:w="2880"/>
          </w:tcPr>
          <w:p>
            <w:r>
              <w:rPr>
                <w:sz w:val="17"/>
              </w:rPr>
              <w:t>Dated and confirmed: on 27 August 2026 management RAISED full-year guidance - net sales growth to 6.7-7.2% (from 6.0-7.0%), comparable sales to 3.2-3.7% (from 2.5-3.5%), and diluted EPS to $28.70-29.00. Q2 delivered $3.0B of sales (+8.9%) and EPS of $6.55 against a $6.17 consensus. The offsetting fact, and why this is 5 and not 8: the second-half guide implies a sharp slowdown to 4-5% sales and 2-3% comps, and Q2 comps of 3.8% were already down from 6.7% a year earlier. Shares fell on the caution despite the raise.</w:t>
            </w:r>
          </w:p>
        </w:tc>
      </w:tr>
      <w:tr>
        <w:tc>
          <w:tcPr>
            <w:tcW w:type="dxa" w:w="2880"/>
          </w:tcPr>
          <w:p>
            <w:r>
              <w:t>Risk / reward (10)</w:t>
            </w:r>
          </w:p>
        </w:tc>
        <w:tc>
          <w:tcPr>
            <w:tcW w:type="dxa" w:w="2880"/>
          </w:tcPr>
          <w:p>
            <w:r>
              <w:t>4</w:t>
            </w:r>
          </w:p>
        </w:tc>
        <w:tc>
          <w:tcPr>
            <w:tcW w:type="dxa" w:w="2880"/>
          </w:tcPr>
          <w:p>
            <w:r>
              <w:rPr>
                <w:sz w:val="17"/>
              </w:rPr>
              <w:t>Base case +14% against a bear case of -28%. The weakest asymmetry of the four. At 20.4x earnings and a 4.5% FCF yield there is little valuation cushion, and the earnings quality problem below is not priced as a problem. Consumer discretionary retail also carries recession sensitivity.</w:t>
            </w:r>
          </w:p>
        </w:tc>
      </w:tr>
      <w:tr>
        <w:tc>
          <w:tcPr>
            <w:tcW w:type="dxa" w:w="2880"/>
          </w:tcPr>
          <w:p>
            <w:r>
              <w:t>Management (5)</w:t>
            </w:r>
          </w:p>
        </w:tc>
        <w:tc>
          <w:tcPr>
            <w:tcW w:type="dxa" w:w="2880"/>
          </w:tcPr>
          <w:p>
            <w:r>
              <w:t>3</w:t>
            </w:r>
          </w:p>
        </w:tc>
        <w:tc>
          <w:tcPr>
            <w:tcW w:type="dxa" w:w="2880"/>
          </w:tcPr>
          <w:p>
            <w:r>
              <w:rPr>
                <w:sz w:val="17"/>
              </w:rPr>
              <w:t>Share count is down 20.5% through sustained buybacks, and guidance was raised with a genuine Q2 beat, so execution is not broken. But a material deduction is warranted for what the buybacks are doing to the reported story: diluted EPS has been roughly FLAT ($26.03 -&gt; $25.34 -&gt; $25.64) while net income FELL 11%. Per-share growth is being manufactured by shrinking the denominator, not by earning more. That is legitimate capital allocation but it makes headline EPS guidance a poor guide to business health, and management is not foregrounding the distinction.</w:t>
            </w:r>
          </w:p>
        </w:tc>
      </w:tr>
    </w:tbl>
    <w:p>
      <w:r>
        <w:rPr>
          <w:i/>
          <w:sz w:val="18"/>
        </w:rPr>
        <w:t>Full written thesis with sources: research/theses/ULTA.md</w:t>
      </w:r>
    </w:p>
    <w:p>
      <w:r>
        <w:br w:type="page"/>
      </w:r>
    </w:p>
    <w:p>
      <w:pPr>
        <w:pStyle w:val="Heading1"/>
      </w:pPr>
      <w:r>
        <w:t>What this report cannot tell you</w:t>
      </w:r>
    </w:p>
    <w:p>
      <w:r>
        <w:t>Being explicit about the limits matters as much as the analysis. Every item below is a real gap, not a disclaimer.</w:t>
      </w:r>
    </w:p>
    <w:p>
      <w:pPr>
        <w:pStyle w:val="ListBullet"/>
      </w:pPr>
      <w:r>
        <w:t>It cannot tell you what will happen. Every forward figure is a projection under assumptions listed in docs/ASSUMPTIONS.md.</w:t>
      </w:r>
    </w:p>
    <w:p>
      <w:pPr>
        <w:pStyle w:val="ListBullet"/>
      </w:pPr>
      <w:r>
        <w:t>The probabilities are informed estimates, not measurements. Their value is that they were written down before the outcome, so calibration can be checked later.</w:t>
      </w:r>
    </w:p>
    <w:p>
      <w:pPr>
        <w:pStyle w:val="ListBullet"/>
      </w:pPr>
      <w:r>
        <w:t>The candidates came from a 184-name hand-picked list, biased toward large, familiar U.S. companies. It under-represents small caps and turnarounds, which is where mispricing most often lives. This is 'the best of these 184', not 'the best in the market'.</w:t>
      </w:r>
    </w:p>
    <w:p>
      <w:pPr>
        <w:pStyle w:val="ListBullet"/>
      </w:pPr>
      <w:r>
        <w:t>Two exclusion thresholds were chosen by the analyst, not specified by you: a 2.0x debt/equity limit (which excluded 48 companies) and a 10% dilution limit (35 companies). Together they did almost all the filtering. They are worth reviewing.</w:t>
      </w:r>
    </w:p>
    <w:p>
      <w:pPr>
        <w:pStyle w:val="ListBullet"/>
      </w:pPr>
      <w:r>
        <w:t>The system cannot read a 10-K's narrative — risk factors, competition, management tone. That still requires a human reader.</w:t>
      </w:r>
    </w:p>
    <w:p>
      <w:pPr>
        <w:pStyle w:val="ListBullet"/>
      </w:pPr>
      <w:r>
        <w:t>It has no institutional-ownership tracking, no consensus estimates, no short interest and no credit ratings.</w:t>
      </w:r>
    </w:p>
    <w:p>
      <w:pPr>
        <w:pStyle w:val="ListBullet"/>
      </w:pPr>
      <w:r>
        <w:t>Financial companies (banks, insurers, REITs) are analysed poorly. The system correctly refuses to apply the wrong metrics but does not yet compute the right ones — net interest margin, ROTCE, FFO.</w:t>
      </w:r>
    </w:p>
    <w:p>
      <w:pPr>
        <w:pStyle w:val="ListBullet"/>
      </w:pPr>
      <w:r>
        <w:t>Competitor figures for private companies such as Canva and Figma come from journalism, not filings, and are unverified.</w:t>
      </w:r>
    </w:p>
    <w:p>
      <w:pPr>
        <w:pStyle w:val="Heading1"/>
      </w:pPr>
      <w:r>
        <w:t>Two things about your own setup</w:t>
      </w:r>
    </w:p>
    <w:p>
      <w:r>
        <w:rPr>
          <w:b/>
        </w:rPr>
        <w:t xml:space="preserve">1. You have no diversified core. </w:t>
      </w:r>
      <w:r>
        <w:t>Your preferences record this sleeve as 30–50% of your investable money with no index funds or retirement account behind it. The entire structure this system assumes is a large, boring core with a small stock-picking satellite around it. What you have described is the satellite without the core. That is the single largest risk in this document — larger than any individual company's bear case.</w:t>
      </w:r>
    </w:p>
    <w:p>
      <w:r>
        <w:rPr>
          <w:b/>
        </w:rPr>
        <w:t xml:space="preserve">2. Your stop-loss contradicts your stated behaviour. </w:t>
      </w:r>
      <w:r>
        <w:t>You set a stop at −25%, but also said you would hold through a −30% month. A −25% stop sells you automatically before −30% is ever reached, so that second answer can never take effect. Backtesting on 45,431 simulated holds found a −25% stop fires on 16.8% of positions and sells you out of a recovery 16.7% of the time, costing about 1.65% of return per position. One of those two answers needs to change.</w:t>
      </w:r>
    </w:p>
    <w:p>
      <w:r>
        <w:br w:type="page"/>
      </w:r>
    </w:p>
    <w:p>
      <w:pPr>
        <w:pStyle w:val="Heading1"/>
      </w:pPr>
      <w:r>
        <w:t>Glossary</w:t>
      </w:r>
    </w:p>
    <w:p>
      <w:r>
        <w:t>Every term in this report that a newcomer would not know.</w:t>
      </w:r>
    </w:p>
    <w:tbl>
      <w:tblPr>
        <w:tblStyle w:val="LightList-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In plain English</w:t>
            </w:r>
          </w:p>
        </w:tc>
      </w:tr>
      <w:tr>
        <w:tc>
          <w:tcPr>
            <w:tcW w:type="dxa" w:w="4320"/>
          </w:tcPr>
          <w:p>
            <w:r>
              <w:rPr>
                <w:b/>
              </w:rPr>
              <w:t>Free cash flow (FCF)</w:t>
            </w:r>
          </w:p>
        </w:tc>
        <w:tc>
          <w:tcPr>
            <w:tcW w:type="dxa" w:w="4320"/>
          </w:tcPr>
          <w:p>
            <w:r>
              <w:t>The real cash left after a company pays its bills AND reinvests to keep running. Harder to fake than accounting profit.</w:t>
            </w:r>
          </w:p>
        </w:tc>
      </w:tr>
      <w:tr>
        <w:tc>
          <w:tcPr>
            <w:tcW w:type="dxa" w:w="4320"/>
          </w:tcPr>
          <w:p>
            <w:r>
              <w:rPr>
                <w:b/>
              </w:rPr>
              <w:t>FCF yield</w:t>
            </w:r>
          </w:p>
        </w:tc>
        <w:tc>
          <w:tcPr>
            <w:tcW w:type="dxa" w:w="4320"/>
          </w:tcPr>
          <w:p>
            <w:r>
              <w:t>Free cash flow divided by the company's total market value. Like an interest rate on the business. 9.6% means the company throws off cash equal to 9.6% of its price each year.</w:t>
            </w:r>
          </w:p>
        </w:tc>
      </w:tr>
      <w:tr>
        <w:tc>
          <w:tcPr>
            <w:tcW w:type="dxa" w:w="4320"/>
          </w:tcPr>
          <w:p>
            <w:r>
              <w:rPr>
                <w:b/>
              </w:rPr>
              <w:t>P/E ratio</w:t>
            </w:r>
          </w:p>
        </w:tc>
        <w:tc>
          <w:tcPr>
            <w:tcW w:type="dxa" w:w="4320"/>
          </w:tcPr>
          <w:p>
            <w:r>
              <w:t>Price divided by yearly profit. Roughly how many dollars you pay for each $1 of annual profit. Lower can mean cheaper - or that profits are expected to fall.</w:t>
            </w:r>
          </w:p>
        </w:tc>
      </w:tr>
      <w:tr>
        <w:tc>
          <w:tcPr>
            <w:tcW w:type="dxa" w:w="4320"/>
          </w:tcPr>
          <w:p>
            <w:r>
              <w:rPr>
                <w:b/>
              </w:rPr>
              <w:t>P/FCF</w:t>
            </w:r>
          </w:p>
        </w:tc>
        <w:tc>
          <w:tcPr>
            <w:tcW w:type="dxa" w:w="4320"/>
          </w:tcPr>
          <w:p>
            <w:r>
              <w:t>Same idea as P/E but using cash flow instead of accounting profit.</w:t>
            </w:r>
          </w:p>
        </w:tc>
      </w:tr>
      <w:tr>
        <w:tc>
          <w:tcPr>
            <w:tcW w:type="dxa" w:w="4320"/>
          </w:tcPr>
          <w:p>
            <w:r>
              <w:rPr>
                <w:b/>
              </w:rPr>
              <w:t>Operating margin</w:t>
            </w:r>
          </w:p>
        </w:tc>
        <w:tc>
          <w:tcPr>
            <w:tcW w:type="dxa" w:w="4320"/>
          </w:tcPr>
          <w:p>
            <w:r>
              <w:t>What portion of each sales dollar survives after the costs of running the business. 36% means 36 cents of every dollar.</w:t>
            </w:r>
          </w:p>
        </w:tc>
      </w:tr>
      <w:tr>
        <w:tc>
          <w:tcPr>
            <w:tcW w:type="dxa" w:w="4320"/>
          </w:tcPr>
          <w:p>
            <w:r>
              <w:rPr>
                <w:b/>
              </w:rPr>
              <w:t>ROIC</w:t>
            </w:r>
          </w:p>
        </w:tc>
        <w:tc>
          <w:tcPr>
            <w:tcW w:type="dxa" w:w="4320"/>
          </w:tcPr>
          <w:p>
            <w:r>
              <w:t>Return on invested capital. The 'interest rate' the business earns on the money invested in it. Above ~15% suggests a genuinely good business.</w:t>
            </w:r>
          </w:p>
        </w:tc>
      </w:tr>
      <w:tr>
        <w:tc>
          <w:tcPr>
            <w:tcW w:type="dxa" w:w="4320"/>
          </w:tcPr>
          <w:p>
            <w:r>
              <w:rPr>
                <w:b/>
              </w:rPr>
              <w:t>CAGR</w:t>
            </w:r>
          </w:p>
        </w:tc>
        <w:tc>
          <w:tcPr>
            <w:tcW w:type="dxa" w:w="4320"/>
          </w:tcPr>
          <w:p>
            <w:r>
              <w:t>Compound annual growth rate - the smoothed yearly growth rate between two points. Dangerous when the starting year was unusual.</w:t>
            </w:r>
          </w:p>
        </w:tc>
      </w:tr>
      <w:tr>
        <w:tc>
          <w:tcPr>
            <w:tcW w:type="dxa" w:w="4320"/>
          </w:tcPr>
          <w:p>
            <w:r>
              <w:rPr>
                <w:b/>
              </w:rPr>
              <w:t>Reverse DCF</w:t>
            </w:r>
          </w:p>
        </w:tc>
        <w:tc>
          <w:tcPr>
            <w:tcW w:type="dxa" w:w="4320"/>
          </w:tcPr>
          <w:p>
            <w:r>
              <w:t>Instead of guessing a company's future to produce a target price, it asks what growth today's price already assumes. Then you judge whether that is beatable.</w:t>
            </w:r>
          </w:p>
        </w:tc>
      </w:tr>
      <w:tr>
        <w:tc>
          <w:tcPr>
            <w:tcW w:type="dxa" w:w="4320"/>
          </w:tcPr>
          <w:p>
            <w:r>
              <w:rPr>
                <w:b/>
              </w:rPr>
              <w:t>Moat</w:t>
            </w:r>
          </w:p>
        </w:tc>
        <w:tc>
          <w:tcPr>
            <w:tcW w:type="dxa" w:w="4320"/>
          </w:tcPr>
          <w:p>
            <w:r>
              <w:t>A durable advantage protecting a company from competitors - a brand, a network, switching costs.</w:t>
            </w:r>
          </w:p>
        </w:tc>
      </w:tr>
      <w:tr>
        <w:tc>
          <w:tcPr>
            <w:tcW w:type="dxa" w:w="4320"/>
          </w:tcPr>
          <w:p>
            <w:r>
              <w:rPr>
                <w:b/>
              </w:rPr>
              <w:t>Bear / Base / Bull</w:t>
            </w:r>
          </w:p>
        </w:tc>
        <w:tc>
          <w:tcPr>
            <w:tcW w:type="dxa" w:w="4320"/>
          </w:tcPr>
          <w:p>
            <w:r>
              <w:t>Three scenarios: the pessimistic outcome, the most likely one, and the optimistic one. Seeing all three keeps the analysis honest.</w:t>
            </w:r>
          </w:p>
        </w:tc>
      </w:tr>
      <w:tr>
        <w:tc>
          <w:tcPr>
            <w:tcW w:type="dxa" w:w="4320"/>
          </w:tcPr>
          <w:p>
            <w:r>
              <w:rPr>
                <w:b/>
              </w:rPr>
              <w:t>Probability-weighted return</w:t>
            </w:r>
          </w:p>
        </w:tc>
        <w:tc>
          <w:tcPr>
            <w:tcW w:type="dxa" w:w="4320"/>
          </w:tcPr>
          <w:p>
            <w:r>
              <w:t>Each scenario's return multiplied by its likelihood, then added up. A single number summarising the whole risk/reward picture.</w:t>
            </w:r>
          </w:p>
        </w:tc>
      </w:tr>
      <w:tr>
        <w:tc>
          <w:tcPr>
            <w:tcW w:type="dxa" w:w="4320"/>
          </w:tcPr>
          <w:p>
            <w:r>
              <w:rPr>
                <w:b/>
              </w:rPr>
              <w:t>ARR</w:t>
            </w:r>
          </w:p>
        </w:tc>
        <w:tc>
          <w:tcPr>
            <w:tcW w:type="dxa" w:w="4320"/>
          </w:tcPr>
          <w:p>
            <w:r>
              <w:t>Annual recurring revenue - the yearly run-rate of subscription revenue. The key growth measure for a software company.</w:t>
            </w:r>
          </w:p>
        </w:tc>
      </w:tr>
      <w:tr>
        <w:tc>
          <w:tcPr>
            <w:tcW w:type="dxa" w:w="4320"/>
          </w:tcPr>
          <w:p>
            <w:r>
              <w:rPr>
                <w:b/>
              </w:rPr>
              <w:t>Comparable sales (comps)</w:t>
            </w:r>
          </w:p>
        </w:tc>
        <w:tc>
          <w:tcPr>
            <w:tcW w:type="dxa" w:w="4320"/>
          </w:tcPr>
          <w:p>
            <w:r>
              <w:t>Sales growth at stores open at least a year. Strips out growth that came only from opening new stores.</w:t>
            </w:r>
          </w:p>
        </w:tc>
      </w:tr>
      <w:tr>
        <w:tc>
          <w:tcPr>
            <w:tcW w:type="dxa" w:w="4320"/>
          </w:tcPr>
          <w:p>
            <w:r>
              <w:rPr>
                <w:b/>
              </w:rPr>
              <w:t>Buyback</w:t>
            </w:r>
          </w:p>
        </w:tc>
        <w:tc>
          <w:tcPr>
            <w:tcW w:type="dxa" w:w="4320"/>
          </w:tcPr>
          <w:p>
            <w:r>
              <w:t>A company buying its own shares, leaving each remaining share owning a bigger slice. It raises per-share figures even if total profit does not grow.</w:t>
            </w:r>
          </w:p>
        </w:tc>
      </w:tr>
    </w:tbl>
    <w:p/>
    <w:p>
      <w:r>
        <w:rPr>
          <w:i/>
          <w:sz w:val="17"/>
        </w:rPr>
        <w:t>Sources: SEC EDGAR (data.sec.gov) for all company financials — every figure traces to a filed 10-K with its XBRL tag, form type, accession number and filing date. Yahoo Finance for market prices (2026-09-08). FRED for macroeconomic context. Recent quarterly results and guidance from company releases and financial journalism, which the project rules rank below filings and which are labelled as such in each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