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C4581A"/>
          <w:sz w:val="15"/>
        </w:rPr>
        <w:t>STEYN GROUP  ·  PRE-READ PORTAL  ·  TALKING POINTS</w:t>
      </w:r>
    </w:p>
    <w:p>
      <w:pPr>
        <w:spacing w:before="0" w:after="40"/>
      </w:pPr>
      <w:r>
        <w:rPr>
          <w:b/>
          <w:color w:val="0B1833"/>
          <w:sz w:val="28"/>
        </w:rPr>
        <w:t>Six Peak Capital × LV Construction · May 5, 2026</w:t>
      </w:r>
    </w:p>
    <w:p>
      <w:pPr>
        <w:spacing w:after="40"/>
      </w:pPr>
      <w:r>
        <w:rPr>
          <w:i/>
          <w:color w:val="475569"/>
          <w:sz w:val="16"/>
        </w:rPr>
        <w:t>1:00 – 4:45 PT  ·  4 sections  ·  27 slides total</w:t>
      </w:r>
    </w:p>
    <w:p>
      <w:pPr>
        <w:spacing w:before="40" w:after="0"/>
        <w:pBdr>
          <w:bottom w:val="single" w:sz="6" w:space="1" w:color="C4581A"/>
        </w:pBdr>
      </w:pPr>
    </w:p>
    <w:p>
      <w:pPr>
        <w:keepNext/>
        <w:spacing w:before="100" w:after="40"/>
      </w:pPr>
      <w:r>
        <w:rPr>
          <w:b/>
          <w:color w:val="C4581A"/>
          <w:sz w:val="20"/>
        </w:rPr>
        <w:t xml:space="preserve">01  </w:t>
      </w:r>
      <w:r>
        <w:rPr>
          <w:b/>
          <w:color w:val="0B1833"/>
          <w:sz w:val="22"/>
        </w:rPr>
        <w:t>SPC Broad Update</w:t>
      </w:r>
      <w:r>
        <w:rPr>
          <w:color w:val="475569"/>
          <w:sz w:val="16"/>
        </w:rPr>
        <w:t xml:space="preserve">   ·   ~75 min combined w/ Section 02</w:t>
      </w:r>
    </w:p>
    <w:p>
      <w:pPr>
        <w:pStyle w:val="ListBullet"/>
        <w:spacing w:before="0" w:after="20"/>
        <w:ind w:left="283" w:hanging="198"/>
      </w:pPr>
      <w:r>
        <w:rPr>
          <w:b/>
          <w:color w:val="0B1833"/>
          <w:sz w:val="16"/>
        </w:rPr>
        <w:t xml:space="preserve">Numbers at a glance: </w:t>
      </w:r>
      <w:r>
        <w:rPr>
          <w:color w:val="0B1833"/>
          <w:sz w:val="16"/>
        </w:rPr>
        <w:t>Consolidated NI holds nearly flat: $1.70M FY26 → $1.60M FY27. Tier 2 bonding shift and the new GC personnel base absorb the FY27 volume gain. Cash builds modestly to $2.43M after the $1.5M Steyn debt payoff Dec 2027.</w:t>
      </w:r>
    </w:p>
    <w:p>
      <w:pPr>
        <w:pStyle w:val="ListBullet"/>
        <w:spacing w:before="0" w:after="20"/>
        <w:ind w:left="283" w:hanging="198"/>
      </w:pPr>
      <w:r>
        <w:rPr>
          <w:b/>
          <w:color w:val="0B1833"/>
          <w:sz w:val="16"/>
        </w:rPr>
        <w:t xml:space="preserve">Reseda flag: </w:t>
      </w:r>
      <w:r>
        <w:rPr>
          <w:color w:val="0B1833"/>
          <w:sz w:val="16"/>
        </w:rPr>
        <w:t>$45.3M FY27 contract is the gating item, not yet funded. Slips would step down FY27 throughput materially.</w:t>
      </w:r>
    </w:p>
    <w:p>
      <w:pPr>
        <w:pStyle w:val="ListBullet"/>
        <w:spacing w:before="0" w:after="20"/>
        <w:ind w:left="283" w:hanging="198"/>
      </w:pPr>
      <w:r>
        <w:rPr>
          <w:b/>
          <w:color w:val="0B1833"/>
          <w:sz w:val="16"/>
        </w:rPr>
        <w:t xml:space="preserve">LIHTC portfolio: </w:t>
      </w:r>
      <w:r>
        <w:rPr>
          <w:color w:val="0B1833"/>
          <w:sz w:val="16"/>
        </w:rPr>
        <w:t>In-window NI essentially zero (−$50K); $6.58M of net income to Six Peak materializes after 2033. Deferred-income assets, not in-window contributors.</w:t>
      </w:r>
    </w:p>
    <w:p>
      <w:pPr>
        <w:pStyle w:val="ListBullet"/>
        <w:spacing w:before="0" w:after="20"/>
        <w:ind w:left="283" w:hanging="198"/>
      </w:pPr>
      <w:r>
        <w:rPr>
          <w:b/>
          <w:color w:val="0B1833"/>
          <w:sz w:val="16"/>
        </w:rPr>
        <w:t xml:space="preserve">Scenario set: </w:t>
      </w:r>
      <w:r>
        <w:rPr>
          <w:color w:val="0B1833"/>
          <w:sz w:val="16"/>
        </w:rPr>
        <w:t>Base Case (decline) vs Extended BD (25 deals, $402M GMP, NI in $3–4M range from FY28+, cash to $18.4M) vs Breakeven (15 deals, $240M GMP, NI ±$1M of zero). Extended BD signs first deal Jul 2027; Breakeven first deal Oct 2028.</w:t>
      </w:r>
    </w:p>
    <w:p>
      <w:pPr>
        <w:pStyle w:val="ListBullet"/>
        <w:spacing w:before="0" w:after="20"/>
        <w:ind w:left="283" w:hanging="198"/>
      </w:pPr>
      <w:r>
        <w:rPr>
          <w:b/>
          <w:color w:val="0B1833"/>
          <w:sz w:val="16"/>
        </w:rPr>
        <w:t xml:space="preserve">Strategy: </w:t>
      </w:r>
      <w:r>
        <w:rPr>
          <w:color w:val="0B1833"/>
          <w:sz w:val="16"/>
        </w:rPr>
        <w:t>Stabilize the team (4 closings) → fill it with work (BD) → scale capacity with AI. Three pillars chain in order, not in parallel.</w:t>
      </w:r>
    </w:p>
    <w:p>
      <w:pPr>
        <w:keepNext/>
        <w:spacing w:before="100" w:after="40"/>
      </w:pPr>
      <w:r>
        <w:rPr>
          <w:b/>
          <w:color w:val="C4581A"/>
          <w:sz w:val="20"/>
        </w:rPr>
        <w:t xml:space="preserve">02  </w:t>
      </w:r>
      <w:r>
        <w:rPr>
          <w:b/>
          <w:color w:val="0B1833"/>
          <w:sz w:val="22"/>
        </w:rPr>
        <w:t>LV Construction Update</w:t>
      </w:r>
      <w:r>
        <w:rPr>
          <w:color w:val="475569"/>
          <w:sz w:val="16"/>
        </w:rPr>
        <w:t xml:space="preserve">   ·   Folded into Section 01 block</w:t>
      </w:r>
    </w:p>
    <w:p>
      <w:pPr>
        <w:pStyle w:val="ListBullet"/>
        <w:spacing w:before="0" w:after="20"/>
        <w:ind w:left="283" w:hanging="198"/>
      </w:pPr>
      <w:r>
        <w:rPr>
          <w:b/>
          <w:color w:val="0B1833"/>
          <w:sz w:val="16"/>
        </w:rPr>
        <w:t xml:space="preserve">Team: </w:t>
      </w:r>
      <w:r>
        <w:rPr>
          <w:color w:val="0B1833"/>
          <w:sz w:val="16"/>
        </w:rPr>
        <w:t>4 recent additions (Lucy, Brisa, Steven, Henry). 6 trigger hires for the 4 pending closings (~$740K annual run-rate); +1 Sr Super for Reseda when construction starts Apr 2027.</w:t>
      </w:r>
    </w:p>
    <w:p>
      <w:pPr>
        <w:pStyle w:val="ListBullet"/>
        <w:spacing w:before="0" w:after="20"/>
        <w:ind w:left="283" w:hanging="198"/>
      </w:pPr>
      <w:r>
        <w:rPr>
          <w:b/>
          <w:color w:val="0B1833"/>
          <w:sz w:val="16"/>
        </w:rPr>
        <w:t xml:space="preserve">Buyout: </w:t>
      </w:r>
      <w:r>
        <w:rPr>
          <w:color w:val="0B1833"/>
          <w:sz w:val="16"/>
        </w:rPr>
        <w:t>$57.2M active GMP across 5 projects. Trade scope 95.8% bought, $2.9M open, variance +$0.05M (essentially flat). Largest open: Ramsgate Doors &amp; Hardware ($516K), Drywall ($415K), Whipple HVAC ($339K), Crenshaw Landscaping ($275K).</w:t>
      </w:r>
    </w:p>
    <w:p>
      <w:pPr>
        <w:pStyle w:val="ListBullet"/>
        <w:spacing w:before="0" w:after="20"/>
        <w:ind w:left="283" w:hanging="198"/>
      </w:pPr>
      <w:r>
        <w:rPr>
          <w:b/>
          <w:color w:val="0B1833"/>
          <w:sz w:val="16"/>
        </w:rPr>
        <w:t xml:space="preserve">Closings: </w:t>
      </w:r>
      <w:r>
        <w:rPr>
          <w:color w:val="0B1833"/>
          <w:sz w:val="16"/>
        </w:rPr>
        <w:t>4 pending (Francis · Riverton · Lexington · Acama) · 510 units · ~$78M+ · breaking ground Jun–Sep 2026. Wraps the LV expansion. Three of the four are HVN.</w:t>
      </w:r>
    </w:p>
    <w:p>
      <w:pPr>
        <w:pStyle w:val="ListBullet"/>
        <w:spacing w:before="0" w:after="20"/>
        <w:ind w:left="283" w:hanging="198"/>
      </w:pPr>
      <w:r>
        <w:rPr>
          <w:b/>
          <w:color w:val="0B1833"/>
          <w:sz w:val="16"/>
        </w:rPr>
        <w:t xml:space="preserve">Bonding mechanics: </w:t>
      </w:r>
      <w:r>
        <w:rPr>
          <w:color w:val="0B1833"/>
          <w:sz w:val="16"/>
        </w:rPr>
        <w:t>Phase 1: 1.50% project charge, 0.74% Tier 1 surety, 0.76% spread funds Krueger’s $18M valuation buy-in. Tier 2 (3.25%) kicks in on the next round; mitigant is LV standing up its own bonding capacity (FY29+ assumption).</w:t>
      </w:r>
    </w:p>
    <w:p>
      <w:pPr>
        <w:pStyle w:val="ListBullet"/>
        <w:spacing w:before="0" w:after="20"/>
        <w:ind w:left="283" w:hanging="198"/>
      </w:pPr>
      <w:r>
        <w:rPr>
          <w:b/>
          <w:color w:val="0B1833"/>
          <w:sz w:val="16"/>
        </w:rPr>
        <w:t xml:space="preserve">Extended BD: </w:t>
      </w:r>
      <w:r>
        <w:rPr>
          <w:color w:val="0B1833"/>
          <w:sz w:val="16"/>
        </w:rPr>
        <w:t>HVN is the one anchor relationship (LV #1 on their power rankings, 3 of 4 closings, 500–700 units across 26/27 acquisitions). 5 recently sourced leads (VDE×2, Cypress×2, Malhotra×1) = 939 units of pipeline breadth, not yet anchor-level depth.</w:t>
      </w:r>
    </w:p>
    <w:p>
      <w:pPr>
        <w:pStyle w:val="ListBullet"/>
        <w:spacing w:before="0" w:after="20"/>
        <w:ind w:left="283" w:hanging="198"/>
      </w:pPr>
      <w:r>
        <w:rPr>
          <w:b/>
          <w:color w:val="0B1833"/>
          <w:sz w:val="16"/>
        </w:rPr>
        <w:t xml:space="preserve">Reporting: </w:t>
      </w:r>
      <w:r>
        <w:rPr>
          <w:color w:val="0B1833"/>
          <w:sz w:val="16"/>
        </w:rPr>
        <w:t>Working proposal to reduce the 40-slide LV quarterly to ~10–12 slides; monthly = financials + a few key operating outputs (no second deck). Calibrate with Steyn.</w:t>
      </w:r>
    </w:p>
    <w:p>
      <w:pPr>
        <w:keepNext/>
        <w:spacing w:before="100" w:after="40"/>
      </w:pPr>
      <w:r>
        <w:rPr>
          <w:b/>
          <w:color w:val="C4581A"/>
          <w:sz w:val="20"/>
        </w:rPr>
        <w:t xml:space="preserve">03  </w:t>
      </w:r>
      <w:r>
        <w:rPr>
          <w:b/>
          <w:color w:val="0B1833"/>
          <w:sz w:val="22"/>
        </w:rPr>
        <w:t>LV · AI Discussion</w:t>
      </w:r>
      <w:r>
        <w:rPr>
          <w:color w:val="475569"/>
          <w:sz w:val="16"/>
        </w:rPr>
        <w:t xml:space="preserve">   ·   ~60 min deep dive</w:t>
      </w:r>
    </w:p>
    <w:p>
      <w:pPr>
        <w:pStyle w:val="ListBullet"/>
        <w:spacing w:before="0" w:after="20"/>
        <w:ind w:left="283" w:hanging="198"/>
      </w:pPr>
      <w:r>
        <w:rPr>
          <w:b/>
          <w:color w:val="0B1833"/>
          <w:sz w:val="16"/>
        </w:rPr>
        <w:t xml:space="preserve">Thesis: </w:t>
      </w:r>
      <w:r>
        <w:rPr>
          <w:color w:val="0B1833"/>
          <w:sz w:val="16"/>
        </w:rPr>
        <w:t>Manual workflow, not capital, is the constraint on scaling the GC. Same back-office that caps LV at ~$50M needs to carry $90–100M/yr under Extended BD. Hiring proportionally is the path that already broke.</w:t>
      </w:r>
    </w:p>
    <w:p>
      <w:pPr>
        <w:pStyle w:val="ListBullet"/>
        <w:spacing w:before="0" w:after="20"/>
        <w:ind w:left="283" w:hanging="198"/>
      </w:pPr>
      <w:r>
        <w:rPr>
          <w:b/>
          <w:color w:val="0B1833"/>
          <w:sz w:val="16"/>
        </w:rPr>
        <w:t xml:space="preserve">Team and current state: </w:t>
      </w:r>
      <w:r>
        <w:rPr>
          <w:color w:val="0B1833"/>
          <w:sz w:val="16"/>
        </w:rPr>
        <w:t>Jonah Dobkin (Mission Control lead) supported by engineering bench from Palantir (Aydin Chagal, Naveen Mirapuri) and Apple Maps (Leo Emmanuel). Five workflows mapped end-to-end; rest captured via team-wide tool.</w:t>
      </w:r>
    </w:p>
    <w:p>
      <w:pPr>
        <w:pStyle w:val="ListBullet"/>
        <w:spacing w:before="0" w:after="20"/>
        <w:ind w:left="283" w:hanging="198"/>
      </w:pPr>
      <w:r>
        <w:rPr>
          <w:b/>
          <w:color w:val="0B1833"/>
          <w:sz w:val="16"/>
        </w:rPr>
        <w:t xml:space="preserve">Demo: </w:t>
      </w:r>
      <w:r>
        <w:rPr>
          <w:color w:val="0B1833"/>
          <w:sz w:val="16"/>
        </w:rPr>
        <w:t>Live demo of the construction optimization tool Jonah will run in the room. Recorded walk-through also linked.</w:t>
      </w:r>
    </w:p>
    <w:p>
      <w:pPr>
        <w:pStyle w:val="ListBullet"/>
        <w:spacing w:before="0" w:after="20"/>
        <w:ind w:left="283" w:hanging="198"/>
      </w:pPr>
      <w:r>
        <w:rPr>
          <w:b/>
          <w:color w:val="0B1833"/>
          <w:sz w:val="16"/>
        </w:rPr>
        <w:t xml:space="preserve">Discussion: </w:t>
      </w:r>
      <w:r>
        <w:rPr>
          <w:color w:val="0B1833"/>
          <w:sz w:val="16"/>
        </w:rPr>
        <w:t>Two paths Steyn is being asked to react to (not sequential, distinct bets). Path 1 = internal margin lever (modest internal investment, same team carries 2× billing, ~25–40% margin expansion captured directly in LV’s P&amp;L). Path 2 = external capital AI-enabled GC platform (substantial outside capital, LV as anchor/proof customer, value rooted in operational margin improvement, not multiple expansion).</w:t>
      </w:r>
    </w:p>
    <w:p>
      <w:pPr>
        <w:keepNext/>
        <w:spacing w:before="100" w:after="40"/>
      </w:pPr>
      <w:r>
        <w:rPr>
          <w:b/>
          <w:color w:val="C4581A"/>
          <w:sz w:val="20"/>
        </w:rPr>
        <w:t xml:space="preserve">04  </w:t>
      </w:r>
      <w:r>
        <w:rPr>
          <w:b/>
          <w:color w:val="0B1833"/>
          <w:sz w:val="22"/>
        </w:rPr>
        <w:t>Uplifters Foundation JV</w:t>
      </w:r>
      <w:r>
        <w:rPr>
          <w:color w:val="475569"/>
          <w:sz w:val="16"/>
        </w:rPr>
        <w:t xml:space="preserve">   ·   ~60 min authorization ask · Schuyler presents</w:t>
      </w:r>
    </w:p>
    <w:p>
      <w:pPr>
        <w:pStyle w:val="ListBullet"/>
        <w:spacing w:before="0" w:after="20"/>
        <w:ind w:left="283" w:hanging="198"/>
      </w:pPr>
      <w:r>
        <w:rPr>
          <w:b/>
          <w:color w:val="0B1833"/>
          <w:sz w:val="16"/>
        </w:rPr>
        <w:t xml:space="preserve">Mandate: </w:t>
      </w:r>
      <w:r>
        <w:rPr>
          <w:color w:val="0B1833"/>
          <w:sz w:val="16"/>
        </w:rPr>
        <w:t>First-of-its-kind tax-exempt bond structure to rebuild Pacific Palisades. ~60 single-family homes, $200M program, 5-year operating window FY27–31. Six Peak as development manager and owner’s representative.</w:t>
      </w:r>
    </w:p>
    <w:p>
      <w:pPr>
        <w:pStyle w:val="ListBullet"/>
        <w:spacing w:before="0" w:after="20"/>
        <w:ind w:left="283" w:hanging="198"/>
      </w:pPr>
      <w:r>
        <w:rPr>
          <w:b/>
          <w:color w:val="0B1833"/>
          <w:sz w:val="16"/>
        </w:rPr>
        <w:t xml:space="preserve">Economics: </w:t>
      </w:r>
      <w:r>
        <w:rPr>
          <w:color w:val="0B1833"/>
          <w:sz w:val="16"/>
        </w:rPr>
        <w:t>4 fee streams (1% acquisition + 6% dev mgmt + 3% leasing + 1% disposition) ≈ $151K per home. Aggregate: $9.0M gross fees, $4.1M net to SPC. No equity, no completion guarantee. Fee-based, execution-shaped risk.</w:t>
      </w:r>
    </w:p>
    <w:p>
      <w:pPr>
        <w:pStyle w:val="ListBullet"/>
        <w:spacing w:before="0" w:after="20"/>
        <w:ind w:left="283" w:hanging="198"/>
      </w:pPr>
      <w:r>
        <w:rPr>
          <w:b/>
          <w:color w:val="0B1833"/>
          <w:sz w:val="16"/>
        </w:rPr>
        <w:t xml:space="preserve">Sample deal: </w:t>
      </w:r>
      <w:r>
        <w:rPr>
          <w:color w:val="0B1833"/>
          <w:sz w:val="16"/>
        </w:rPr>
        <w:t>701 Radcliffe Avenue · $1.2M acquisition + $1.6M total construction = ~$151K SPC capture. Real Westward Homes comparable, with renderings and floor plans on the slide.</w:t>
      </w:r>
    </w:p>
    <w:p>
      <w:pPr>
        <w:pStyle w:val="ListBullet"/>
        <w:spacing w:before="0" w:after="20"/>
        <w:ind w:left="283" w:hanging="198"/>
      </w:pPr>
      <w:r>
        <w:rPr>
          <w:b/>
          <w:color w:val="0B1833"/>
          <w:sz w:val="16"/>
        </w:rPr>
        <w:t xml:space="preserve">Risk and status: </w:t>
      </w:r>
      <w:r>
        <w:rPr>
          <w:color w:val="0B1833"/>
          <w:sz w:val="16"/>
        </w:rPr>
        <w:t>50/50 probability. Two gating variables: regulatory pathway (smooth, weeks away) + bond fundraising. Jefferies is placement agent; sector-leading legal and political consultants engaged for the Foundation. $21M of early commitments.</w:t>
      </w:r>
    </w:p>
    <w:p>
      <w:pPr>
        <w:pStyle w:val="ListBullet"/>
        <w:spacing w:before="0" w:after="20"/>
        <w:ind w:left="283" w:hanging="198"/>
      </w:pPr>
      <w:r>
        <w:rPr>
          <w:b/>
          <w:color w:val="0B1833"/>
          <w:sz w:val="16"/>
        </w:rPr>
        <w:t xml:space="preserve">Replication path: </w:t>
      </w:r>
      <w:r>
        <w:rPr>
          <w:color w:val="0B1833"/>
          <w:sz w:val="16"/>
        </w:rPr>
        <w:t>First instance of a repeatable opportunity. Adjacent disaster markets (Altadena is the immediate next), future climate-driven disasters, workforce/attainable housing, institutional adoption. Repeatable financial strategy more than development strategy.</w:t>
      </w:r>
    </w:p>
    <w:p>
      <w:pPr>
        <w:pStyle w:val="ListBullet"/>
        <w:spacing w:before="0" w:after="20"/>
        <w:ind w:left="283" w:hanging="198"/>
      </w:pPr>
      <w:r>
        <w:rPr>
          <w:b/>
          <w:color w:val="0B1833"/>
          <w:sz w:val="16"/>
        </w:rPr>
        <w:t xml:space="preserve">Authorization ask: </w:t>
      </w:r>
      <w:r>
        <w:rPr>
          <w:color w:val="0B1833"/>
          <w:sz w:val="16"/>
        </w:rPr>
        <w:t>Negotiate and finalize definitive documentation, not contingent on full subscription at signing.</w:t>
      </w:r>
    </w:p>
    <w:p>
      <w:pPr>
        <w:spacing w:before="40" w:after="0"/>
        <w:pBdr>
          <w:bottom w:val="single" w:sz="6" w:space="1" w:color="C4581A"/>
        </w:pBdr>
      </w:pPr>
    </w:p>
    <w:p>
      <w:pPr>
        <w:spacing w:before="40"/>
        <w:jc w:val="center"/>
      </w:pPr>
      <w:r>
        <w:rPr>
          <w:b/>
          <w:color w:val="94A3B8"/>
          <w:sz w:val="14"/>
        </w:rPr>
        <w:t>CONFIDENTIAL  ·  SIX PEAK CAPITAL  ·  LV CONSTRUCTION  ·  PREPARED FOR STEYN GROUP  ·  MAY 5, 2026</w:t>
      </w:r>
    </w:p>
    <w:sectPr w:rsidR="00FC693F" w:rsidRPr="0006063C" w:rsidSect="00034616">
      <w:pgSz w:w="12240" w:h="15840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