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Evidence Guide</w:t>
      </w:r>
    </w:p>
    <w:p>
      <w:pPr>
        <w:pStyle w:val="Heading1"/>
      </w:pPr>
      <w:r>
        <w:t>Experience</w:t>
      </w:r>
    </w:p>
    <w:p>
      <w:r>
        <w:t>Professional experience claims are based on the supplied resume/LinkedIn materials.</w:t>
      </w:r>
    </w:p>
    <w:p>
      <w:pPr>
        <w:pStyle w:val="Heading1"/>
      </w:pPr>
      <w:r>
        <w:t>Projects vs experience</w:t>
      </w:r>
    </w:p>
    <w:p>
      <w:r>
        <w:t>Financial modeling/valuation, UAE tax and SAP FICO are presented as projects, training or professional development unless separately supported by professional evidence.</w:t>
      </w:r>
    </w:p>
    <w:p>
      <w:pPr>
        <w:pStyle w:val="Heading1"/>
      </w:pPr>
      <w:r>
        <w:t>Confidentiality</w:t>
      </w:r>
    </w:p>
    <w:p>
      <w:r>
        <w:t>Only publish work that is authorized for public sharing and fully anonymized.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