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41"/>
          <w:sz w:val="44"/>
          <w:szCs w:val="44"/>
        </w:rPr>
        <w:t xml:space="preserve">Portfolio Content — Editable Copy</w:t>
      </w:r>
    </w:p>
    <w:p>
      <w:pPr>
        <w:spacing w:after="60"/>
      </w:pPr>
      <w:r>
        <w:rPr>
          <w:color w:val="5C574B"/>
          <w:sz w:val="22"/>
          <w:szCs w:val="22"/>
        </w:rPr>
        <w:t xml:space="preserve">Bijesh BJ, CMA (USA) — cmabijeshbj-web.github.io</w:t>
      </w:r>
    </w:p>
    <w:p>
      <w:pPr>
        <w:spacing w:after="160"/>
      </w:pPr>
      <w:r>
        <w:rPr>
          <w:i/>
          <w:iCs/>
          <w:color w:val="8C8674"/>
          <w:sz w:val="20"/>
          <w:szCs w:val="20"/>
        </w:rPr>
        <w:t xml:space="preserve">Edit any text below and send it back — the changes will be applied to the live site. Headings match the site's page and section names. Anything in [brackets] is a placeholder or a note to you, not site copy.</w:t>
      </w:r>
    </w:p>
    <w:p>
      <w:pPr>
        <w:pBdr>
          <w:bottom w:val="single" w:color="D9D2C2" w:sz="6" w:space="1"/>
        </w:pBdr>
        <w:spacing w:after="200" w:before="100"/>
      </w:pPr>
    </w:p>
    <w:p>
      <w:pPr>
        <w:pStyle w:val="Heading1"/>
        <w:spacing w:after="150" w:before="300"/>
      </w:pPr>
      <w:r>
        <w:t xml:space="preserve">Home Page</w:t>
      </w:r>
    </w:p>
    <w:p>
      <w:pPr>
        <w:pStyle w:val="Heading2"/>
        <w:spacing w:after="120" w:before="260"/>
      </w:pPr>
      <w:r>
        <w:t xml:space="preserve">Name &amp; Title</w:t>
      </w:r>
    </w:p>
    <w:p>
      <w:pPr>
        <w:spacing w:after="120"/>
      </w:pPr>
      <w:r>
        <w:rPr>
          <w:b/>
          <w:bCs/>
        </w:rPr>
        <w:t xml:space="preserve">Bijesh BJ, CMA (USA)</w:t>
      </w:r>
    </w:p>
    <w:p>
      <w:pPr>
        <w:spacing w:after="120"/>
      </w:pPr>
      <w:r>
        <w:t xml:space="preserve">Finance &amp; FP&amp;A Professional | Financial Planning &amp; Analysis | Accountant | SAP S/4HANA FICO | UAE VAT &amp; Corporate Tax | Data Analytics</w:t>
      </w:r>
    </w:p>
    <w:p>
      <w:pPr>
        <w:pStyle w:val="Heading2"/>
        <w:spacing w:after="120" w:before="260"/>
      </w:pPr>
      <w:r>
        <w:t xml:space="preserve">Contact Row</w:t>
      </w:r>
    </w:p>
    <w:p>
      <w:pPr>
        <w:spacing w:after="120"/>
      </w:pPr>
      <w:r>
        <w:t xml:space="preserve">Email: cmabijesh.ae@gmail.com</w:t>
      </w:r>
    </w:p>
    <w:p>
      <w:pPr>
        <w:spacing w:after="120"/>
      </w:pPr>
      <w:r>
        <w:t xml:space="preserve">Phone: +91 9497451467</w:t>
      </w:r>
    </w:p>
    <w:p>
      <w:pPr>
        <w:spacing w:after="120"/>
      </w:pPr>
      <w:r>
        <w:t xml:space="preserve">Location: Dubai, UAE (Open to Relocation)</w:t>
      </w:r>
    </w:p>
    <w:p>
      <w:pPr>
        <w:spacing w:after="120"/>
      </w:pPr>
      <w:r>
        <w:t xml:space="preserve">LinkedIn: https://www.linkedin.com/in/bijesh-bj-cma-here</w:t>
      </w:r>
    </w:p>
    <w:p>
      <w:pPr>
        <w:pStyle w:val="Heading2"/>
        <w:spacing w:after="120" w:before="260"/>
      </w:pPr>
      <w:r>
        <w:t xml:space="preserve">Professional Summary (shown on Home page)</w:t>
      </w:r>
    </w:p>
    <w:p>
      <w:pPr>
        <w:pStyle w:val="Heading3"/>
        <w:spacing w:after="80" w:before="200"/>
      </w:pPr>
      <w:r>
        <w:t xml:space="preserve">Turning Finance Data Into Business Decisions</w:t>
      </w:r>
    </w:p>
    <w:p>
      <w:pPr>
        <w:spacing w:after="120"/>
      </w:pPr>
      <w:r>
        <w:t xml:space="preserve">CMA USA–certified Finance &amp; FP&amp;A professional with 4+ years of experience across Business Finance, Accounting, P&amp;L Analysis, FP&amp;A, Management Reporting, and Tax Compliance. I combine strong accounting and financial expertise with Advanced Excel, Power BI, SQL, SAP S/4HANA FICO, and AI-powered automation to transform complex financial data into actionable insights, streamline reporting workflows, and improve decision-making.</w:t>
      </w:r>
    </w:p>
    <w:p>
      <w:pPr>
        <w:spacing w:after="120"/>
      </w:pPr>
      <w:r>
        <w:t xml:space="preserve">Experienced in FP&amp;A, financial accounting, bookkeeping, financial reporting, P&amp;L analysis, account reconciliations, budgeting, forecasting, financial modeling, variance analysis, KPI reporting, and performance analysis, with hands-on experience in operational P&amp;L management, AOP vs. Forecast analysis, cost optimization, margin improvement, pipeline revenue analysis, sales analysis, revenue forecasting, cost tracking, and management reporting. Skilled in analyzing financial, operational, and sales drivers to identify cost efficiencies, margin improvement opportunities, revenue trends, and pipeline movements that support business planning and decision-making. Knowledgeable in IFRS, US GAAP, Indian GST, UAE VAT, and UAE Corporate Tax.</w:t>
      </w:r>
    </w:p>
    <w:p>
      <w:pPr>
        <w:spacing w:after="160"/>
      </w:pPr>
      <w:r>
        <w:rPr>
          <w:i/>
          <w:iCs/>
          <w:color w:val="8C8674"/>
          <w:sz w:val="20"/>
          <w:szCs w:val="20"/>
        </w:rPr>
        <w:t xml:space="preserve">Finance expertise. Accounting foundation. Data-driven insights. AI-enabled efficiency. (styled as a highlighted quote on the site)</w:t>
      </w:r>
    </w:p>
    <w:p>
      <w:pPr>
        <w:pStyle w:val="Heading2"/>
        <w:spacing w:after="120" w:before="260"/>
      </w:pPr>
      <w:r>
        <w:t xml:space="preserve">Explore My Work (intro copy above the Projects grid)</w:t>
      </w:r>
    </w:p>
    <w:p>
      <w:pPr>
        <w:spacing w:after="120"/>
      </w:pPr>
      <w:r>
        <w:t xml:space="preserve">Explore my practical projects and demo works across Accounting, FP&amp;A, Financial Analysis, Business Intelligence, Financial Modeling, and AI-powered Finance Automation.</w:t>
      </w:r>
    </w:p>
    <w:p>
      <w:pPr>
        <w:spacing w:after="120"/>
      </w:pPr>
      <w:r>
        <w:t xml:space="preserve">Button text: "Explore My Projects →"</w:t>
      </w:r>
    </w:p>
    <w:p>
      <w:pPr>
        <w:pStyle w:val="Heading2"/>
        <w:spacing w:after="120" w:before="260"/>
      </w:pPr>
      <w:r>
        <w:t xml:space="preserve">Key Skills (shown as tags)</w:t>
      </w:r>
    </w:p>
    <w:p>
      <w:pPr>
        <w:spacing w:after="120"/>
      </w:pPr>
      <w:r>
        <w:t xml:space="preserve">Financial Planning &amp; Analysis (FP&amp;A), Budgeting &amp; Forecasting, Rolling Forecast, Variance Analysis, P&amp;L Analysis, KPI Reporting, MIS Reporting, Financial Modeling, Cost Control &amp; Cost Reduction, Cost Optimization, Profitability &amp; Margin Analysis, Performance Analysis, Revenue Forecasting, Pipeline Revenue Analysis, Sales Analysis, Financial Statement Analysis, Account Reconciliation, UAE VAT &amp; Corporate Tax, GST Compliance, Finance Business Partnering, Stakeholder Management, Process Automation, Power BI, SQL, SAP S/4HANA, SAP FICO, Advanced Excel &amp; Power Query, VBA/Macro Using AI Tools</w:t>
      </w:r>
    </w:p>
    <w:p>
      <w:pPr>
        <w:pStyle w:val="Heading2"/>
        <w:spacing w:after="120" w:before="260"/>
      </w:pPr>
      <w:r>
        <w:t xml:space="preserve">Tagline (footer, every page)</w:t>
      </w:r>
    </w:p>
    <w:p>
      <w:pPr>
        <w:spacing w:after="120"/>
      </w:pPr>
      <w:r>
        <w:t xml:space="preserve">Every number tells a story. I turn financial data into insight.</w:t>
      </w:r>
    </w:p>
    <w:p>
      <w:pPr>
        <w:pBdr>
          <w:bottom w:val="single" w:color="D9D2C2" w:sz="6" w:space="1"/>
        </w:pBdr>
        <w:spacing w:after="200" w:before="100"/>
      </w:pPr>
    </w:p>
    <w:p>
      <w:pPr>
        <w:pStyle w:val="Heading1"/>
        <w:spacing w:after="150" w:before="300"/>
      </w:pPr>
      <w:r>
        <w:t xml:space="preserve">About Page</w:t>
      </w:r>
    </w:p>
    <w:p>
      <w:pPr>
        <w:pStyle w:val="Heading2"/>
        <w:spacing w:after="120" w:before="260"/>
      </w:pPr>
      <w:r>
        <w:t xml:space="preserve">About Me</w:t>
      </w:r>
    </w:p>
    <w:p>
      <w:pPr>
        <w:spacing w:after="120"/>
      </w:pPr>
      <w:r>
        <w:t xml:space="preserve">I am a CMA USA–certified Finance &amp; FP&amp;A professional with 4+ years of experience across Business Finance, FP&amp;A, Management Accounting, Financial Analysis, P&amp;L Management, and Tax Compliance.</w:t>
      </w:r>
    </w:p>
    <w:p>
      <w:pPr>
        <w:spacing w:after="120"/>
      </w:pPr>
      <w:r>
        <w:t xml:space="preserve">My professional focus lies at the intersection of Finance, Data, Technology, and AI. I specialize in transforming financial and operational data into meaningful business insights through FP&amp;A, budgeting &amp; forecasting, variance analysis, KPI reporting, financial modeling, P&amp;L analysis, and management reporting. My experience includes analyzing revenue, margins, costs, and profitability to identify performance drivers and support informed business decisions.</w:t>
      </w:r>
    </w:p>
    <w:p>
      <w:pPr>
        <w:spacing w:after="120"/>
      </w:pPr>
      <w:r>
        <w:t xml:space="preserve">I complement my finance expertise with practical capabilities in Advanced Excel, Power BI, SQL, and SAP S/4HANA FICO, supported by knowledge of IFRS, US GAAP, Indian GST, UAE VAT, and UAE Corporate Tax. My tax and accounting knowledge enables me to understand the relationship between financial reporting, compliance, business transactions, and tax requirements.</w:t>
      </w:r>
    </w:p>
    <w:p>
      <w:pPr>
        <w:spacing w:after="120"/>
      </w:pPr>
      <w:r>
        <w:t xml:space="preserve">I also focus on AI-powered finance automation, leveraging AI and intelligent technologies to streamline repetitive finance activities, automate reporting and analysis, improve data workflows, enhance financial insights, and enable more efficient decision-making.</w:t>
      </w:r>
    </w:p>
    <w:p>
      <w:pPr>
        <w:pStyle w:val="Heading2"/>
        <w:spacing w:after="120" w:before="260"/>
      </w:pPr>
      <w:r>
        <w:t xml:space="preserve">My Approach</w:t>
      </w:r>
    </w:p>
    <w:p>
      <w:pPr>
        <w:spacing w:after="160"/>
      </w:pPr>
      <w:r>
        <w:rPr>
          <w:i/>
          <w:iCs/>
          <w:color w:val="8C8674"/>
          <w:sz w:val="20"/>
          <w:szCs w:val="20"/>
        </w:rPr>
        <w:t xml:space="preserve">Numbers tell the story. Analytics uncovers it. AI accelerates it. Finance turns it into action. (styled as a highlighted quote on the site)</w:t>
      </w:r>
    </w:p>
    <w:p>
      <w:pPr>
        <w:spacing w:after="120"/>
      </w:pPr>
      <w:r>
        <w:t xml:space="preserve">Through this portfolio, I showcase practical projects across FP&amp;A, Financial Analysis, Financial Modeling, Business Intelligence, Data Analytics, Dashboard Development, SAP, UAE VAT &amp; Corporate Tax, and AI-powered Finance Automation.</w:t>
      </w:r>
    </w:p>
    <w:p>
      <w:pPr>
        <w:spacing w:after="120"/>
      </w:pPr>
      <w:r>
        <w:t xml:space="preserve">My goal is to build finance solutions that are accurate, analytical, automated, scalable, and decision-oriented — combining strong financial fundamentals with modern technology to solve real-world business problems and create measurable business value.</w:t>
      </w:r>
    </w:p>
    <w:p>
      <w:pPr>
        <w:pBdr>
          <w:bottom w:val="single" w:color="D9D2C2" w:sz="6" w:space="1"/>
        </w:pBdr>
        <w:spacing w:after="200" w:before="100"/>
      </w:pPr>
    </w:p>
    <w:p>
      <w:pPr>
        <w:pStyle w:val="Heading1"/>
        <w:spacing w:after="150" w:before="300"/>
      </w:pPr>
      <w:r>
        <w:t xml:space="preserve">Experience Page — Career Journey</w:t>
      </w:r>
    </w:p>
    <w:p>
      <w:pPr>
        <w:pStyle w:val="Heading2"/>
        <w:spacing w:after="120" w:before="260"/>
      </w:pPr>
      <w:r>
        <w:t xml:space="preserve">Business Finance Associate II — FP&amp;A</w:t>
      </w:r>
    </w:p>
    <w:p>
      <w:pPr>
        <w:spacing w:after="120"/>
      </w:pPr>
      <w:r>
        <w:rPr>
          <w:b/>
          <w:bCs/>
          <w:color w:val="5C574B"/>
        </w:rPr>
        <w:t xml:space="preserve">UST (UST Global) — Global Technology &amp; IT Services MNC</w:t>
      </w:r>
    </w:p>
    <w:p>
      <w:pPr>
        <w:spacing w:after="120"/>
      </w:pPr>
      <w:r>
        <w:rPr>
          <w:i/>
          <w:iCs/>
          <w:color w:val="A9812F"/>
        </w:rPr>
        <w:t xml:space="preserve">April 2025 – September 2026</w:t>
      </w:r>
    </w:p>
    <w:p>
      <w:pPr>
        <w:pStyle w:val="ListParagraph"/>
        <w:numPr>
          <w:ilvl w:val="0"/>
          <w:numId w:val="1"/>
        </w:numPr>
        <w:spacing w:after="60"/>
      </w:pPr>
      <w:r>
        <w:t xml:space="preserve">Delivered monthly and quarterly management reporting dashboards and financial reports to senior leadership, enabling data-driven strategic decision-making across business units.</w:t>
      </w:r>
    </w:p>
    <w:p>
      <w:pPr>
        <w:pStyle w:val="ListParagraph"/>
        <w:numPr>
          <w:ilvl w:val="0"/>
          <w:numId w:val="1"/>
        </w:numPr>
        <w:spacing w:after="60"/>
      </w:pPr>
      <w:r>
        <w:t xml:space="preserve">Executed weekly Forecast vs. Annual Operating Plan (AOP) variance analysis and tracking, identifying deviations and providing actionable insights to finance business partners.</w:t>
      </w:r>
    </w:p>
    <w:p>
      <w:pPr>
        <w:pStyle w:val="ListParagraph"/>
        <w:numPr>
          <w:ilvl w:val="0"/>
          <w:numId w:val="1"/>
        </w:numPr>
        <w:spacing w:after="60"/>
      </w:pPr>
      <w:r>
        <w:t xml:space="preserve">Developed and maintained monthly Operational P&amp;L reports, supporting profitability analysis, margin analysis, and revenue analysis for cluster-level business reviews.</w:t>
      </w:r>
    </w:p>
    <w:p>
      <w:pPr>
        <w:pStyle w:val="ListParagraph"/>
        <w:numPr>
          <w:ilvl w:val="0"/>
          <w:numId w:val="1"/>
        </w:numPr>
        <w:spacing w:after="60"/>
      </w:pPr>
      <w:r>
        <w:t xml:space="preserve">Conducted weekly rolling forecasts aligned to long-range planning (LRP) cycles, improving forecast accuracy and supporting strategic finance planning processes.</w:t>
      </w:r>
    </w:p>
    <w:p>
      <w:pPr>
        <w:pStyle w:val="ListParagraph"/>
        <w:numPr>
          <w:ilvl w:val="0"/>
          <w:numId w:val="1"/>
        </w:numPr>
        <w:spacing w:after="60"/>
      </w:pPr>
      <w:r>
        <w:t xml:space="preserve">Analyzed KPIs and business performance metrics, translating financial data into executive-ready decision support presentations for C-suite and senior management.</w:t>
      </w:r>
    </w:p>
    <w:p>
      <w:pPr>
        <w:pStyle w:val="ListParagraph"/>
        <w:numPr>
          <w:ilvl w:val="0"/>
          <w:numId w:val="1"/>
        </w:numPr>
        <w:spacing w:after="60"/>
      </w:pPr>
      <w:r>
        <w:t xml:space="preserve">Supported cost optimization initiatives by contributing to the Cost Control and Cost Reduction Plan, identifying savings opportunities through in-depth cost analysis and variance reporting.</w:t>
      </w:r>
    </w:p>
    <w:p>
      <w:pPr>
        <w:pStyle w:val="ListParagraph"/>
        <w:numPr>
          <w:ilvl w:val="0"/>
          <w:numId w:val="1"/>
        </w:numPr>
        <w:spacing w:after="60"/>
      </w:pPr>
      <w:r>
        <w:t xml:space="preserve">Facilitated Cluster Reviews by coordinating cross-functional collaboration between finance, operations, and business unit stakeholders to drive performance management outcomes.</w:t>
      </w:r>
    </w:p>
    <w:p>
      <w:pPr>
        <w:pStyle w:val="ListParagraph"/>
        <w:numPr>
          <w:ilvl w:val="0"/>
          <w:numId w:val="1"/>
        </w:numPr>
        <w:spacing w:after="60"/>
      </w:pPr>
      <w:r>
        <w:t xml:space="preserve">Drove financial reporting transformation through process standardization, advanced Excel modeling, and AI-enabled automation, improving workflow efficiency and reducing reliance on manual reporting activities.</w:t>
      </w:r>
    </w:p>
    <w:p>
      <w:pPr>
        <w:pStyle w:val="Heading2"/>
        <w:spacing w:after="120" w:before="260"/>
      </w:pPr>
      <w:r>
        <w:t xml:space="preserve">Accounts Assistant</w:t>
      </w:r>
    </w:p>
    <w:p>
      <w:pPr>
        <w:spacing w:after="120"/>
      </w:pPr>
      <w:r>
        <w:rPr>
          <w:b/>
          <w:bCs/>
          <w:color w:val="5C574B"/>
        </w:rPr>
        <w:t xml:space="preserve">Sowparnika Associates — Accounting &amp; Tax Consultancy Firm</w:t>
      </w:r>
    </w:p>
    <w:p>
      <w:pPr>
        <w:spacing w:after="120"/>
      </w:pPr>
      <w:r>
        <w:rPr>
          <w:i/>
          <w:iCs/>
          <w:color w:val="A9812F"/>
        </w:rPr>
        <w:t xml:space="preserve">April 2022 – April 2025</w:t>
      </w:r>
    </w:p>
    <w:p>
      <w:pPr>
        <w:pStyle w:val="ListParagraph"/>
        <w:numPr>
          <w:ilvl w:val="0"/>
          <w:numId w:val="1"/>
        </w:numPr>
        <w:spacing w:after="60"/>
      </w:pPr>
      <w:r>
        <w:t xml:space="preserve">Managed GST compliance and tax planning for a multi-client portfolio, ensuring full regulatory adherence, timely return filing, and zero non-compliance incidents throughout tenure.</w:t>
      </w:r>
    </w:p>
    <w:p>
      <w:pPr>
        <w:pStyle w:val="ListParagraph"/>
        <w:numPr>
          <w:ilvl w:val="0"/>
          <w:numId w:val="1"/>
        </w:numPr>
        <w:spacing w:after="60"/>
      </w:pPr>
      <w:r>
        <w:t xml:space="preserve">Prepared budgeted financial statements and conducted financial statement analysis, delivering management accounting insights to support client business decisions.</w:t>
      </w:r>
    </w:p>
    <w:p>
      <w:pPr>
        <w:pStyle w:val="ListParagraph"/>
        <w:numPr>
          <w:ilvl w:val="0"/>
          <w:numId w:val="1"/>
        </w:numPr>
        <w:spacing w:after="60"/>
      </w:pPr>
      <w:r>
        <w:t xml:space="preserve">Maintained books of accounts for multiple clients, ensuring accuracy of general ledger entries, account reconciliation, and month-end close processes.</w:t>
      </w:r>
    </w:p>
    <w:p>
      <w:pPr>
        <w:pStyle w:val="ListParagraph"/>
        <w:numPr>
          <w:ilvl w:val="0"/>
          <w:numId w:val="1"/>
        </w:numPr>
        <w:spacing w:after="60"/>
      </w:pPr>
      <w:r>
        <w:t xml:space="preserve">Supported senior auditors in financial analysis, statutory audit preparation, internal controls review, risk assessment, and audit documentation across multiple engagements.</w:t>
      </w:r>
    </w:p>
    <w:p>
      <w:pPr>
        <w:pStyle w:val="ListParagraph"/>
        <w:numPr>
          <w:ilvl w:val="0"/>
          <w:numId w:val="1"/>
        </w:numPr>
        <w:spacing w:after="60"/>
      </w:pPr>
      <w:r>
        <w:t xml:space="preserve">Trained and mentored new team members on accounting procedures, GST compliance requirements, and bookkeeping best practices, improving team productivity and accuracy.</w:t>
      </w:r>
    </w:p>
    <w:p>
      <w:pPr>
        <w:pBdr>
          <w:bottom w:val="single" w:color="D9D2C2" w:sz="6" w:space="1"/>
        </w:pBdr>
        <w:spacing w:after="200" w:before="100"/>
      </w:pPr>
    </w:p>
    <w:p>
      <w:pPr>
        <w:pStyle w:val="Heading1"/>
        <w:spacing w:after="150" w:before="300"/>
      </w:pPr>
      <w:r>
        <w:t xml:space="preserve">Education &amp; Certifications Page</w:t>
      </w:r>
    </w:p>
    <w:p>
      <w:pPr>
        <w:pStyle w:val="Heading2"/>
        <w:spacing w:after="120" w:before="260"/>
      </w:pPr>
      <w:r>
        <w:t xml:space="preserve">Education</w:t>
      </w:r>
    </w:p>
    <w:p>
      <w:pPr>
        <w:pStyle w:val="Heading3"/>
        <w:spacing w:after="80" w:before="200"/>
      </w:pPr>
      <w:r>
        <w:t xml:space="preserve">Master of Commerce (M.Com)</w:t>
      </w:r>
    </w:p>
    <w:p>
      <w:pPr>
        <w:spacing w:after="120"/>
      </w:pPr>
      <w:r>
        <w:t xml:space="preserve">Indira Gandhi National Open University (IGNOU) — 2021–2023</w:t>
      </w:r>
    </w:p>
    <w:p>
      <w:pPr>
        <w:pStyle w:val="Heading3"/>
        <w:spacing w:after="80" w:before="200"/>
      </w:pPr>
      <w:r>
        <w:t xml:space="preserve">PG Diploma in International Business Operations</w:t>
      </w:r>
    </w:p>
    <w:p>
      <w:pPr>
        <w:spacing w:after="120"/>
      </w:pPr>
      <w:r>
        <w:t xml:space="preserve">Indira Gandhi National Open University (IGNOU) — 2021–2022</w:t>
      </w:r>
    </w:p>
    <w:p>
      <w:pPr>
        <w:pStyle w:val="Heading3"/>
        <w:spacing w:after="80" w:before="200"/>
      </w:pPr>
      <w:r>
        <w:t xml:space="preserve">Bachelor of Commerce (B.Com)</w:t>
      </w:r>
    </w:p>
    <w:p>
      <w:pPr>
        <w:spacing w:after="120"/>
      </w:pPr>
      <w:r>
        <w:t xml:space="preserve">University of Kerala — 2018–2021</w:t>
      </w:r>
    </w:p>
    <w:p>
      <w:pPr>
        <w:pStyle w:val="Heading2"/>
        <w:spacing w:after="120" w:before="260"/>
      </w:pPr>
      <w:r>
        <w:t xml:space="preserve">Certifications</w:t>
      </w:r>
    </w:p>
    <w:p>
      <w:pPr>
        <w:pStyle w:val="Heading3"/>
        <w:spacing w:after="80" w:before="200"/>
      </w:pPr>
      <w:r>
        <w:t xml:space="preserve">Certified Management Accountant (CMA), USA</w:t>
      </w:r>
    </w:p>
    <w:p>
      <w:pPr>
        <w:spacing w:after="120"/>
      </w:pPr>
      <w:r>
        <w:t xml:space="preserve">Institute of Management Accountants (IMA) — 2024, Cert. No. 133442</w:t>
      </w:r>
    </w:p>
    <w:p>
      <w:pPr>
        <w:pStyle w:val="Heading3"/>
        <w:spacing w:after="80" w:before="200"/>
      </w:pPr>
      <w:r>
        <w:t xml:space="preserve">IMA Data Analysis and Visualization</w:t>
      </w:r>
    </w:p>
    <w:p>
      <w:pPr>
        <w:spacing w:after="120"/>
      </w:pPr>
      <w:r>
        <w:t xml:space="preserve">Institute of Management Accountants (IMA) — [date not yet provided]</w:t>
      </w:r>
    </w:p>
    <w:p>
      <w:pPr>
        <w:pStyle w:val="Heading3"/>
        <w:spacing w:after="80" w:before="200"/>
      </w:pPr>
      <w:r>
        <w:t xml:space="preserve">SAP S4 HANA/FICO</w:t>
      </w:r>
    </w:p>
    <w:p>
      <w:pPr>
        <w:spacing w:after="120"/>
      </w:pPr>
      <w:r>
        <w:t xml:space="preserve">[Issuer and date not yet provided]</w:t>
      </w:r>
    </w:p>
    <w:p>
      <w:pPr>
        <w:pStyle w:val="Heading3"/>
        <w:spacing w:after="80" w:before="200"/>
      </w:pPr>
      <w:r>
        <w:t xml:space="preserve">UAE VAT and Corporate Tax</w:t>
      </w:r>
    </w:p>
    <w:p>
      <w:pPr>
        <w:spacing w:after="120"/>
      </w:pPr>
      <w:r>
        <w:t xml:space="preserve">[Issuer and date not yet provided]</w:t>
      </w:r>
    </w:p>
    <w:p>
      <w:pPr>
        <w:pStyle w:val="Heading2"/>
        <w:spacing w:after="120" w:before="260"/>
      </w:pPr>
      <w:r>
        <w:t xml:space="preserve">Membership</w:t>
      </w:r>
    </w:p>
    <w:p>
      <w:pPr>
        <w:spacing w:after="120"/>
      </w:pPr>
      <w:r>
        <w:t xml:space="preserve">Institute of Management Accountants (IMA), USA — Professional Member</w:t>
      </w:r>
    </w:p>
    <w:p>
      <w:pPr>
        <w:spacing w:after="160"/>
      </w:pPr>
      <w:r>
        <w:rPr>
          <w:i/>
          <w:iCs/>
          <w:color w:val="8C8674"/>
          <w:sz w:val="20"/>
          <w:szCs w:val="20"/>
        </w:rPr>
        <w:t xml:space="preserve">Certificate images: the site has a spot ready for a scanned image of each certificate above (currently showing a placeholder icon). Send the image files (or tell me where to find them) and I'll add them, or you can drop them into assets/certificates/ yourself — see EDITING-GUIDE.md.</w:t>
      </w:r>
    </w:p>
    <w:p>
      <w:pPr>
        <w:pBdr>
          <w:bottom w:val="single" w:color="D9D2C2" w:sz="6" w:space="1"/>
        </w:pBdr>
        <w:spacing w:after="200" w:before="100"/>
      </w:pPr>
    </w:p>
    <w:p>
      <w:pPr>
        <w:pStyle w:val="Heading1"/>
        <w:spacing w:after="150" w:before="300"/>
      </w:pPr>
      <w:r>
        <w:t xml:space="preserve">Projects Page — descriptions shown on cards</w:t>
      </w:r>
    </w:p>
    <w:p>
      <w:pPr>
        <w:pStyle w:val="Heading3"/>
        <w:spacing w:after="80" w:before="200"/>
      </w:pPr>
      <w:r>
        <w:t xml:space="preserve">FP&amp;A Performance, Variance &amp; KPI Analysis</w:t>
      </w:r>
    </w:p>
    <w:p>
      <w:pPr>
        <w:spacing w:after="120"/>
      </w:pPr>
      <w:r>
        <w:t xml:space="preserve">Monthly Budget-vs-Actual operating P&amp;L across 5 business units, 6 regions, and 36 months, with automated variance flags and a KPI dashboard.</w:t>
      </w:r>
    </w:p>
    <w:p>
      <w:pPr>
        <w:pStyle w:val="Heading3"/>
        <w:spacing w:after="80" w:before="200"/>
      </w:pPr>
      <w:r>
        <w:t xml:space="preserve">Integrated 3-Statement Financial Model &amp; DCF Valuation</w:t>
      </w:r>
    </w:p>
    <w:p>
      <w:pPr>
        <w:spacing w:after="120"/>
      </w:pPr>
      <w:r>
        <w:t xml:space="preserve">A monthly revenue build for 5 product lines across 6 regions feeding a full 3-statement model (IS, BS, CF) and a DCF valuation — balance sheet ties to zero every year.</w:t>
      </w:r>
    </w:p>
    <w:p>
      <w:pPr>
        <w:pStyle w:val="Heading3"/>
        <w:spacing w:after="80" w:before="200"/>
      </w:pPr>
      <w:r>
        <w:t xml:space="preserve">UAE VAT Calculation &amp; Reconciliation</w:t>
      </w:r>
    </w:p>
    <w:p>
      <w:pPr>
        <w:spacing w:after="120"/>
      </w:pPr>
      <w:r>
        <w:t xml:space="preserve">A FY2026 (Jan–Dec) sales &amp; purchase invoice register with FTA VAT return-style summary — output VAT, input VAT, and net payable, reconciled to zero variance.</w:t>
      </w:r>
    </w:p>
    <w:p>
      <w:pPr>
        <w:pStyle w:val="Heading3"/>
        <w:spacing w:after="80" w:before="200"/>
      </w:pPr>
      <w:r>
        <w:t xml:space="preserve">UAE Corporate Tax Computation Model</w:t>
      </w:r>
    </w:p>
    <w:p>
      <w:pPr>
        <w:spacing w:after="120"/>
      </w:pPr>
      <w:r>
        <w:t xml:space="preserve">Taxable income build-up from accounting profit for FY2025 — disallowed expenses, exempt income, and the 0% / 9% threshold under UAE CT Law.</w:t>
      </w:r>
    </w:p>
    <w:p>
      <w:pPr>
        <w:pStyle w:val="Heading3"/>
        <w:spacing w:after="80" w:before="200"/>
      </w:pPr>
      <w:r>
        <w:t xml:space="preserve">Financial Data Analysis Using SQL</w:t>
      </w:r>
    </w:p>
    <w:p>
      <w:pPr>
        <w:spacing w:after="120"/>
      </w:pPr>
      <w:r>
        <w:t xml:space="preserve">1,202 client invoices across 24 months, 5 business units and 5 regions — 8 tested SQL queries covering trend, margin, AR risk, and client concentration analysis.</w:t>
      </w:r>
    </w:p>
    <w:p>
      <w:pPr>
        <w:pStyle w:val="Heading3"/>
        <w:spacing w:after="80" w:before="200"/>
      </w:pPr>
      <w:r>
        <w:t xml:space="preserve">Interactive FP&amp;A Analytics Dashboard</w:t>
      </w:r>
    </w:p>
    <w:p>
      <w:pPr>
        <w:spacing w:after="120"/>
      </w:pPr>
      <w:r>
        <w:t xml:space="preserve">A Power BI-style interactive dashboard — KPI cards, BU filter, and trend charts — built as a live web page on the same 1,080-row FP&amp;A dataset.</w:t>
      </w:r>
    </w:p>
    <w:p>
      <w:pPr>
        <w:spacing w:after="160"/>
      </w:pPr>
      <w:r>
        <w:rPr>
          <w:i/>
          <w:iCs/>
          <w:color w:val="8C8674"/>
          <w:sz w:val="20"/>
          <w:szCs w:val="20"/>
        </w:rPr>
        <w:t xml:space="preserve">All figures, company names, and clients in every project are synthetic — generated for this portfolio, not real employer or client data.</w:t>
      </w:r>
    </w:p>
    <w:p>
      <w:pPr>
        <w:pBdr>
          <w:bottom w:val="single" w:color="D9D2C2" w:sz="6" w:space="1"/>
        </w:pBdr>
        <w:spacing w:after="200" w:before="100"/>
      </w:pPr>
    </w:p>
    <w:p>
      <w:pPr>
        <w:pStyle w:val="Heading1"/>
        <w:spacing w:after="150" w:before="300"/>
      </w:pPr>
      <w:r>
        <w:t xml:space="preserve">Contact Page</w:t>
      </w:r>
    </w:p>
    <w:p>
      <w:pPr>
        <w:spacing w:after="120"/>
      </w:pPr>
      <w:r>
        <w:t xml:space="preserve">Email: cmabijesh.ae@gmail.com</w:t>
      </w:r>
    </w:p>
    <w:p>
      <w:pPr>
        <w:spacing w:after="120"/>
      </w:pPr>
      <w:r>
        <w:t xml:space="preserve">Phone: +91 9497451467</w:t>
      </w:r>
    </w:p>
    <w:p>
      <w:pPr>
        <w:spacing w:after="120"/>
      </w:pPr>
      <w:r>
        <w:t xml:space="preserve">Location: Dubai, UAE (Open to Relocation)</w:t>
      </w:r>
    </w:p>
    <w:p>
      <w:pPr>
        <w:spacing w:after="120"/>
      </w:pPr>
      <w:r>
        <w:t xml:space="preserve">LinkedIn: https://www.linkedin.com/in/bijesh-bj-cma-here</w:t>
      </w:r>
    </w:p>
    <w:p>
      <w:pPr>
        <w:spacing w:after="120"/>
      </w:pPr>
      <w:r>
        <w:t xml:space="preserve">GitHub / Portfolio: https://cmabijeshbj-web.github.io/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B2A41"/>
      <w:sz w:val="32"/>
      <w:szCs w:val="32"/>
    </w:rPr>
  </w:style>
  <w:style w:type="paragraph" w:styleId="Heading2">
    <w:name w:val="Heading 2"/>
    <w:basedOn w:val="Normal"/>
    <w:next w:val="Normal"/>
    <w:qFormat/>
    <w:rPr>
      <w:rFonts w:ascii="Calibri" w:cs="Calibri" w:eastAsia="Calibri" w:hAnsi="Calibri"/>
      <w:b/>
      <w:bCs/>
      <w:color w:val="1B2A41"/>
      <w:sz w:val="26"/>
      <w:szCs w:val="26"/>
    </w:rPr>
  </w:style>
  <w:style w:type="paragraph" w:styleId="Heading3">
    <w:name w:val="Heading 3"/>
    <w:basedOn w:val="Normal"/>
    <w:next w:val="Normal"/>
    <w:qFormat/>
    <w:rPr>
      <w:rFonts w:ascii="Calibri" w:cs="Calibri" w:eastAsia="Calibri" w:hAnsi="Calibri"/>
      <w:b/>
      <w:bCs/>
      <w:color w:val="A981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2026-09-17T20:27:36.477Z</dcterms:created>
  <dcterms:modified xsi:type="dcterms:W3CDTF">2026-09-17T20:27:36.484Z</dcterms:modified>
</cp:coreProperties>
</file>

<file path=docProps/custom.xml><?xml version="1.0" encoding="utf-8"?>
<Properties xmlns="http://schemas.openxmlformats.org/officeDocument/2006/custom-properties" xmlns:vt="http://schemas.openxmlformats.org/officeDocument/2006/docPropsVTypes"/>
</file>