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Expense and Reimbursement Policy (2023)</w:t>
      </w:r>
    </w:p>
    <w:p>
      <w:r>
        <w:rPr>
          <w:color w:val="606060"/>
          <w:sz w:val="17"/>
        </w:rPr>
        <w:t>Document ID: FIN-007    |    Owner: Marcus Delacroix    |    Department: Finance</w:t>
        <w:br/>
        <w:t>Classification: Internal    |    Status: Archived    |    Last reviewed: June 01, 2023</w:t>
      </w:r>
    </w:p>
    <w:p/>
    <w:p>
      <w:r>
        <w:rPr>
          <w:i/>
          <w:color w:val="993300"/>
        </w:rPr>
        <w:t>ARCHIVED. This document was superseded by FIN-011 on March 2, 2026 and is retained for audit purposes only. Do not rely on these figures.</w:t>
      </w:r>
    </w:p>
    <w:p>
      <w:pPr>
        <w:pStyle w:val="Heading1"/>
      </w:pPr>
      <w:r>
        <w:t>Meal per diem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Cap</w:t>
            </w:r>
          </w:p>
        </w:tc>
      </w:tr>
      <w:tr>
        <w:tc>
          <w:tcPr>
            <w:tcW w:type="dxa" w:w="4680"/>
          </w:tcPr>
          <w:p>
            <w:r>
              <w:t>Domestic travel</w:t>
            </w:r>
          </w:p>
        </w:tc>
        <w:tc>
          <w:tcPr>
            <w:tcW w:type="dxa" w:w="4680"/>
          </w:tcPr>
          <w:p>
            <w:r>
              <w:t>$50 per day</w:t>
            </w:r>
          </w:p>
        </w:tc>
      </w:tr>
      <w:tr>
        <w:tc>
          <w:tcPr>
            <w:tcW w:type="dxa" w:w="4680"/>
          </w:tcPr>
          <w:p>
            <w:r>
              <w:t>International travel</w:t>
            </w:r>
          </w:p>
        </w:tc>
        <w:tc>
          <w:tcPr>
            <w:tcW w:type="dxa" w:w="4680"/>
          </w:tcPr>
          <w:p>
            <w:r>
              <w:t>$85 per day</w:t>
            </w:r>
          </w:p>
        </w:tc>
      </w:tr>
      <w:tr>
        <w:tc>
          <w:tcPr>
            <w:tcW w:type="dxa" w:w="4680"/>
          </w:tcPr>
          <w:p>
            <w:r>
              <w:t>Client entertainment</w:t>
            </w:r>
          </w:p>
        </w:tc>
        <w:tc>
          <w:tcPr>
            <w:tcW w:type="dxa" w:w="4680"/>
          </w:tcPr>
          <w:p>
            <w:r>
              <w:t>$100 per person</w:t>
            </w:r>
          </w:p>
        </w:tc>
      </w:tr>
    </w:tbl>
    <w:p/>
    <w:p>
      <w:pPr>
        <w:pStyle w:val="Heading1"/>
      </w:pPr>
      <w:r>
        <w:t>Cards and receipts</w:t>
      </w:r>
    </w:p>
    <w:p>
      <w:r>
        <w:t>Halcyon issued Brex corporate cards. Itemized receipts required for any transaction over $50.</w:t>
      </w:r>
    </w:p>
    <w:p>
      <w:pPr>
        <w:pStyle w:val="Heading1"/>
      </w:pPr>
      <w:r>
        <w:t>Submission deadline</w:t>
      </w:r>
    </w:p>
    <w:p>
      <w:r>
        <w:t>Expenses must be submitted within 45 days of the transaction date.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and Reimbursement Policy (2023)</dc:title>
  <dc:subject>policy</dc:subject>
  <dc:creator>Marcus Delacroix</dc:creator>
  <cp:keywords>expense; reimbursement; per diem; brex; archived</cp:keywords>
  <dc:description>FIN-007 | policy | Internal | Archived</dc:description>
  <cp:lastModifiedBy>Marcus Delacroix</cp:lastModifiedBy>
  <cp:revision>3</cp:revision>
  <dcterms:created xsi:type="dcterms:W3CDTF">2023-05-02T00:00:00Z</dcterms:created>
  <dcterms:modified xsi:type="dcterms:W3CDTF">2023-06-01T00:00:00Z</dcterms:modified>
  <cp:category>Finance</cp:category>
</cp:coreProperties>
</file>