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Expense and Reimbursement Policy</w:t>
      </w:r>
    </w:p>
    <w:p>
      <w:r>
        <w:rPr>
          <w:color w:val="606060"/>
          <w:sz w:val="17"/>
        </w:rPr>
        <w:t>Document ID: FIN-011    |    Owner: Marcus Delacroix    |    Department: Finance</w:t>
        <w:br/>
        <w:t>Classification: Internal    |    Status: Active    |    Last reviewed: March 02, 2026</w:t>
      </w:r>
    </w:p>
    <w:p/>
    <w:p>
      <w:r>
        <w:rPr>
          <w:i/>
          <w:color w:val="993300"/>
        </w:rPr>
        <w:t>Effective March 2, 2026. This policy supersedes FIN-007 (2023 Expense Policy).</w:t>
      </w:r>
    </w:p>
    <w:p>
      <w:pPr>
        <w:pStyle w:val="Heading1"/>
      </w:pPr>
      <w:r>
        <w:t>Meal per diem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Cap</w:t>
            </w:r>
          </w:p>
        </w:tc>
      </w:tr>
      <w:tr>
        <w:tc>
          <w:tcPr>
            <w:tcW w:type="dxa" w:w="4680"/>
          </w:tcPr>
          <w:p>
            <w:r>
              <w:t>Domestic travel</w:t>
            </w:r>
          </w:p>
        </w:tc>
        <w:tc>
          <w:tcPr>
            <w:tcW w:type="dxa" w:w="4680"/>
          </w:tcPr>
          <w:p>
            <w:r>
              <w:t>$75 per day</w:t>
            </w:r>
          </w:p>
        </w:tc>
      </w:tr>
      <w:tr>
        <w:tc>
          <w:tcPr>
            <w:tcW w:type="dxa" w:w="4680"/>
          </w:tcPr>
          <w:p>
            <w:r>
              <w:t>International travel</w:t>
            </w:r>
          </w:p>
        </w:tc>
        <w:tc>
          <w:tcPr>
            <w:tcW w:type="dxa" w:w="4680"/>
          </w:tcPr>
          <w:p>
            <w:r>
              <w:t>$110 per day</w:t>
            </w:r>
          </w:p>
        </w:tc>
      </w:tr>
      <w:tr>
        <w:tc>
          <w:tcPr>
            <w:tcW w:type="dxa" w:w="4680"/>
          </w:tcPr>
          <w:p>
            <w:r>
              <w:t>Client entertainment</w:t>
            </w:r>
          </w:p>
        </w:tc>
        <w:tc>
          <w:tcPr>
            <w:tcW w:type="dxa" w:w="4680"/>
          </w:tcPr>
          <w:p>
            <w:r>
              <w:t>$150 per person (Director pre-approval)</w:t>
            </w:r>
          </w:p>
        </w:tc>
      </w:tr>
    </w:tbl>
    <w:p/>
    <w:p>
      <w:r>
        <w:t>Per diem is a cap, not an allowance. Submit actual spend, not the maximum.</w:t>
      </w:r>
    </w:p>
    <w:p>
      <w:pPr>
        <w:pStyle w:val="Heading1"/>
      </w:pPr>
      <w:r>
        <w:t>Cards and receipts</w:t>
      </w:r>
    </w:p>
    <w:p>
      <w:r>
        <w:t>Halcyon issues Ramp corporate cards to all employees who travel or purchase on behalf of the company. Personal cards should not be used for company expenses except in an emergency.</w:t>
      </w:r>
    </w:p>
    <w:p>
      <w:r>
        <w:t>Itemized receipts are required for any transaction over $25. Ramp will auto-match most receipts if you forward them to receipts@halcyon.io within 48 hours.</w:t>
      </w:r>
    </w:p>
    <w:p>
      <w:pPr>
        <w:pStyle w:val="Heading1"/>
      </w:pPr>
      <w:r>
        <w:t>Submission deadline</w:t>
      </w:r>
    </w:p>
    <w:p>
      <w:r>
        <w:t>Expenses must be submitted within 30 days of the transaction date. Expenses submitted after 60 days require CFO approval and are generally denied.</w:t>
      </w:r>
    </w:p>
    <w:p>
      <w:pPr>
        <w:pStyle w:val="Heading1"/>
      </w:pPr>
      <w:r>
        <w:t>Non-reimbursable</w:t>
      </w:r>
    </w:p>
    <w:p>
      <w:pPr>
        <w:pStyle w:val="ListBullet"/>
      </w:pPr>
      <w:r>
        <w:t>Airline seat upgrades booked separately from the fare</w:t>
      </w:r>
    </w:p>
    <w:p>
      <w:pPr>
        <w:pStyle w:val="ListBullet"/>
      </w:pPr>
      <w:r>
        <w:t>Hotel minibar</w:t>
      </w:r>
    </w:p>
    <w:p>
      <w:pPr>
        <w:pStyle w:val="ListBullet"/>
      </w:pPr>
      <w:r>
        <w:t>In-flight wifi over $30</w:t>
      </w:r>
    </w:p>
    <w:p>
      <w:pPr>
        <w:pStyle w:val="ListBullet"/>
      </w:pPr>
      <w:r>
        <w:t>Parking tickets and traffic fines</w:t>
      </w:r>
    </w:p>
    <w:p>
      <w:pPr>
        <w:pStyle w:val="ListBullet"/>
      </w:pPr>
      <w:r>
        <w:t>Personal entertainment</w:t>
      </w:r>
    </w:p>
    <w:p>
      <w:pPr>
        <w:pStyle w:val="Heading1"/>
      </w:pPr>
      <w:r>
        <w:t>Home office</w:t>
      </w:r>
    </w:p>
    <w:p>
      <w:r>
        <w:t>Home office equipment does not go through this policy. See the Remote and Hybrid Work Policy (HR-009) for the equipment stipend.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Expense and Reimbursement Policy</dc:title>
  <dc:subject>policy</dc:subject>
  <dc:creator>Marcus Delacroix</dc:creator>
  <cp:keywords>expense; reimbursement; per diem; ramp; receipts</cp:keywords>
  <dc:description>FIN-011 | policy | Internal | Active</dc:description>
  <cp:lastModifiedBy>Marcus Delacroix</cp:lastModifiedBy>
  <cp:revision>6</cp:revision>
  <dcterms:created xsi:type="dcterms:W3CDTF">2026-01-20T00:00:00Z</dcterms:created>
  <dcterms:modified xsi:type="dcterms:W3CDTF">2026-03-02T00:00:00Z</dcterms:modified>
  <cp:category>Finance</cp:category>
</cp:coreProperties>
</file>