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1200"/>
        <w:jc w:val="center"/>
      </w:pPr>
      <w:r>
        <w:drawing>
          <wp:inline distT="0" distB="0" distL="0" distR="0">
            <wp:extent cx="9525" cy="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Fraunces" w:cs="Fraunces" w:eastAsia="Fraunces" w:hAnsi="Fraunces"/>
          <w:b/>
          <w:bCs/>
          <w:color w:val="0B2545"/>
          <w:sz w:val="64"/>
          <w:szCs w:val="64"/>
        </w:rPr>
        <w:t xml:space="preserve">Prioritised Action Plan</w:t>
      </w:r>
    </w:p>
    <w:p>
      <w:pPr>
        <w:spacing w:after="200" w:before="0"/>
        <w:jc w:val="center"/>
      </w:pPr>
      <w:r>
        <w:rPr>
          <w:rFonts w:ascii="IBM Plex Sans" w:cs="IBM Plex Sans" w:eastAsia="IBM Plex Sans" w:hAnsi="IBM Plex Sans"/>
          <w:color w:val="13315C"/>
          <w:sz w:val="28"/>
          <w:szCs w:val="28"/>
        </w:rPr>
        <w:t xml:space="preserve">Anytown High &amp; Sixth Form · Anytown Multi-Academy Trust</w:t>
      </w:r>
    </w:p>
    <w:p>
      <w:pPr>
        <w:spacing w:after="720" w:before="0"/>
        <w:jc w:val="center"/>
      </w:pPr>
      <w:r>
        <w:rPr>
          <w:rFonts w:ascii="IBM Plex Sans" w:cs="IBM Plex Sans" w:eastAsia="IBM Plex Sans" w:hAnsi="IBM Plex Sans"/>
          <w:color w:val="5B6A82"/>
          <w:sz w:val="18"/>
          <w:szCs w:val="18"/>
        </w:rPr>
        <w:t xml:space="preserve">Prepared for Governors &amp; Senior Leadership</w:t>
      </w:r>
    </w:p>
    <w:p>
      <w:pPr>
        <w:spacing w:after="0" w:before="0"/>
        <w:jc w:val="center"/>
      </w:pPr>
      <w:r>
        <w:rPr>
          <w:rFonts w:ascii="IBM Plex Sans" w:cs="IBM Plex Sans" w:eastAsia="IBM Plex Sans" w:hAnsi="IBM Plex Sans"/>
          <w:color w:val="5B6A82"/>
          <w:spacing w:val="40"/>
          <w:sz w:val="18"/>
          <w:szCs w:val="18"/>
        </w:rPr>
        <w:t xml:space="preserve">Version 2.1   •   Approved 15 May 2026   •   Next review 15 May 2027</w:t>
      </w:r>
    </w:p>
    <w:p>
      <w:pPr>
        <w:pBdr>
          <w:bottom w:val="single" w:color="E3E8EF" w:sz="4" w:space="1"/>
        </w:pBdr>
        <w:spacing w:after="200" w:before="8400"/>
        <w:ind w:left="3600" w:right="3600"/>
        <w:jc w:val="center"/>
      </w:pPr>
    </w:p>
    <w:p>
      <w:pPr>
        <w:spacing w:after="0" w:before="0"/>
        <w:jc w:val="center"/>
      </w:pPr>
      <w:r>
        <w:rPr>
          <w:rFonts w:ascii="IBM Plex Sans" w:cs="IBM Plex Sans" w:eastAsia="IBM Plex Sans" w:hAnsi="IBM Plex Sans"/>
          <w:i/>
          <w:iCs/>
          <w:color w:val="5B6A82"/>
          <w:sz w:val="14"/>
          <w:szCs w:val="14"/>
        </w:rPr>
        <w:t xml:space="preserve">Prepared by Anytown High &amp; Sixth Form</w:t>
      </w:r>
    </w:p>
    <w:p>
      <w:pPr>
        <w:pageBreakBefore/>
      </w:pPr>
    </w:p>
    <w:p>
      <w:pPr>
        <w:pStyle w:val="Heading2"/>
        <w:pBdr>
          <w:bottom w:val="single" w:color="0B2545" w:sz="12" w:space="6"/>
        </w:pBdr>
      </w:pPr>
      <w:r>
        <w:t xml:space="preserve">Executive summary</w:t>
      </w:r>
    </w:p>
    <w:p>
      <w:pPr>
        <w:spacing w:after="160" w:before="0"/>
      </w:pPr>
      <w:r>
        <w:rPr>
          <w:rFonts w:ascii="IBM Plex Sans" w:cs="IBM Plex Sans" w:eastAsia="IBM Plex Sans" w:hAnsi="IBM Plex Sans"/>
          <w:i/>
          <w:iCs/>
          <w:color w:val="5B6A82"/>
          <w:sz w:val="18"/>
          <w:szCs w:val="18"/>
        </w:rPr>
        <w:t xml:space="preserve">Outstanding remediation actions surfaced by the readiness check.</w:t>
      </w:r>
    </w:p>
    <w:tbl>
      <w:tblPr>
        <w:tblW w:type="pct" w:w="100%"/>
        <w:tblBorders>
          <w:top w:val="single" w:color="E3E8EF" w:sz="4"/>
          <w:left w:val="single" w:color="E3E8EF" w:sz="4"/>
          <w:bottom w:val="single" w:color="E3E8EF" w:sz="4"/>
          <w:right w:val="single" w:color="E3E8EF" w:sz="4"/>
          <w:insideH w:val="single" w:color="E3E8EF" w:sz="4"/>
          <w:insideV w:val="single" w:color="E3E8EF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E3E8EF" w:sz="4"/>
              <w:left w:val="single" w:color="E3E8EF" w:sz="4"/>
              <w:bottom w:val="single" w:color="E3E8EF" w:sz="4"/>
              <w:right w:val="single" w:color="E3E8EF" w:sz="4"/>
            </w:tcBorders>
            <w:shd w:fill="F7F9FC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5B6A82"/>
                <w:spacing w:val="80"/>
                <w:sz w:val="14"/>
                <w:szCs w:val="14"/>
              </w:rPr>
              <w:t xml:space="preserve">OUTSTANDING</w:t>
            </w:r>
          </w:p>
          <w:p>
            <w:pPr>
              <w:spacing w:after="40" w:before="0"/>
              <w:jc w:val="center"/>
            </w:pPr>
            <w:r>
              <w:rPr>
                <w:rFonts w:ascii="Fraunces" w:cs="Fraunces" w:eastAsia="Fraunces" w:hAnsi="Fraunces"/>
                <w:b/>
                <w:bCs/>
                <w:color w:val="7A3A07"/>
                <w:sz w:val="56"/>
                <w:szCs w:val="56"/>
              </w:rPr>
              <w:t xml:space="preserve">10</w:t>
            </w:r>
          </w:p>
        </w:tc>
        <w:tc>
          <w:tcPr>
            <w:tcW w:type="pct" w:w="25%"/>
            <w:tcBorders>
              <w:top w:val="single" w:color="E3E8EF" w:sz="4"/>
              <w:left w:val="single" w:color="E3E8EF" w:sz="4"/>
              <w:bottom w:val="single" w:color="E3E8EF" w:sz="4"/>
              <w:right w:val="single" w:color="E3E8EF" w:sz="4"/>
            </w:tcBorders>
            <w:shd w:fill="F7F9FC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5B6A82"/>
                <w:spacing w:val="80"/>
                <w:sz w:val="14"/>
                <w:szCs w:val="14"/>
              </w:rPr>
              <w:t xml:space="preserve">RED</w:t>
            </w:r>
          </w:p>
          <w:p>
            <w:pPr>
              <w:spacing w:after="40" w:before="0"/>
              <w:jc w:val="center"/>
            </w:pPr>
            <w:r>
              <w:rPr>
                <w:rFonts w:ascii="Fraunces" w:cs="Fraunces" w:eastAsia="Fraunces" w:hAnsi="Fraunces"/>
                <w:b/>
                <w:bCs/>
                <w:color w:val="8E1B12"/>
                <w:sz w:val="56"/>
                <w:szCs w:val="56"/>
              </w:rPr>
              <w:t xml:space="preserve">3</w:t>
            </w:r>
          </w:p>
        </w:tc>
        <w:tc>
          <w:tcPr>
            <w:tcW w:type="pct" w:w="25%"/>
            <w:tcBorders>
              <w:top w:val="single" w:color="E3E8EF" w:sz="4"/>
              <w:left w:val="single" w:color="E3E8EF" w:sz="4"/>
              <w:bottom w:val="single" w:color="E3E8EF" w:sz="4"/>
              <w:right w:val="single" w:color="E3E8EF" w:sz="4"/>
            </w:tcBorders>
            <w:shd w:fill="F7F9FC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5B6A82"/>
                <w:spacing w:val="80"/>
                <w:sz w:val="14"/>
                <w:szCs w:val="14"/>
              </w:rPr>
              <w:t xml:space="preserve">AMBER</w:t>
            </w:r>
          </w:p>
          <w:p>
            <w:pPr>
              <w:spacing w:after="40" w:before="0"/>
              <w:jc w:val="center"/>
            </w:pPr>
            <w:r>
              <w:rPr>
                <w:rFonts w:ascii="Fraunces" w:cs="Fraunces" w:eastAsia="Fraunces" w:hAnsi="Fraunces"/>
                <w:b/>
                <w:bCs/>
                <w:color w:val="7A3A07"/>
                <w:sz w:val="56"/>
                <w:szCs w:val="56"/>
              </w:rPr>
              <w:t xml:space="preserve">7</w:t>
            </w:r>
          </w:p>
        </w:tc>
        <w:tc>
          <w:tcPr>
            <w:tcW w:type="pct" w:w="25%"/>
            <w:tcBorders>
              <w:top w:val="single" w:color="E3E8EF" w:sz="4"/>
              <w:left w:val="single" w:color="E3E8EF" w:sz="4"/>
              <w:bottom w:val="single" w:color="E3E8EF" w:sz="4"/>
              <w:right w:val="single" w:color="E3E8EF" w:sz="4"/>
            </w:tcBorders>
            <w:shd w:fill="F7F9FC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5B6A82"/>
                <w:spacing w:val="80"/>
                <w:sz w:val="14"/>
                <w:szCs w:val="14"/>
              </w:rPr>
              <w:t xml:space="preserve">ANSWERED</w:t>
            </w:r>
          </w:p>
          <w:p>
            <w:pPr>
              <w:spacing w:after="40" w:before="0"/>
              <w:jc w:val="center"/>
            </w:pPr>
            <w:r>
              <w:rPr>
                <w:rFonts w:ascii="Fraunces" w:cs="Fraunces" w:eastAsia="Fraunces" w:hAnsi="Fraunces"/>
                <w:b/>
                <w:bCs/>
                <w:color w:val="0B2545"/>
                <w:sz w:val="56"/>
                <w:szCs w:val="56"/>
              </w:rPr>
              <w:t xml:space="preserve">16</w:t>
            </w:r>
          </w:p>
          <w:p>
            <w:pPr>
              <w:spacing w:after="60" w:before="0"/>
              <w:jc w:val="center"/>
            </w:pPr>
            <w:r>
              <w:rPr>
                <w:rFonts w:ascii="IBM Plex Sans" w:cs="IBM Plex Sans" w:eastAsia="IBM Plex Sans" w:hAnsi="IBM Plex Sans"/>
                <w:color w:val="5B6A82"/>
                <w:sz w:val="18"/>
                <w:szCs w:val="18"/>
              </w:rPr>
              <w:t xml:space="preserve">of 16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pct" w:w="98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0B2545"/>
                <w:spacing w:val="40"/>
                <w:sz w:val="18"/>
                <w:szCs w:val="18"/>
              </w:rPr>
              <w:t xml:space="preserve">How to use this plan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color w:val="0B2545"/>
                <w:sz w:val="22"/>
                <w:szCs w:val="22"/>
              </w:rPr>
              <w:t xml:space="preserve">Take this to the next SLT or IT planning meeting. Assign each action an owner, a target date and a status using the columns on the right. Red items typically need attention within one term; amber items within the academic year.</w:t>
            </w:r>
          </w:p>
        </w:tc>
      </w:tr>
    </w:tbl>
    <w:p>
      <w:pPr>
        <w:pStyle w:val="Heading2"/>
        <w:pBdr>
          <w:bottom w:val="single" w:color="0B2545" w:sz="12" w:space="6"/>
        </w:pBdr>
      </w:pPr>
      <w:r>
        <w:t xml:space="preserve">Action register</w:t>
      </w:r>
    </w:p>
    <w:tbl>
      <w:tblPr>
        <w:tblW w:type="pct" w:w="100%"/>
        <w:tblBorders>
          <w:top w:val="single" w:color="E3E8EF" w:sz="4"/>
          <w:left w:val="single" w:color="E3E8EF" w:sz="4"/>
          <w:bottom w:val="single" w:color="E3E8EF" w:sz="4"/>
          <w:right w:val="single" w:color="E3E8EF" w:sz="4"/>
          <w:insideH w:val="single" w:color="E3E8EF" w:sz="4"/>
          <w:insideV w:val="single" w:color="E3E8E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6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pacing w:val="20"/>
                <w:sz w:val="14"/>
                <w:szCs w:val="14"/>
              </w:rPr>
              <w:t xml:space="preserve">#</w:t>
            </w:r>
          </w:p>
        </w:tc>
        <w:tc>
          <w:tcPr>
            <w:tcW w:type="dxa" w:w="54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pacing w:val="20"/>
                <w:sz w:val="14"/>
                <w:szCs w:val="14"/>
              </w:rPr>
              <w:t xml:space="preserve">RAG</w:t>
            </w:r>
          </w:p>
        </w:tc>
        <w:tc>
          <w:tcPr>
            <w:tcW w:type="dxa" w:w="45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pacing w:val="20"/>
                <w:sz w:val="14"/>
                <w:szCs w:val="14"/>
              </w:rPr>
              <w:t xml:space="preserve">AREA &amp; RECOMMENDED ACTION</w:t>
            </w:r>
          </w:p>
        </w:tc>
        <w:tc>
          <w:tcPr>
            <w:tcW w:type="dxa" w:w="9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pacing w:val="20"/>
                <w:sz w:val="14"/>
                <w:szCs w:val="14"/>
              </w:rPr>
              <w:t xml:space="preserve">FRAMEWORK</w:t>
            </w:r>
          </w:p>
        </w:tc>
        <w:tc>
          <w:tcPr>
            <w:tcW w:type="dxa" w:w="9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pacing w:val="20"/>
                <w:sz w:val="14"/>
                <w:szCs w:val="14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pacing w:val="20"/>
                <w:sz w:val="14"/>
                <w:szCs w:val="14"/>
              </w:rPr>
              <w:t xml:space="preserve">TARGET DATE</w:t>
            </w:r>
          </w:p>
        </w:tc>
        <w:tc>
          <w:tcPr>
            <w:tcW w:type="dxa" w:w="9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pacing w:val="20"/>
                <w:sz w:val="14"/>
                <w:szCs w:val="1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6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8E1B12"/>
                <w:sz w:val="18"/>
                <w:szCs w:val="18"/>
              </w:rPr>
              <w:t xml:space="preserve">1</w:t>
            </w:r>
          </w:p>
        </w:tc>
        <w:tc>
          <w:tcPr>
            <w:tcW w:type="dxa" w:w="54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RED</w:t>
            </w:r>
          </w:p>
        </w:tc>
        <w:tc>
          <w:tcPr>
            <w:tcW w:type="dxa" w:w="45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Decision authority</w:t>
            </w:r>
          </w:p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Whether it is documented who has authority to take systems offline, engage external help, contact the press and notify the regulator — including named deputies.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Action: Add deputies for every authority. NCSC specifically warns that ideally you should include at least 2 people for every key role.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NCSC · LAcover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8E1B12"/>
                <w:sz w:val="18"/>
                <w:szCs w:val="18"/>
              </w:rPr>
              <w:t xml:space="preserve">2</w:t>
            </w:r>
          </w:p>
        </w:tc>
        <w:tc>
          <w:tcPr>
            <w:tcW w:type="dxa" w:w="54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RED</w:t>
            </w:r>
          </w:p>
        </w:tc>
        <w:tc>
          <w:tcPr>
            <w:tcW w:type="dxa" w:w="45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Reporting routes</w:t>
            </w:r>
          </w:p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Whether the school knows how and when to report incidents to NCSC, Report Fraud, the ICO (within 72 hours if personal data is involved), and your local authority / insurer.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Action: Add the four reporting routes (NCSC, Report Fraud, ICO, your LA / insurer) to the External Contacts section of your plan. Add your regional ROCU Cyber PROTECT team (TARIAN or NWROCU) for pre-incident advice.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WelshGov · LAcover · Estyn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8E1B12"/>
                <w:sz w:val="18"/>
                <w:szCs w:val="18"/>
              </w:rPr>
              <w:t xml:space="preserve">3</w:t>
            </w:r>
          </w:p>
        </w:tc>
        <w:tc>
          <w:tcPr>
            <w:tcW w:type="dxa" w:w="54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RED</w:t>
            </w:r>
          </w:p>
        </w:tc>
        <w:tc>
          <w:tcPr>
            <w:tcW w:type="dxa" w:w="45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DPIA + security risk linkage</w:t>
            </w:r>
          </w:p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Whether the school links Data Protection Impact Assessments to security risk assessments when introducing new systems or suppliers.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Action: Update the DPIA template so it explicitly references the security risk assessment — they cover overlapping ground (data flows, retention, supplier security posture) and should be done together.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ICO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2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7A3A07"/>
                <w:sz w:val="18"/>
                <w:szCs w:val="18"/>
              </w:rPr>
              <w:t xml:space="preserve">4</w:t>
            </w:r>
          </w:p>
        </w:tc>
        <w:tc>
          <w:tcPr>
            <w:tcW w:type="dxa" w:w="54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AMBER</w:t>
            </w:r>
          </w:p>
        </w:tc>
        <w:tc>
          <w:tcPr>
            <w:tcW w:type="dxa" w:w="45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Up-to-date contact list</w:t>
            </w:r>
          </w:p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Whether the school has named contacts for incident response, with multiple ways to reach each person if email is down.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Action: Print a copy and store it off-network. A list locked inside an encrypted file share during a ransomware attack is no use.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NCSC · LAcover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7A3A07"/>
                <w:sz w:val="18"/>
                <w:szCs w:val="18"/>
              </w:rPr>
              <w:t xml:space="preserve">5</w:t>
            </w:r>
          </w:p>
        </w:tc>
        <w:tc>
          <w:tcPr>
            <w:tcW w:type="dxa" w:w="54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AMBER</w:t>
            </w:r>
          </w:p>
        </w:tc>
        <w:tc>
          <w:tcPr>
            <w:tcW w:type="dxa" w:w="45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Severity grading</w:t>
            </w:r>
          </w:p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Whether the school has agreed in advance how it will judge how serious an incident is — so the right people get involved at the right time.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Action: Test your criteria against a recent incident or near-miss. If you can't classify it confidently, the criteria need refining.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NCSC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7A3A07"/>
                <w:sz w:val="18"/>
                <w:szCs w:val="18"/>
              </w:rPr>
              <w:t xml:space="preserve">6</w:t>
            </w:r>
          </w:p>
        </w:tc>
        <w:tc>
          <w:tcPr>
            <w:tcW w:type="dxa" w:w="54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AMBER</w:t>
            </w:r>
          </w:p>
        </w:tc>
        <w:tc>
          <w:tcPr>
            <w:tcW w:type="dxa" w:w="45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Ransomware &amp; data breach playbooks</w:t>
            </w:r>
          </w:p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Whether the school has step-by-step playbooks for the most likely incident types, particularly ransomware and personal data breaches.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Action: Test each playbook annually with the relevant team. NCSC recommends starting with the top 3-5 most likely incident types.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NCSC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7A3A07"/>
                <w:sz w:val="18"/>
                <w:szCs w:val="18"/>
              </w:rPr>
              <w:t xml:space="preserve">7</w:t>
            </w:r>
          </w:p>
        </w:tc>
        <w:tc>
          <w:tcPr>
            <w:tcW w:type="dxa" w:w="54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AMBER</w:t>
            </w:r>
          </w:p>
        </w:tc>
        <w:tc>
          <w:tcPr>
            <w:tcW w:type="dxa" w:w="45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Communication templates</w:t>
            </w:r>
          </w:p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Whether the school has pre-prepared, SLT-approved letters and statements for parents, staff, the ICO and governors — ready to adapt during an incident.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Action: Print copies for the offline incident folder.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LAcover · NCSC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7A3A07"/>
                <w:sz w:val="18"/>
                <w:szCs w:val="18"/>
              </w:rPr>
              <w:t xml:space="preserve">8</w:t>
            </w:r>
          </w:p>
        </w:tc>
        <w:tc>
          <w:tcPr>
            <w:tcW w:type="dxa" w:w="54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AMBER</w:t>
            </w:r>
          </w:p>
        </w:tc>
        <w:tc>
          <w:tcPr>
            <w:tcW w:type="dxa" w:w="45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Post-incident learning</w:t>
            </w:r>
          </w:p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Whether the school captures lessons learned after every incident and feeds them back into the plan so the same thing doesn't happen twice.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Action: Schedule a formal plan review at least annually, plus after any incident. Lessons learned that don't change the plan are wasted lessons.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NCSC · LAcover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7A3A07"/>
                <w:sz w:val="18"/>
                <w:szCs w:val="18"/>
              </w:rPr>
              <w:t xml:space="preserve">9</w:t>
            </w:r>
          </w:p>
        </w:tc>
        <w:tc>
          <w:tcPr>
            <w:tcW w:type="dxa" w:w="54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AMBER</w:t>
            </w:r>
          </w:p>
        </w:tc>
        <w:tc>
          <w:tcPr>
            <w:tcW w:type="dxa" w:w="45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Remote-working incident coverage</w:t>
            </w:r>
          </w:p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Whether the school's incident procedures explicitly cover staff working from home or on personal devices accessing cloud services.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Action: Test the remote-working scenario in your next tabletop exercise — most plans assume everyone is on-site.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ICO · NCSC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7A3A07"/>
                <w:sz w:val="18"/>
                <w:szCs w:val="18"/>
              </w:rPr>
              <w:t xml:space="preserve">10</w:t>
            </w:r>
          </w:p>
        </w:tc>
        <w:tc>
          <w:tcPr>
            <w:tcW w:type="dxa" w:w="54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AMBER</w:t>
            </w:r>
          </w:p>
        </w:tc>
        <w:tc>
          <w:tcPr>
            <w:tcW w:type="dxa" w:w="45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Cyber on risk register</w:t>
            </w:r>
          </w:p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Whether cyber security risks are recorded on the school's risk register as discrete entries with owners and review dates.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Action: Cross-reference your asset register (Plan section 9) and risk register: each high-impact system should have at least one risk entry that names it.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ICO · Estyn</w:t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DF7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color="0B2545" w:sz="12" w:space="6"/>
        </w:pBdr>
      </w:pPr>
      <w:r>
        <w:t xml:space="preserve">Suggested timescales</w:t>
      </w:r>
    </w:p>
    <w:p>
      <w:pPr>
        <w:spacing w:after="160" w:before="0"/>
      </w:pPr>
      <w:r>
        <w:rPr>
          <w:rFonts w:ascii="IBM Plex Sans" w:cs="IBM Plex Sans" w:eastAsia="IBM Plex Sans" w:hAnsi="IBM Plex Sans"/>
          <w:i/>
          <w:iCs/>
          <w:color w:val="5B6A82"/>
          <w:sz w:val="18"/>
          <w:szCs w:val="18"/>
        </w:rPr>
        <w:t xml:space="preserve">LA cyber cover / NCSC guidance.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Red items — within one term (12 weeks). LA cyber cover expectations and NCSC fundamentals.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Amber items — within the academic year. Maturity improvements that strengthen the response capability.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All actions — re-run the readiness check after each closure to confirm the gap is closed, not just paper-resolved.</w:t>
      </w:r>
    </w:p>
    <w:sectPr>
      <w:headerReference w:type="first" r:id="rId7"/>
      <w:footerReference w:type="default" r:id="rId8"/>
      <w:pgSz w:w="11906" w:h="16838" w:orient="portrait"/>
      <w:pgMar w:top="1008" w:right="863" w:bottom="1008" w:left="863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E3E8EF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rPr>
        <w:cantSplit/>
      </w:trPr>
      <w:tc>
        <w:tcPr>
          <w:tcW w:type="pct" w:w="7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 w:before="0"/>
            <w:jc w:val="left"/>
          </w:pPr>
          <w:r>
            <w:rPr>
              <w:rFonts w:ascii="IBM Plex Sans" w:cs="IBM Plex Sans" w:eastAsia="IBM Plex Sans" w:hAnsi="IBM Plex Sans"/>
              <w:color w:val="5B6A82"/>
              <w:sz w:val="14"/>
              <w:szCs w:val="14"/>
            </w:rPr>
            <w:t xml:space="preserve">Anytown High &amp; Sixth Form</w:t>
          </w:r>
        </w:p>
      </w:tc>
      <w:tc>
        <w:tcPr>
          <w:tcW w:type="pct" w:w="3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IBM Plex Sans" w:cs="IBM Plex Sans" w:eastAsia="IBM Plex Sans" w:hAnsi="IBM Plex Sans"/>
              <w:color w:val="5B6A82"/>
              <w:sz w:val="14"/>
              <w:szCs w:val="14"/>
            </w:rPr>
            <w:t xml:space="preserve">Page </w:t>
          </w:r>
          <w:r>
            <w:rPr>
              <w:b/>
              <w:bCs/>
              <w:color w:val="13315C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IBM Plex Sans" w:cs="IBM Plex Sans" w:eastAsia="IBM Plex Sans" w:hAnsi="IBM Plex Sans"/>
              <w:color w:val="5B6A82"/>
              <w:sz w:val="14"/>
              <w:szCs w:val="14"/>
            </w:rPr>
            <w:t xml:space="preserve"> of </w:t>
          </w:r>
          <w:r>
            <w:rPr>
              <w:b/>
              <w:bCs/>
              <w:color w:val="13315C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left"/>
    </w:pPr>
    <w:r>
      <w:drawing>
        <wp:inline distT="0" distB="0" distL="0" distR="0">
          <wp:extent cx="304800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F2937"/>
        <w:sz w:val="22"/>
        <w:szCs w:val="22"/>
      </w:rPr>
    </w:rPrDefault>
    <w:pPrDefault>
      <w:pPr>
        <w:spacing w:after="100" w:before="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rFonts w:ascii="Fraunces" w:cs="Fraunces" w:eastAsia="Fraunces" w:hAnsi="Fraunces"/>
      <w:b/>
      <w:bCs/>
      <w:color w:val="0B25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Fraunces" w:cs="Fraunces" w:eastAsia="Fraunces" w:hAnsi="Fraunces"/>
      <w:b/>
      <w:bCs/>
      <w:color w:val="0B254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</w:pPr>
    <w:rPr>
      <w:rFonts w:ascii="Fraunces" w:cs="Fraunces" w:eastAsia="Fraunces" w:hAnsi="Fraunces"/>
      <w:b/>
      <w:bCs/>
      <w:color w:val="13315C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40" w:before="140"/>
    </w:pPr>
    <w:rPr>
      <w:rFonts w:ascii="IBM Plex Sans" w:cs="IBM Plex Sans" w:eastAsia="IBM Plex Sans" w:hAnsi="IBM Plex Sans"/>
      <w:b/>
      <w:bCs/>
      <w:color w:val="13315C"/>
      <w:sz w:val="18"/>
      <w:szCs w:val="1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986af3c26609b8b7d8933f99c51c1a89e9ea6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974062191af1c7aeae9cccd23516d8d751db27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Prioritised Action Plan</dc:title>
  <dc:creator>Cyber Incident Response Planner</dc:creator>
  <dc:description>Prioritised Action Plan</dc:description>
  <cp:lastModifiedBy>Un-named</cp:lastModifiedBy>
  <cp:revision>1</cp:revision>
  <dcterms:created xsi:type="dcterms:W3CDTF">2026-05-19T07:55:15.474Z</dcterms:created>
  <dcterms:modified xsi:type="dcterms:W3CDTF">2026-05-19T07:55:15.474Z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