
<file path=[Content_Types].xml><?xml version="1.0" encoding="utf-8"?>
<Types xmlns="http://schemas.openxmlformats.org/package/2006/content-types">
  <Default Extension="bmp" ContentType="image/bmp"/>
  <Default Extension="gif" ContentType="image/gif"/>
  <Default Extension="jpeg" ContentType="image/jpeg"/>
  <Default Extension="jpg" ContentType="image/jpeg"/>
  <Default Extension="odttf" ContentType="application/vnd.openxmlformats-officedocument.obfuscatedFont"/>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word/numbering.xml" ContentType="application/vnd.openxmlformats-officedocument.wordprocessingml.numbering+xml"/>
  <Override PartName="/word/header1.xml" ContentType="application/vnd.openxmlformats-officedocument.wordprocessingml.header+xml"/>
  <Override PartName="/word/footer1.xml" ContentType="application/vnd.openxmlformats-officedocument.wordprocessingml.footer+xml"/>
  <Override PartName="/docProps/custom.xml" ContentType="application/vnd.openxmlformats-officedocument.custom-properties+xml"/>
  <Override PartName="/docProps/app.xml" ContentType="application/vnd.openxmlformats-officedocument.extended-properties+xml"/>
  <Override PartName="/word/footnotes.xml" ContentType="application/vnd.openxmlformats-officedocument.wordprocessingml.footnotes+xml"/>
  <Override PartName="/word/endnotes.xml" ContentType="application/vnd.openxmlformats-officedocument.wordprocessingml.endnotes+xml"/>
  <Override PartName="/word/settings.xml" ContentType="application/vnd.openxmlformats-officedocument.wordprocessingml.settings+xml"/>
  <Override PartName="/word/comments.xml" ContentType="application/vnd.openxmlformats-officedocument.wordprocessingml.comments+xml"/>
  <Override PartName="/word/fontTable.xml" ContentType="application/vnd.openxmlformats-officedocument.wordprocessingml.fontTable+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720" w:before="1200"/>
        <w:jc w:val="center"/>
      </w:pPr>
      <w:r>
        <w:drawing>
          <wp:inline distT="0" distB="0" distL="0" distR="0">
            <wp:extent cx="9525" cy="95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9525" cy="9525"/>
                    </a:xfrm>
                    <a:prstGeom prst="rect">
                      <a:avLst/>
                    </a:prstGeom>
                  </pic:spPr>
                </pic:pic>
              </a:graphicData>
            </a:graphic>
          </wp:inline>
        </w:drawing>
      </w:r>
    </w:p>
    <w:p>
      <w:pPr>
        <w:spacing w:after="240" w:before="0"/>
        <w:jc w:val="center"/>
      </w:pPr>
      <w:r>
        <w:rPr>
          <w:rFonts w:ascii="Fraunces" w:cs="Fraunces" w:eastAsia="Fraunces" w:hAnsi="Fraunces"/>
          <w:b/>
          <w:bCs/>
          <w:color w:val="0B2545"/>
          <w:sz w:val="64"/>
          <w:szCs w:val="64"/>
        </w:rPr>
        <w:t xml:space="preserve">Cyber Incident Response Plan</w:t>
      </w:r>
    </w:p>
    <w:p>
      <w:pPr>
        <w:spacing w:after="200" w:before="0"/>
        <w:jc w:val="center"/>
      </w:pPr>
      <w:r>
        <w:rPr>
          <w:rFonts w:ascii="IBM Plex Sans" w:cs="IBM Plex Sans" w:eastAsia="IBM Plex Sans" w:hAnsi="IBM Plex Sans"/>
          <w:color w:val="13315C"/>
          <w:sz w:val="28"/>
          <w:szCs w:val="28"/>
        </w:rPr>
        <w:t xml:space="preserve">Anytown High &amp; Sixth Form · Anytown Multi-Academy Trust</w:t>
      </w:r>
    </w:p>
    <w:p>
      <w:pPr>
        <w:spacing w:after="720" w:before="0"/>
        <w:jc w:val="center"/>
      </w:pPr>
      <w:r>
        <w:rPr>
          <w:rFonts w:ascii="IBM Plex Sans" w:cs="IBM Plex Sans" w:eastAsia="IBM Plex Sans" w:hAnsi="IBM Plex Sans"/>
          <w:color w:val="5B6A82"/>
          <w:sz w:val="18"/>
          <w:szCs w:val="18"/>
        </w:rPr>
        <w:t xml:space="preserve">Prepared for Governors &amp; Senior Leadership</w:t>
      </w:r>
    </w:p>
    <w:p>
      <w:pPr>
        <w:spacing w:after="0" w:before="0"/>
        <w:jc w:val="center"/>
      </w:pPr>
      <w:r>
        <w:rPr>
          <w:rFonts w:ascii="IBM Plex Sans" w:cs="IBM Plex Sans" w:eastAsia="IBM Plex Sans" w:hAnsi="IBM Plex Sans"/>
          <w:color w:val="5B6A82"/>
          <w:spacing w:val="40"/>
          <w:sz w:val="18"/>
          <w:szCs w:val="18"/>
        </w:rPr>
        <w:t xml:space="preserve">Version 2.1   •   Approved 15 May 2026   •   Next review 15 May 2027</w:t>
      </w:r>
    </w:p>
    <w:p>
      <w:pPr>
        <w:pBdr>
          <w:bottom w:val="single" w:color="E3E8EF" w:sz="4" w:space="1"/>
        </w:pBdr>
        <w:spacing w:after="200" w:before="8400"/>
        <w:ind w:left="3600" w:right="3600"/>
        <w:jc w:val="center"/>
      </w:pPr>
    </w:p>
    <w:p>
      <w:pPr>
        <w:spacing w:after="0" w:before="0"/>
        <w:jc w:val="center"/>
      </w:pPr>
      <w:r>
        <w:rPr>
          <w:rFonts w:ascii="IBM Plex Sans" w:cs="IBM Plex Sans" w:eastAsia="IBM Plex Sans" w:hAnsi="IBM Plex Sans"/>
          <w:i/>
          <w:iCs/>
          <w:color w:val="5B6A82"/>
          <w:sz w:val="14"/>
          <w:szCs w:val="14"/>
        </w:rPr>
        <w:t xml:space="preserve">Prepared by Anytown High &amp; Sixth Form</w:t>
      </w:r>
    </w:p>
    <w:p>
      <w:pPr>
        <w:pageBreakBefore/>
      </w:pPr>
    </w:p>
    <w:p>
      <w:pPr>
        <w:pStyle w:val="Heading2"/>
        <w:pBdr>
          <w:bottom w:val="single" w:color="0B2545" w:sz="12" w:space="6"/>
        </w:pBdr>
      </w:pPr>
      <w:r>
        <w:t xml:space="preserve">Executive summary</w:t>
      </w:r>
    </w:p>
    <w:p>
      <w:pPr>
        <w:spacing w:after="160" w:before="0"/>
      </w:pPr>
      <w:r>
        <w:rPr>
          <w:rFonts w:ascii="IBM Plex Sans" w:cs="IBM Plex Sans" w:eastAsia="IBM Plex Sans" w:hAnsi="IBM Plex Sans"/>
          <w:i/>
          <w:iCs/>
          <w:color w:val="5B6A82"/>
          <w:sz w:val="18"/>
          <w:szCs w:val="18"/>
        </w:rPr>
        <w:t xml:space="preserve">Headline plan status for governors and SLT.</w:t>
      </w:r>
    </w:p>
    <w:tbl>
      <w:tblPr>
        <w:tblW w:type="pct" w:w="100%"/>
        <w:tblBorders>
          <w:top w:val="single" w:color="E3E8EF" w:sz="4"/>
          <w:left w:val="single" w:color="E3E8EF" w:sz="4"/>
          <w:bottom w:val="single" w:color="E3E8EF" w:sz="4"/>
          <w:right w:val="single" w:color="E3E8EF" w:sz="4"/>
          <w:insideH w:val="single" w:color="E3E8EF" w:sz="4"/>
          <w:insideV w:val="single" w:color="E3E8EF" w:sz="4"/>
        </w:tblBorders>
      </w:tblPr>
      <w:tblGrid>
        <w:gridCol w:w="100"/>
        <w:gridCol w:w="100"/>
        <w:gridCol w:w="100"/>
        <w:gridCol w:w="100"/>
      </w:tblGrid>
      <w:tr>
        <w:trPr>
          <w:cantSplit/>
        </w:trPr>
        <w:tc>
          <w:tcPr>
            <w:tcW w:type="pct" w:w="25%"/>
            <w:tcBorders>
              <w:top w:val="single" w:color="E3E8EF" w:sz="4"/>
              <w:left w:val="single" w:color="E3E8EF" w:sz="4"/>
              <w:bottom w:val="single" w:color="E3E8EF" w:sz="4"/>
              <w:right w:val="single" w:color="E3E8EF" w:sz="4"/>
            </w:tcBorders>
            <w:shd w:fill="F7F9FC" w:color="auto" w:val="clear"/>
            <w:tcMar>
              <w:top w:type="dxa" w:w="160"/>
              <w:left w:type="dxa" w:w="100"/>
              <w:bottom w:type="dxa" w:w="160"/>
              <w:right w:type="dxa" w:w="100"/>
            </w:tcMar>
          </w:tcPr>
          <w:p>
            <w:pPr>
              <w:spacing w:after="60" w:before="60"/>
              <w:jc w:val="center"/>
            </w:pPr>
            <w:r>
              <w:rPr>
                <w:rFonts w:ascii="IBM Plex Sans" w:cs="IBM Plex Sans" w:eastAsia="IBM Plex Sans" w:hAnsi="IBM Plex Sans"/>
                <w:b/>
                <w:bCs/>
                <w:color w:val="5B6A82"/>
                <w:spacing w:val="80"/>
                <w:sz w:val="14"/>
                <w:szCs w:val="14"/>
              </w:rPr>
              <w:t xml:space="preserve">COMPLETION</w:t>
            </w:r>
          </w:p>
          <w:p>
            <w:pPr>
              <w:spacing w:after="40" w:before="0"/>
              <w:jc w:val="center"/>
            </w:pPr>
            <w:r>
              <w:rPr>
                <w:rFonts w:ascii="Fraunces" w:cs="Fraunces" w:eastAsia="Fraunces" w:hAnsi="Fraunces"/>
                <w:b/>
                <w:bCs/>
                <w:color w:val="7A3A07"/>
                <w:sz w:val="56"/>
                <w:szCs w:val="56"/>
              </w:rPr>
              <w:t xml:space="preserve">60%</w:t>
            </w:r>
          </w:p>
          <w:p>
            <w:pPr>
              <w:spacing w:after="60" w:before="0"/>
              <w:jc w:val="center"/>
            </w:pPr>
            <w:r>
              <w:rPr>
                <w:rFonts w:ascii="IBM Plex Sans" w:cs="IBM Plex Sans" w:eastAsia="IBM Plex Sans" w:hAnsi="IBM Plex Sans"/>
                <w:color w:val="5B6A82"/>
                <w:sz w:val="18"/>
                <w:szCs w:val="18"/>
              </w:rPr>
              <w:t xml:space="preserve">63 of 105 fields</w:t>
            </w:r>
          </w:p>
        </w:tc>
        <w:tc>
          <w:tcPr>
            <w:tcW w:type="pct" w:w="25%"/>
            <w:tcBorders>
              <w:top w:val="single" w:color="E3E8EF" w:sz="4"/>
              <w:left w:val="single" w:color="E3E8EF" w:sz="4"/>
              <w:bottom w:val="single" w:color="E3E8EF" w:sz="4"/>
              <w:right w:val="single" w:color="E3E8EF" w:sz="4"/>
            </w:tcBorders>
            <w:shd w:fill="F7F9FC" w:color="auto" w:val="clear"/>
            <w:tcMar>
              <w:top w:type="dxa" w:w="160"/>
              <w:left w:type="dxa" w:w="100"/>
              <w:bottom w:type="dxa" w:w="160"/>
              <w:right w:type="dxa" w:w="100"/>
            </w:tcMar>
          </w:tcPr>
          <w:p>
            <w:pPr>
              <w:spacing w:after="60" w:before="60"/>
              <w:jc w:val="center"/>
            </w:pPr>
            <w:r>
              <w:rPr>
                <w:rFonts w:ascii="IBM Plex Sans" w:cs="IBM Plex Sans" w:eastAsia="IBM Plex Sans" w:hAnsi="IBM Plex Sans"/>
                <w:b/>
                <w:bCs/>
                <w:color w:val="5B6A82"/>
                <w:spacing w:val="80"/>
                <w:sz w:val="14"/>
                <w:szCs w:val="14"/>
              </w:rPr>
              <w:t xml:space="preserve">PLAYBOOKS ENABLED</w:t>
            </w:r>
          </w:p>
          <w:p>
            <w:pPr>
              <w:spacing w:after="40" w:before="0"/>
              <w:jc w:val="center"/>
            </w:pPr>
            <w:r>
              <w:rPr>
                <w:rFonts w:ascii="Fraunces" w:cs="Fraunces" w:eastAsia="Fraunces" w:hAnsi="Fraunces"/>
                <w:b/>
                <w:bCs/>
                <w:color w:val="0B2545"/>
                <w:sz w:val="56"/>
                <w:szCs w:val="56"/>
              </w:rPr>
              <w:t xml:space="preserve">6</w:t>
            </w:r>
          </w:p>
          <w:p>
            <w:pPr>
              <w:spacing w:after="60" w:before="0"/>
              <w:jc w:val="center"/>
            </w:pPr>
            <w:r>
              <w:rPr>
                <w:rFonts w:ascii="IBM Plex Sans" w:cs="IBM Plex Sans" w:eastAsia="IBM Plex Sans" w:hAnsi="IBM Plex Sans"/>
                <w:color w:val="5B6A82"/>
                <w:sz w:val="18"/>
                <w:szCs w:val="18"/>
              </w:rPr>
              <w:t xml:space="preserve">of 9 available</w:t>
            </w:r>
          </w:p>
        </w:tc>
        <w:tc>
          <w:tcPr>
            <w:tcW w:type="pct" w:w="25%"/>
            <w:tcBorders>
              <w:top w:val="single" w:color="E3E8EF" w:sz="4"/>
              <w:left w:val="single" w:color="E3E8EF" w:sz="4"/>
              <w:bottom w:val="single" w:color="E3E8EF" w:sz="4"/>
              <w:right w:val="single" w:color="E3E8EF" w:sz="4"/>
            </w:tcBorders>
            <w:shd w:fill="F7F9FC" w:color="auto" w:val="clear"/>
            <w:tcMar>
              <w:top w:type="dxa" w:w="160"/>
              <w:left w:type="dxa" w:w="100"/>
              <w:bottom w:type="dxa" w:w="160"/>
              <w:right w:type="dxa" w:w="100"/>
            </w:tcMar>
          </w:tcPr>
          <w:p>
            <w:pPr>
              <w:spacing w:after="60" w:before="60"/>
              <w:jc w:val="center"/>
            </w:pPr>
            <w:r>
              <w:rPr>
                <w:rFonts w:ascii="IBM Plex Sans" w:cs="IBM Plex Sans" w:eastAsia="IBM Plex Sans" w:hAnsi="IBM Plex Sans"/>
                <w:b/>
                <w:bCs/>
                <w:color w:val="5B6A82"/>
                <w:spacing w:val="80"/>
                <w:sz w:val="14"/>
                <w:szCs w:val="14"/>
              </w:rPr>
              <w:t xml:space="preserve">CE STATUS</w:t>
            </w:r>
          </w:p>
          <w:p>
            <w:pPr>
              <w:spacing w:after="40" w:before="0"/>
              <w:jc w:val="center"/>
            </w:pPr>
            <w:r>
              <w:rPr>
                <w:rFonts w:ascii="Fraunces" w:cs="Fraunces" w:eastAsia="Fraunces" w:hAnsi="Fraunces"/>
                <w:b/>
                <w:bCs/>
                <w:color w:val="0A4B22"/>
                <w:sz w:val="56"/>
                <w:szCs w:val="56"/>
              </w:rPr>
              <w:t xml:space="preserve">CE Plus</w:t>
            </w:r>
          </w:p>
        </w:tc>
        <w:tc>
          <w:tcPr>
            <w:tcW w:type="pct" w:w="25%"/>
            <w:tcBorders>
              <w:top w:val="single" w:color="E3E8EF" w:sz="4"/>
              <w:left w:val="single" w:color="E3E8EF" w:sz="4"/>
              <w:bottom w:val="single" w:color="E3E8EF" w:sz="4"/>
              <w:right w:val="single" w:color="E3E8EF" w:sz="4"/>
            </w:tcBorders>
            <w:shd w:fill="F7F9FC" w:color="auto" w:val="clear"/>
            <w:tcMar>
              <w:top w:type="dxa" w:w="160"/>
              <w:left w:type="dxa" w:w="100"/>
              <w:bottom w:type="dxa" w:w="160"/>
              <w:right w:type="dxa" w:w="100"/>
            </w:tcMar>
          </w:tcPr>
          <w:p>
            <w:pPr>
              <w:spacing w:after="60" w:before="60"/>
              <w:jc w:val="center"/>
            </w:pPr>
            <w:r>
              <w:rPr>
                <w:rFonts w:ascii="IBM Plex Sans" w:cs="IBM Plex Sans" w:eastAsia="IBM Plex Sans" w:hAnsi="IBM Plex Sans"/>
                <w:b/>
                <w:bCs/>
                <w:color w:val="5B6A82"/>
                <w:spacing w:val="80"/>
                <w:sz w:val="14"/>
                <w:szCs w:val="14"/>
              </w:rPr>
              <w:t xml:space="preserve">NEXT REVIEW</w:t>
            </w:r>
          </w:p>
          <w:p>
            <w:pPr>
              <w:spacing w:after="40" w:before="0"/>
              <w:jc w:val="center"/>
            </w:pPr>
            <w:r>
              <w:rPr>
                <w:rFonts w:ascii="Fraunces" w:cs="Fraunces" w:eastAsia="Fraunces" w:hAnsi="Fraunces"/>
                <w:b/>
                <w:bCs/>
                <w:color w:val="0B2545"/>
                <w:sz w:val="56"/>
                <w:szCs w:val="56"/>
              </w:rPr>
              <w:t xml:space="preserve">2027-05-15</w:t>
            </w:r>
          </w:p>
        </w:tc>
      </w:tr>
    </w:tbl>
    <w:p>
      <w:pPr>
        <w:spacing w:after="80" w:before="80"/>
      </w:pPr>
      <w:r>
        <w:rPr>
          <w:rFonts w:ascii="IBM Plex Sans" w:cs="IBM Plex Sans" w:eastAsia="IBM Plex Sans" w:hAnsi="IBM Plex Sans"/>
          <w:b/>
          <w:bCs/>
          <w:color w:val="5B6A82"/>
          <w:spacing w:val="60"/>
          <w:sz w:val="18"/>
          <w:szCs w:val="18"/>
        </w:rPr>
        <w:t xml:space="preserve">Plan completion  </w:t>
      </w:r>
      <w:r>
        <w:rPr>
          <w:rFonts w:ascii="IBM Plex Sans" w:cs="IBM Plex Sans" w:eastAsia="IBM Plex Sans" w:hAnsi="IBM Plex Sans"/>
          <w:color w:val="7A3A07"/>
          <w:sz w:val="22"/>
          <w:szCs w:val="22"/>
        </w:rPr>
        <w:t xml:space="preserve">████████░░░░░░</w:t>
      </w:r>
      <w:r>
        <w:rPr>
          <w:rFonts w:ascii="IBM Plex Sans" w:cs="IBM Plex Sans" w:eastAsia="IBM Plex Sans" w:hAnsi="IBM Plex Sans"/>
          <w:b/>
          <w:bCs/>
          <w:color w:val="0B2545"/>
          <w:sz w:val="22"/>
          <w:szCs w:val="22"/>
        </w:rPr>
        <w:t xml:space="preserve">  60%</w:t>
      </w:r>
    </w:p>
    <w:p>
      <w:pPr>
        <w:pStyle w:val="Heading2"/>
        <w:pBdr>
          <w:bottom w:val="single" w:color="0B2545" w:sz="12" w:space="6"/>
        </w:pBdr>
      </w:pPr>
      <w:r>
        <w:t xml:space="preserve">1. Purpose &amp; scope</w:t>
      </w:r>
    </w:p>
    <w:p>
      <w:pPr>
        <w:spacing/>
      </w:pPr>
      <w:r>
        <w:rPr>
          <w:rFonts w:ascii="IBM Plex Sans" w:cs="IBM Plex Sans" w:eastAsia="IBM Plex Sans" w:hAnsi="IBM Plex Sans"/>
          <w:color w:val="1F2937"/>
          <w:sz w:val="22"/>
          <w:szCs w:val="22"/>
        </w:rPr>
        <w:t xml:space="preserve">This Cyber Incident Response Plan sets out how Anytown High &amp; Sixth Form responds to a suspected or confirmed cyber security incident. It is intended to be used by the Cyber Incident Response Team named below and by any staff who detect or are involved in responding to an incident.</w:t>
      </w:r>
    </w:p>
    <w:p>
      <w:pPr>
        <w:spacing/>
      </w:pPr>
      <w:r>
        <w:rPr>
          <w:rFonts w:ascii="IBM Plex Sans" w:cs="IBM Plex Sans" w:eastAsia="IBM Plex Sans" w:hAnsi="IBM Plex Sans"/>
          <w:color w:val="1F2937"/>
          <w:sz w:val="22"/>
          <w:szCs w:val="22"/>
        </w:rPr>
        <w:t xml:space="preserve">It maps to the NCSC Incident Management collection, the Welsh Government Cyber Resilient Wales strategy, the NCSC Cyber Assessment Framework (CAF) being piloted across Welsh local authorities, and the cyber incident expectations of most local authority cyber cover arrangements in Wales.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cantSplit/>
        </w:trPr>
        <w:tc>
          <w:tcPr>
            <w:tcW w:type="pct" w:w="1.5%"/>
            <w:tcBorders>
              <w:top w:val="none" w:color="FFFFFF" w:sz="0"/>
              <w:left w:val="none" w:color="FFFFFF" w:sz="0"/>
              <w:bottom w:val="none" w:color="FFFFFF" w:sz="0"/>
              <w:right w:val="none" w:color="FFFFFF" w:sz="0"/>
            </w:tcBorders>
            <w:shd w:fill="0B2545" w:color="auto" w:val="clear"/>
            <w:tcMar>
              <w:top w:type="dxa" w:w="0"/>
              <w:left w:type="dxa" w:w="0"/>
              <w:bottom w:type="dxa" w:w="0"/>
              <w:right w:type="dxa" w:w="0"/>
            </w:tcMar>
          </w:tcPr>
          <w:p>
            <w:pPr>
              <w:spacing w:after="0" w:before="0"/>
            </w:pPr>
          </w:p>
        </w:tc>
        <w:tc>
          <w:tcPr>
            <w:tcW w:type="pct" w:w="98.5%"/>
            <w:tcBorders>
              <w:top w:val="none" w:color="FFFFFF" w:sz="0"/>
              <w:left w:val="none" w:color="FFFFFF" w:sz="0"/>
              <w:bottom w:val="none" w:color="FFFFFF" w:sz="0"/>
              <w:right w:val="none" w:color="FFFFFF" w:sz="0"/>
            </w:tcBorders>
            <w:shd w:fill="EAF2FD" w:color="auto" w:val="clear"/>
            <w:tcMar>
              <w:top w:type="dxa" w:w="140"/>
              <w:left w:type="dxa" w:w="200"/>
              <w:bottom w:type="dxa" w:w="140"/>
              <w:right w:type="dxa" w:w="200"/>
            </w:tcMar>
          </w:tcPr>
          <w:p>
            <w:pPr>
              <w:spacing w:after="0" w:before="0"/>
            </w:pPr>
            <w:r>
              <w:rPr>
                <w:rFonts w:ascii="IBM Plex Sans" w:cs="IBM Plex Sans" w:eastAsia="IBM Plex Sans" w:hAnsi="IBM Plex Sans"/>
                <w:color w:val="0B2545"/>
                <w:sz w:val="22"/>
                <w:szCs w:val="22"/>
              </w:rPr>
              <w:t xml:space="preserve">This plan should be used in conjunction with: the school's Business Continuity and Disaster Recovery Plan, the Data Protection Policy, the Acceptable Use Policy, and any local authority- or insurer-specified incident notification process.</w:t>
            </w:r>
          </w:p>
        </w:tc>
      </w:tr>
    </w:tbl>
    <w:p>
      <w:pPr>
        <w:pStyle w:val="Heading2"/>
        <w:pBdr>
          <w:bottom w:val="single" w:color="0B2545" w:sz="12" w:space="6"/>
        </w:pBdr>
      </w:pPr>
      <w:r>
        <w:t xml:space="preserve">2. Cyber Incident Response Team (CIRT)</w:t>
      </w:r>
    </w:p>
    <w:tbl>
      <w:tblPr>
        <w:tblW w:type="pct" w:w="100%"/>
        <w:tblBorders>
          <w:top w:val="single" w:color="E3E8EF" w:sz="4"/>
          <w:left w:val="single" w:color="E3E8EF" w:sz="4"/>
          <w:bottom w:val="single" w:color="E3E8EF" w:sz="4"/>
          <w:right w:val="single" w:color="E3E8EF" w:sz="4"/>
          <w:insideH w:val="single" w:color="E3E8EF" w:sz="4"/>
          <w:insideV w:val="single" w:color="E3E8EF" w:sz="4"/>
        </w:tblBorders>
      </w:tblPr>
      <w:tblGrid>
        <w:gridCol w:w="100"/>
        <w:gridCol w:w="100"/>
        <w:gridCol w:w="100"/>
        <w:gridCol w:w="100"/>
        <w:gridCol w:w="100"/>
      </w:tblGrid>
      <w:tr>
        <w:trPr>
          <w:cantSplit/>
          <w:tblHeader/>
        </w:trPr>
        <w:tc>
          <w:tcPr>
            <w:tcW w:type="dxa" w:w="1800"/>
            <w:tcBorders>
              <w:top w:val="single" w:color="0B2545" w:sz="4"/>
              <w:left w:val="single" w:color="0B2545" w:sz="4"/>
              <w:bottom w:val="single" w:color="0B2545" w:sz="4"/>
              <w:right w:val="single" w:color="0B2545" w:sz="4"/>
            </w:tcBorders>
            <w:shd w:fill="0B2545" w:color="auto" w:val="clear"/>
            <w:tcMar>
              <w:top w:type="dxa" w:w="90"/>
              <w:left w:type="dxa" w:w="140"/>
              <w:bottom w:type="dxa" w:w="90"/>
              <w:right w:type="dxa" w:w="140"/>
            </w:tcMar>
          </w:tcPr>
          <w:p>
            <w:pPr>
              <w:spacing w:after="0" w:before="0"/>
            </w:pPr>
            <w:r>
              <w:rPr>
                <w:rFonts w:ascii="IBM Plex Sans" w:cs="IBM Plex Sans" w:eastAsia="IBM Plex Sans" w:hAnsi="IBM Plex Sans"/>
                <w:b/>
                <w:bCs/>
                <w:color w:val="FFFFFF"/>
                <w:spacing w:val="20"/>
                <w:sz w:val="14"/>
                <w:szCs w:val="14"/>
              </w:rPr>
              <w:t xml:space="preserve">ROLE</w:t>
            </w:r>
          </w:p>
        </w:tc>
        <w:tc>
          <w:tcPr>
            <w:tcW w:type="dxa" w:w="2250"/>
            <w:tcBorders>
              <w:top w:val="single" w:color="0B2545" w:sz="4"/>
              <w:left w:val="single" w:color="0B2545" w:sz="4"/>
              <w:bottom w:val="single" w:color="0B2545" w:sz="4"/>
              <w:right w:val="single" w:color="0B2545" w:sz="4"/>
            </w:tcBorders>
            <w:shd w:fill="0B2545" w:color="auto" w:val="clear"/>
            <w:tcMar>
              <w:top w:type="dxa" w:w="90"/>
              <w:left w:type="dxa" w:w="140"/>
              <w:bottom w:type="dxa" w:w="90"/>
              <w:right w:type="dxa" w:w="140"/>
            </w:tcMar>
          </w:tcPr>
          <w:p>
            <w:pPr>
              <w:spacing w:after="0" w:before="0"/>
            </w:pPr>
            <w:r>
              <w:rPr>
                <w:rFonts w:ascii="IBM Plex Sans" w:cs="IBM Plex Sans" w:eastAsia="IBM Plex Sans" w:hAnsi="IBM Plex Sans"/>
                <w:b/>
                <w:bCs/>
                <w:color w:val="FFFFFF"/>
                <w:spacing w:val="20"/>
                <w:sz w:val="14"/>
                <w:szCs w:val="14"/>
              </w:rPr>
              <w:t xml:space="preserve">NAME</w:t>
            </w:r>
          </w:p>
        </w:tc>
        <w:tc>
          <w:tcPr>
            <w:tcW w:type="dxa" w:w="1620"/>
            <w:tcBorders>
              <w:top w:val="single" w:color="0B2545" w:sz="4"/>
              <w:left w:val="single" w:color="0B2545" w:sz="4"/>
              <w:bottom w:val="single" w:color="0B2545" w:sz="4"/>
              <w:right w:val="single" w:color="0B2545" w:sz="4"/>
            </w:tcBorders>
            <w:shd w:fill="0B2545" w:color="auto" w:val="clear"/>
            <w:tcMar>
              <w:top w:type="dxa" w:w="90"/>
              <w:left w:type="dxa" w:w="140"/>
              <w:bottom w:type="dxa" w:w="90"/>
              <w:right w:type="dxa" w:w="140"/>
            </w:tcMar>
          </w:tcPr>
          <w:p>
            <w:pPr>
              <w:spacing w:after="0" w:before="0"/>
            </w:pPr>
            <w:r>
              <w:rPr>
                <w:rFonts w:ascii="IBM Plex Sans" w:cs="IBM Plex Sans" w:eastAsia="IBM Plex Sans" w:hAnsi="IBM Plex Sans"/>
                <w:b/>
                <w:bCs/>
                <w:color w:val="FFFFFF"/>
                <w:spacing w:val="20"/>
                <w:sz w:val="14"/>
                <w:szCs w:val="14"/>
              </w:rPr>
              <w:t xml:space="preserve">PHONE</w:t>
            </w:r>
          </w:p>
        </w:tc>
        <w:tc>
          <w:tcPr>
            <w:tcW w:type="dxa" w:w="1980"/>
            <w:tcBorders>
              <w:top w:val="single" w:color="0B2545" w:sz="4"/>
              <w:left w:val="single" w:color="0B2545" w:sz="4"/>
              <w:bottom w:val="single" w:color="0B2545" w:sz="4"/>
              <w:right w:val="single" w:color="0B2545" w:sz="4"/>
            </w:tcBorders>
            <w:shd w:fill="0B2545" w:color="auto" w:val="clear"/>
            <w:tcMar>
              <w:top w:type="dxa" w:w="90"/>
              <w:left w:type="dxa" w:w="140"/>
              <w:bottom w:type="dxa" w:w="90"/>
              <w:right w:type="dxa" w:w="140"/>
            </w:tcMar>
          </w:tcPr>
          <w:p>
            <w:pPr>
              <w:spacing w:after="0" w:before="0"/>
            </w:pPr>
            <w:r>
              <w:rPr>
                <w:rFonts w:ascii="IBM Plex Sans" w:cs="IBM Plex Sans" w:eastAsia="IBM Plex Sans" w:hAnsi="IBM Plex Sans"/>
                <w:b/>
                <w:bCs/>
                <w:color w:val="FFFFFF"/>
                <w:spacing w:val="20"/>
                <w:sz w:val="14"/>
                <w:szCs w:val="14"/>
              </w:rPr>
              <w:t xml:space="preserve">EMAIL</w:t>
            </w:r>
          </w:p>
        </w:tc>
        <w:tc>
          <w:tcPr>
            <w:tcW w:type="dxa" w:w="1350"/>
            <w:tcBorders>
              <w:top w:val="single" w:color="0B2545" w:sz="4"/>
              <w:left w:val="single" w:color="0B2545" w:sz="4"/>
              <w:bottom w:val="single" w:color="0B2545" w:sz="4"/>
              <w:right w:val="single" w:color="0B2545" w:sz="4"/>
            </w:tcBorders>
            <w:shd w:fill="0B2545" w:color="auto" w:val="clear"/>
            <w:tcMar>
              <w:top w:type="dxa" w:w="90"/>
              <w:left w:type="dxa" w:w="140"/>
              <w:bottom w:type="dxa" w:w="90"/>
              <w:right w:type="dxa" w:w="140"/>
            </w:tcMar>
          </w:tcPr>
          <w:p>
            <w:pPr>
              <w:spacing w:after="0" w:before="0"/>
            </w:pPr>
            <w:r>
              <w:rPr>
                <w:rFonts w:ascii="IBM Plex Sans" w:cs="IBM Plex Sans" w:eastAsia="IBM Plex Sans" w:hAnsi="IBM Plex Sans"/>
                <w:b/>
                <w:bCs/>
                <w:color w:val="FFFFFF"/>
                <w:spacing w:val="20"/>
                <w:sz w:val="14"/>
                <w:szCs w:val="14"/>
              </w:rPr>
              <w:t xml:space="preserve">ALTERNATIVE</w:t>
            </w:r>
          </w:p>
        </w:tc>
      </w:tr>
      <w:tr>
        <w:trPr>
          <w:cantSplit/>
        </w:trPr>
        <w:tc>
          <w:tcPr>
            <w:tcW w:type="dxa" w:w="1800"/>
            <w:tcBorders>
              <w:top w:val="single" w:color="EEF2F7" w:sz="4"/>
              <w:left w:val="single" w:color="EEF2F7" w:sz="4"/>
              <w:bottom w:val="single" w:color="EEF2F7" w:sz="4"/>
              <w:right w:val="single" w:color="EEF2F7" w:sz="4"/>
            </w:tcBorders>
            <w:shd w:fill="F0F4FA" w:color="auto" w:val="clear"/>
            <w:tcMar>
              <w:top w:type="dxa" w:w="100"/>
              <w:left w:type="dxa" w:w="140"/>
              <w:bottom w:type="dxa" w:w="100"/>
              <w:right w:type="dxa" w:w="140"/>
            </w:tcMar>
          </w:tcPr>
          <w:p>
            <w:pPr>
              <w:spacing w:after="20" w:before="0"/>
            </w:pPr>
            <w:r>
              <w:rPr>
                <w:rFonts w:ascii="IBM Plex Sans" w:cs="IBM Plex Sans" w:eastAsia="IBM Plex Sans" w:hAnsi="IBM Plex Sans"/>
                <w:b/>
                <w:bCs/>
                <w:color w:val="0B2545"/>
                <w:sz w:val="18"/>
                <w:szCs w:val="18"/>
              </w:rPr>
              <w:t xml:space="preserve">Incident Lead</w:t>
            </w:r>
          </w:p>
          <w:p>
            <w:pPr>
              <w:spacing w:after="0" w:before="0"/>
            </w:pPr>
            <w:r>
              <w:rPr>
                <w:rFonts w:ascii="IBM Plex Sans" w:cs="IBM Plex Sans" w:eastAsia="IBM Plex Sans" w:hAnsi="IBM Plex Sans"/>
                <w:b w:val="false"/>
                <w:bCs w:val="false"/>
                <w:color w:val="1F2937"/>
                <w:sz w:val="18"/>
                <w:szCs w:val="18"/>
              </w:rPr>
              <w:t xml:space="preserve">SLT Digital Lead</w:t>
            </w:r>
          </w:p>
        </w:tc>
        <w:tc>
          <w:tcPr>
            <w:tcW w:type="dxa" w:w="2250"/>
            <w:tcBorders>
              <w:top w:val="single" w:color="EEF2F7" w:sz="4"/>
              <w:left w:val="single" w:color="EEF2F7" w:sz="4"/>
              <w:bottom w:val="single" w:color="EEF2F7" w:sz="4"/>
              <w:right w:val="single" w:color="EEF2F7" w:sz="4"/>
            </w:tcBorders>
            <w:shd w:fill="F0F4FA" w:color="auto" w:val="clear"/>
            <w:tcMar>
              <w:top w:type="dxa" w:w="100"/>
              <w:left w:type="dxa" w:w="140"/>
              <w:bottom w:type="dxa" w:w="100"/>
              <w:right w:type="dxa" w:w="140"/>
            </w:tcMar>
          </w:tcPr>
          <w:p>
            <w:pPr>
              <w:spacing w:after="0" w:before="0"/>
            </w:pPr>
            <w:r>
              <w:rPr>
                <w:rFonts w:ascii="IBM Plex Sans" w:cs="IBM Plex Sans" w:eastAsia="IBM Plex Sans" w:hAnsi="IBM Plex Sans"/>
                <w:b w:val="false"/>
                <w:bCs w:val="false"/>
                <w:color w:val="1F2937"/>
                <w:sz w:val="18"/>
                <w:szCs w:val="18"/>
              </w:rPr>
              <w:t xml:space="preserve">Alice Lead</w:t>
            </w:r>
          </w:p>
        </w:tc>
        <w:tc>
          <w:tcPr>
            <w:tcW w:type="dxa" w:w="1620"/>
            <w:tcBorders>
              <w:top w:val="single" w:color="EEF2F7" w:sz="4"/>
              <w:left w:val="single" w:color="EEF2F7" w:sz="4"/>
              <w:bottom w:val="single" w:color="EEF2F7" w:sz="4"/>
              <w:right w:val="single" w:color="EEF2F7" w:sz="4"/>
            </w:tcBorders>
            <w:shd w:fill="F0F4FA" w:color="auto" w:val="clear"/>
            <w:tcMar>
              <w:top w:type="dxa" w:w="100"/>
              <w:left w:type="dxa" w:w="140"/>
              <w:bottom w:type="dxa" w:w="100"/>
              <w:right w:type="dxa" w:w="140"/>
            </w:tcMar>
          </w:tcPr>
          <w:p>
            <w:pPr>
              <w:spacing w:after="0" w:before="0"/>
            </w:pPr>
            <w:r>
              <w:rPr>
                <w:rFonts w:ascii="IBM Plex Sans" w:cs="IBM Plex Sans" w:eastAsia="IBM Plex Sans" w:hAnsi="IBM Plex Sans"/>
                <w:b w:val="false"/>
                <w:bCs w:val="false"/>
                <w:color w:val="1F2937"/>
                <w:sz w:val="18"/>
                <w:szCs w:val="18"/>
              </w:rPr>
              <w:t xml:space="preserve">01234 567890</w:t>
            </w:r>
          </w:p>
        </w:tc>
        <w:tc>
          <w:tcPr>
            <w:tcW w:type="dxa" w:w="1980"/>
            <w:tcBorders>
              <w:top w:val="single" w:color="EEF2F7" w:sz="4"/>
              <w:left w:val="single" w:color="EEF2F7" w:sz="4"/>
              <w:bottom w:val="single" w:color="EEF2F7" w:sz="4"/>
              <w:right w:val="single" w:color="EEF2F7" w:sz="4"/>
            </w:tcBorders>
            <w:shd w:fill="F0F4FA" w:color="auto" w:val="clear"/>
            <w:tcMar>
              <w:top w:type="dxa" w:w="100"/>
              <w:left w:type="dxa" w:w="140"/>
              <w:bottom w:type="dxa" w:w="100"/>
              <w:right w:type="dxa" w:w="140"/>
            </w:tcMar>
          </w:tcPr>
          <w:p>
            <w:pPr>
              <w:spacing w:after="0" w:before="0"/>
            </w:pPr>
            <w:r>
              <w:rPr>
                <w:rFonts w:ascii="IBM Plex Sans" w:cs="IBM Plex Sans" w:eastAsia="IBM Plex Sans" w:hAnsi="IBM Plex Sans"/>
                <w:b w:val="false"/>
                <w:bCs w:val="false"/>
                <w:color w:val="1F2937"/>
                <w:sz w:val="18"/>
                <w:szCs w:val="18"/>
              </w:rPr>
              <w:t xml:space="preserve">alice@example.school.uk</w:t>
            </w:r>
          </w:p>
        </w:tc>
        <w:tc>
          <w:tcPr>
            <w:tcW w:type="dxa" w:w="1350"/>
            <w:tcBorders>
              <w:top w:val="single" w:color="EEF2F7" w:sz="4"/>
              <w:left w:val="single" w:color="EEF2F7" w:sz="4"/>
              <w:bottom w:val="single" w:color="EEF2F7" w:sz="4"/>
              <w:right w:val="single" w:color="EEF2F7" w:sz="4"/>
            </w:tcBorders>
            <w:shd w:fill="F0F4FA" w:color="auto" w:val="clear"/>
            <w:tcMar>
              <w:top w:type="dxa" w:w="100"/>
              <w:left w:type="dxa" w:w="140"/>
              <w:bottom w:type="dxa" w:w="100"/>
              <w:right w:type="dxa" w:w="140"/>
            </w:tcMar>
          </w:tcPr>
          <w:p>
            <w:pPr>
              <w:spacing w:after="0" w:before="0"/>
            </w:pPr>
            <w:r>
              <w:rPr>
                <w:rFonts w:ascii="IBM Plex Sans" w:cs="IBM Plex Sans" w:eastAsia="IBM Plex Sans" w:hAnsi="IBM Plex Sans"/>
                <w:b w:val="false"/>
                <w:bCs w:val="false"/>
                <w:color w:val="1F2937"/>
                <w:sz w:val="18"/>
                <w:szCs w:val="18"/>
              </w:rPr>
              <w:t xml:space="preserve">alice.alt@example.school.uk</w:t>
            </w:r>
          </w:p>
        </w:tc>
      </w:tr>
      <w:tr>
        <w:trPr>
          <w:cantSplit/>
        </w:trPr>
        <w:tc>
          <w:tcPr>
            <w:tcW w:type="dxa" w:w="1800"/>
            <w:tcBorders>
              <w:top w:val="single" w:color="EEF2F7" w:sz="4"/>
              <w:left w:val="single" w:color="EEF2F7" w:sz="4"/>
              <w:bottom w:val="single" w:color="EEF2F7" w:sz="4"/>
              <w:right w:val="single" w:color="EEF2F7" w:sz="4"/>
            </w:tcBorders>
            <w:shd w:fill="F0F4FA" w:color="auto" w:val="clear"/>
            <w:tcMar>
              <w:top w:type="dxa" w:w="100"/>
              <w:left w:type="dxa" w:w="140"/>
              <w:bottom w:type="dxa" w:w="100"/>
              <w:right w:type="dxa" w:w="140"/>
            </w:tcMar>
          </w:tcPr>
          <w:p>
            <w:pPr>
              <w:spacing w:after="20" w:before="0"/>
            </w:pPr>
            <w:r>
              <w:rPr>
                <w:rFonts w:ascii="IBM Plex Sans" w:cs="IBM Plex Sans" w:eastAsia="IBM Plex Sans" w:hAnsi="IBM Plex Sans"/>
                <w:b/>
                <w:bCs/>
                <w:color w:val="0B2545"/>
                <w:sz w:val="18"/>
                <w:szCs w:val="18"/>
              </w:rPr>
              <w:t xml:space="preserve">Deputy Lead</w:t>
            </w:r>
          </w:p>
          <w:p>
            <w:pPr>
              <w:spacing w:after="0" w:before="0"/>
            </w:pPr>
            <w:r>
              <w:rPr>
                <w:rFonts w:ascii="IBM Plex Sans" w:cs="IBM Plex Sans" w:eastAsia="IBM Plex Sans" w:hAnsi="IBM Plex Sans"/>
                <w:b w:val="false"/>
                <w:bCs w:val="false"/>
                <w:color w:val="1F2937"/>
                <w:sz w:val="18"/>
                <w:szCs w:val="18"/>
              </w:rPr>
              <w:t xml:space="preserve">Deputy Head</w:t>
            </w:r>
          </w:p>
        </w:tc>
        <w:tc>
          <w:tcPr>
            <w:tcW w:type="dxa" w:w="2250"/>
            <w:tcBorders>
              <w:top w:val="single" w:color="EEF2F7" w:sz="4"/>
              <w:left w:val="single" w:color="EEF2F7" w:sz="4"/>
              <w:bottom w:val="single" w:color="EEF2F7" w:sz="4"/>
              <w:right w:val="single" w:color="EEF2F7" w:sz="4"/>
            </w:tcBorders>
            <w:shd w:fill="F0F4FA" w:color="auto" w:val="clear"/>
            <w:tcMar>
              <w:top w:type="dxa" w:w="100"/>
              <w:left w:type="dxa" w:w="140"/>
              <w:bottom w:type="dxa" w:w="100"/>
              <w:right w:type="dxa" w:w="140"/>
            </w:tcMar>
          </w:tcPr>
          <w:p>
            <w:pPr>
              <w:spacing w:after="0" w:before="0"/>
            </w:pPr>
            <w:r>
              <w:rPr>
                <w:rFonts w:ascii="IBM Plex Sans" w:cs="IBM Plex Sans" w:eastAsia="IBM Plex Sans" w:hAnsi="IBM Plex Sans"/>
                <w:b w:val="false"/>
                <w:bCs w:val="false"/>
                <w:color w:val="1F2937"/>
                <w:sz w:val="18"/>
                <w:szCs w:val="18"/>
              </w:rPr>
              <w:t xml:space="preserve">Bob Deputy</w:t>
            </w:r>
          </w:p>
        </w:tc>
        <w:tc>
          <w:tcPr>
            <w:tcW w:type="dxa" w:w="1620"/>
            <w:tcBorders>
              <w:top w:val="single" w:color="EEF2F7" w:sz="4"/>
              <w:left w:val="single" w:color="EEF2F7" w:sz="4"/>
              <w:bottom w:val="single" w:color="EEF2F7" w:sz="4"/>
              <w:right w:val="single" w:color="EEF2F7" w:sz="4"/>
            </w:tcBorders>
            <w:shd w:fill="F0F4FA" w:color="auto" w:val="clear"/>
            <w:tcMar>
              <w:top w:type="dxa" w:w="100"/>
              <w:left w:type="dxa" w:w="140"/>
              <w:bottom w:type="dxa" w:w="100"/>
              <w:right w:type="dxa" w:w="140"/>
            </w:tcMar>
          </w:tcPr>
          <w:p>
            <w:pPr>
              <w:spacing w:after="0" w:before="0"/>
            </w:pPr>
            <w:r>
              <w:rPr>
                <w:rFonts w:ascii="IBM Plex Sans" w:cs="IBM Plex Sans" w:eastAsia="IBM Plex Sans" w:hAnsi="IBM Plex Sans"/>
                <w:b w:val="false"/>
                <w:bCs w:val="false"/>
                <w:color w:val="1F2937"/>
                <w:sz w:val="18"/>
                <w:szCs w:val="18"/>
              </w:rPr>
              <w:t xml:space="preserve">01234 567891</w:t>
            </w:r>
          </w:p>
        </w:tc>
        <w:tc>
          <w:tcPr>
            <w:tcW w:type="dxa" w:w="1980"/>
            <w:tcBorders>
              <w:top w:val="single" w:color="EEF2F7" w:sz="4"/>
              <w:left w:val="single" w:color="EEF2F7" w:sz="4"/>
              <w:bottom w:val="single" w:color="EEF2F7" w:sz="4"/>
              <w:right w:val="single" w:color="EEF2F7" w:sz="4"/>
            </w:tcBorders>
            <w:shd w:fill="F0F4FA" w:color="auto" w:val="clear"/>
            <w:tcMar>
              <w:top w:type="dxa" w:w="100"/>
              <w:left w:type="dxa" w:w="140"/>
              <w:bottom w:type="dxa" w:w="100"/>
              <w:right w:type="dxa" w:w="140"/>
            </w:tcMar>
          </w:tcPr>
          <w:p>
            <w:pPr>
              <w:spacing w:after="0" w:before="0"/>
            </w:pPr>
            <w:r>
              <w:rPr>
                <w:rFonts w:ascii="IBM Plex Sans" w:cs="IBM Plex Sans" w:eastAsia="IBM Plex Sans" w:hAnsi="IBM Plex Sans"/>
                <w:b w:val="false"/>
                <w:bCs w:val="false"/>
                <w:color w:val="1F2937"/>
                <w:sz w:val="18"/>
                <w:szCs w:val="18"/>
              </w:rPr>
              <w:t xml:space="preserve">bob@example.school.uk</w:t>
            </w:r>
          </w:p>
        </w:tc>
        <w:tc>
          <w:tcPr>
            <w:tcW w:type="dxa" w:w="1350"/>
            <w:tcBorders>
              <w:top w:val="single" w:color="EEF2F7" w:sz="4"/>
              <w:left w:val="single" w:color="EEF2F7" w:sz="4"/>
              <w:bottom w:val="single" w:color="EEF2F7" w:sz="4"/>
              <w:right w:val="single" w:color="EEF2F7" w:sz="4"/>
            </w:tcBorders>
            <w:shd w:fill="F0F4FA" w:color="auto" w:val="clear"/>
            <w:tcMar>
              <w:top w:type="dxa" w:w="100"/>
              <w:left w:type="dxa" w:w="140"/>
              <w:bottom w:type="dxa" w:w="100"/>
              <w:right w:type="dxa" w:w="140"/>
            </w:tcMar>
          </w:tcPr>
          <w:p>
            <w:pPr>
              <w:spacing w:after="0" w:before="0"/>
            </w:pPr>
            <w:r>
              <w:rPr>
                <w:rFonts w:ascii="IBM Plex Sans" w:cs="IBM Plex Sans" w:eastAsia="IBM Plex Sans" w:hAnsi="IBM Plex Sans"/>
                <w:b w:val="false"/>
                <w:bCs w:val="false"/>
                <w:color w:val="1F2937"/>
                <w:sz w:val="18"/>
                <w:szCs w:val="18"/>
              </w:rPr>
              <w:t xml:space="preserve">[alt contact]</w:t>
            </w:r>
          </w:p>
        </w:tc>
      </w:tr>
      <w:tr>
        <w:trPr>
          <w:cantSplit/>
        </w:trPr>
        <w:tc>
          <w:tcPr>
            <w:tcW w:type="dxa" w:w="1800"/>
            <w:tcBorders>
              <w:top w:val="single" w:color="EEF2F7" w:sz="4"/>
              <w:left w:val="single" w:color="EEF2F7" w:sz="4"/>
              <w:bottom w:val="single" w:color="EEF2F7" w:sz="4"/>
              <w:right w:val="single" w:color="EEF2F7" w:sz="4"/>
            </w:tcBorders>
            <w:shd w:fill="F0F4FA" w:color="auto" w:val="clear"/>
            <w:tcMar>
              <w:top w:type="dxa" w:w="100"/>
              <w:left w:type="dxa" w:w="140"/>
              <w:bottom w:type="dxa" w:w="100"/>
              <w:right w:type="dxa" w:w="140"/>
            </w:tcMar>
          </w:tcPr>
          <w:p>
            <w:pPr>
              <w:spacing w:after="20" w:before="0"/>
            </w:pPr>
            <w:r>
              <w:rPr>
                <w:rFonts w:ascii="IBM Plex Sans" w:cs="IBM Plex Sans" w:eastAsia="IBM Plex Sans" w:hAnsi="IBM Plex Sans"/>
                <w:b/>
                <w:bCs/>
                <w:color w:val="0B2545"/>
                <w:sz w:val="18"/>
                <w:szCs w:val="18"/>
              </w:rPr>
              <w:t xml:space="preserve">Technical Lead</w:t>
            </w:r>
          </w:p>
          <w:p>
            <w:pPr>
              <w:spacing w:after="0" w:before="0"/>
            </w:pPr>
            <w:r>
              <w:rPr>
                <w:rFonts w:ascii="IBM Plex Sans" w:cs="IBM Plex Sans" w:eastAsia="IBM Plex Sans" w:hAnsi="IBM Plex Sans"/>
                <w:b w:val="false"/>
                <w:bCs w:val="false"/>
                <w:color w:val="1F2937"/>
                <w:sz w:val="18"/>
                <w:szCs w:val="18"/>
              </w:rPr>
              <w:t xml:space="preserve">Head of IT</w:t>
            </w:r>
          </w:p>
        </w:tc>
        <w:tc>
          <w:tcPr>
            <w:tcW w:type="dxa" w:w="2250"/>
            <w:tcBorders>
              <w:top w:val="single" w:color="EEF2F7" w:sz="4"/>
              <w:left w:val="single" w:color="EEF2F7" w:sz="4"/>
              <w:bottom w:val="single" w:color="EEF2F7" w:sz="4"/>
              <w:right w:val="single" w:color="EEF2F7" w:sz="4"/>
            </w:tcBorders>
            <w:shd w:fill="F0F4FA" w:color="auto" w:val="clear"/>
            <w:tcMar>
              <w:top w:type="dxa" w:w="100"/>
              <w:left w:type="dxa" w:w="140"/>
              <w:bottom w:type="dxa" w:w="100"/>
              <w:right w:type="dxa" w:w="140"/>
            </w:tcMar>
          </w:tcPr>
          <w:p>
            <w:pPr>
              <w:spacing w:after="0" w:before="0"/>
            </w:pPr>
            <w:r>
              <w:rPr>
                <w:rFonts w:ascii="IBM Plex Sans" w:cs="IBM Plex Sans" w:eastAsia="IBM Plex Sans" w:hAnsi="IBM Plex Sans"/>
                <w:b w:val="false"/>
                <w:bCs w:val="false"/>
                <w:color w:val="1F2937"/>
                <w:sz w:val="18"/>
                <w:szCs w:val="18"/>
              </w:rPr>
              <w:t xml:space="preserve">Carol IT</w:t>
            </w:r>
          </w:p>
        </w:tc>
        <w:tc>
          <w:tcPr>
            <w:tcW w:type="dxa" w:w="1620"/>
            <w:tcBorders>
              <w:top w:val="single" w:color="EEF2F7" w:sz="4"/>
              <w:left w:val="single" w:color="EEF2F7" w:sz="4"/>
              <w:bottom w:val="single" w:color="EEF2F7" w:sz="4"/>
              <w:right w:val="single" w:color="EEF2F7" w:sz="4"/>
            </w:tcBorders>
            <w:shd w:fill="F0F4FA" w:color="auto" w:val="clear"/>
            <w:tcMar>
              <w:top w:type="dxa" w:w="100"/>
              <w:left w:type="dxa" w:w="140"/>
              <w:bottom w:type="dxa" w:w="100"/>
              <w:right w:type="dxa" w:w="140"/>
            </w:tcMar>
          </w:tcPr>
          <w:p>
            <w:pPr>
              <w:spacing w:after="0" w:before="0"/>
            </w:pPr>
            <w:r>
              <w:rPr>
                <w:rFonts w:ascii="IBM Plex Sans" w:cs="IBM Plex Sans" w:eastAsia="IBM Plex Sans" w:hAnsi="IBM Plex Sans"/>
                <w:b w:val="false"/>
                <w:bCs w:val="false"/>
                <w:color w:val="1F2937"/>
                <w:sz w:val="18"/>
                <w:szCs w:val="18"/>
              </w:rPr>
              <w:t xml:space="preserve">01234 567892</w:t>
            </w:r>
          </w:p>
        </w:tc>
        <w:tc>
          <w:tcPr>
            <w:tcW w:type="dxa" w:w="1980"/>
            <w:tcBorders>
              <w:top w:val="single" w:color="EEF2F7" w:sz="4"/>
              <w:left w:val="single" w:color="EEF2F7" w:sz="4"/>
              <w:bottom w:val="single" w:color="EEF2F7" w:sz="4"/>
              <w:right w:val="single" w:color="EEF2F7" w:sz="4"/>
            </w:tcBorders>
            <w:shd w:fill="F0F4FA" w:color="auto" w:val="clear"/>
            <w:tcMar>
              <w:top w:type="dxa" w:w="100"/>
              <w:left w:type="dxa" w:w="140"/>
              <w:bottom w:type="dxa" w:w="100"/>
              <w:right w:type="dxa" w:w="140"/>
            </w:tcMar>
          </w:tcPr>
          <w:p>
            <w:pPr>
              <w:spacing w:after="0" w:before="0"/>
            </w:pPr>
            <w:r>
              <w:rPr>
                <w:rFonts w:ascii="IBM Plex Sans" w:cs="IBM Plex Sans" w:eastAsia="IBM Plex Sans" w:hAnsi="IBM Plex Sans"/>
                <w:b w:val="false"/>
                <w:bCs w:val="false"/>
                <w:color w:val="1F2937"/>
                <w:sz w:val="18"/>
                <w:szCs w:val="18"/>
              </w:rPr>
              <w:t xml:space="preserve">carol@example.school.uk</w:t>
            </w:r>
          </w:p>
        </w:tc>
        <w:tc>
          <w:tcPr>
            <w:tcW w:type="dxa" w:w="1350"/>
            <w:tcBorders>
              <w:top w:val="single" w:color="EEF2F7" w:sz="4"/>
              <w:left w:val="single" w:color="EEF2F7" w:sz="4"/>
              <w:bottom w:val="single" w:color="EEF2F7" w:sz="4"/>
              <w:right w:val="single" w:color="EEF2F7" w:sz="4"/>
            </w:tcBorders>
            <w:shd w:fill="F0F4FA" w:color="auto" w:val="clear"/>
            <w:tcMar>
              <w:top w:type="dxa" w:w="100"/>
              <w:left w:type="dxa" w:w="140"/>
              <w:bottom w:type="dxa" w:w="100"/>
              <w:right w:type="dxa" w:w="140"/>
            </w:tcMar>
          </w:tcPr>
          <w:p>
            <w:pPr>
              <w:spacing w:after="0" w:before="0"/>
            </w:pPr>
            <w:r>
              <w:rPr>
                <w:rFonts w:ascii="IBM Plex Sans" w:cs="IBM Plex Sans" w:eastAsia="IBM Plex Sans" w:hAnsi="IBM Plex Sans"/>
                <w:b w:val="false"/>
                <w:bCs w:val="false"/>
                <w:color w:val="1F2937"/>
                <w:sz w:val="18"/>
                <w:szCs w:val="18"/>
              </w:rPr>
              <w:t xml:space="preserve">[alt contact]</w:t>
            </w:r>
          </w:p>
        </w:tc>
      </w:tr>
      <w:tr>
        <w:trPr>
          <w:cantSplit/>
        </w:trPr>
        <w:tc>
          <w:tcPr>
            <w:tcW w:type="dxa" w:w="1800"/>
            <w:tcBorders>
              <w:top w:val="single" w:color="EEF2F7" w:sz="4"/>
              <w:left w:val="single" w:color="EEF2F7" w:sz="4"/>
              <w:bottom w:val="single" w:color="EEF2F7" w:sz="4"/>
              <w:right w:val="single" w:color="EEF2F7" w:sz="4"/>
            </w:tcBorders>
            <w:shd w:fill="F0F4FA" w:color="auto" w:val="clear"/>
            <w:tcMar>
              <w:top w:type="dxa" w:w="100"/>
              <w:left w:type="dxa" w:w="140"/>
              <w:bottom w:type="dxa" w:w="100"/>
              <w:right w:type="dxa" w:w="140"/>
            </w:tcMar>
          </w:tcPr>
          <w:p>
            <w:pPr>
              <w:spacing w:after="20" w:before="0"/>
            </w:pPr>
            <w:r>
              <w:rPr>
                <w:rFonts w:ascii="IBM Plex Sans" w:cs="IBM Plex Sans" w:eastAsia="IBM Plex Sans" w:hAnsi="IBM Plex Sans"/>
                <w:b/>
                <w:bCs/>
                <w:color w:val="0B2545"/>
                <w:sz w:val="18"/>
                <w:szCs w:val="18"/>
              </w:rPr>
              <w:t xml:space="preserve">Data Protection Officer</w:t>
            </w:r>
          </w:p>
          <w:p>
            <w:pPr>
              <w:spacing w:after="0" w:before="0"/>
            </w:pPr>
            <w:r>
              <w:rPr>
                <w:rFonts w:ascii="IBM Plex Sans" w:cs="IBM Plex Sans" w:eastAsia="IBM Plex Sans" w:hAnsi="IBM Plex Sans"/>
                <w:b w:val="false"/>
                <w:bCs w:val="false"/>
                <w:color w:val="1F2937"/>
                <w:sz w:val="18"/>
                <w:szCs w:val="18"/>
              </w:rPr>
              <w:t xml:space="preserve">External DPO Ltd</w:t>
            </w:r>
          </w:p>
        </w:tc>
        <w:tc>
          <w:tcPr>
            <w:tcW w:type="dxa" w:w="2250"/>
            <w:tcBorders>
              <w:top w:val="single" w:color="EEF2F7" w:sz="4"/>
              <w:left w:val="single" w:color="EEF2F7" w:sz="4"/>
              <w:bottom w:val="single" w:color="EEF2F7" w:sz="4"/>
              <w:right w:val="single" w:color="EEF2F7" w:sz="4"/>
            </w:tcBorders>
            <w:shd w:fill="F0F4FA" w:color="auto" w:val="clear"/>
            <w:tcMar>
              <w:top w:type="dxa" w:w="100"/>
              <w:left w:type="dxa" w:w="140"/>
              <w:bottom w:type="dxa" w:w="100"/>
              <w:right w:type="dxa" w:w="140"/>
            </w:tcMar>
          </w:tcPr>
          <w:p>
            <w:pPr>
              <w:spacing w:after="0" w:before="0"/>
            </w:pPr>
            <w:r>
              <w:rPr>
                <w:rFonts w:ascii="IBM Plex Sans" w:cs="IBM Plex Sans" w:eastAsia="IBM Plex Sans" w:hAnsi="IBM Plex Sans"/>
                <w:b w:val="false"/>
                <w:bCs w:val="false"/>
                <w:color w:val="1F2937"/>
                <w:sz w:val="18"/>
                <w:szCs w:val="18"/>
              </w:rPr>
              <w:t xml:space="preserve">Eve DPO</w:t>
            </w:r>
          </w:p>
        </w:tc>
        <w:tc>
          <w:tcPr>
            <w:tcW w:type="dxa" w:w="1620"/>
            <w:tcBorders>
              <w:top w:val="single" w:color="EEF2F7" w:sz="4"/>
              <w:left w:val="single" w:color="EEF2F7" w:sz="4"/>
              <w:bottom w:val="single" w:color="EEF2F7" w:sz="4"/>
              <w:right w:val="single" w:color="EEF2F7" w:sz="4"/>
            </w:tcBorders>
            <w:shd w:fill="F0F4FA" w:color="auto" w:val="clear"/>
            <w:tcMar>
              <w:top w:type="dxa" w:w="100"/>
              <w:left w:type="dxa" w:w="140"/>
              <w:bottom w:type="dxa" w:w="100"/>
              <w:right w:type="dxa" w:w="140"/>
            </w:tcMar>
          </w:tcPr>
          <w:p>
            <w:pPr>
              <w:spacing w:after="0" w:before="0"/>
            </w:pPr>
            <w:r>
              <w:rPr>
                <w:rFonts w:ascii="IBM Plex Sans" w:cs="IBM Plex Sans" w:eastAsia="IBM Plex Sans" w:hAnsi="IBM Plex Sans"/>
                <w:b w:val="false"/>
                <w:bCs w:val="false"/>
                <w:color w:val="1F2937"/>
                <w:sz w:val="18"/>
                <w:szCs w:val="18"/>
              </w:rPr>
              <w:t xml:space="preserve">01234 567893</w:t>
            </w:r>
          </w:p>
        </w:tc>
        <w:tc>
          <w:tcPr>
            <w:tcW w:type="dxa" w:w="1980"/>
            <w:tcBorders>
              <w:top w:val="single" w:color="EEF2F7" w:sz="4"/>
              <w:left w:val="single" w:color="EEF2F7" w:sz="4"/>
              <w:bottom w:val="single" w:color="EEF2F7" w:sz="4"/>
              <w:right w:val="single" w:color="EEF2F7" w:sz="4"/>
            </w:tcBorders>
            <w:shd w:fill="F0F4FA" w:color="auto" w:val="clear"/>
            <w:tcMar>
              <w:top w:type="dxa" w:w="100"/>
              <w:left w:type="dxa" w:w="140"/>
              <w:bottom w:type="dxa" w:w="100"/>
              <w:right w:type="dxa" w:w="140"/>
            </w:tcMar>
          </w:tcPr>
          <w:p>
            <w:pPr>
              <w:spacing w:after="0" w:before="0"/>
            </w:pPr>
            <w:r>
              <w:rPr>
                <w:rFonts w:ascii="IBM Plex Sans" w:cs="IBM Plex Sans" w:eastAsia="IBM Plex Sans" w:hAnsi="IBM Plex Sans"/>
                <w:b w:val="false"/>
                <w:bCs w:val="false"/>
                <w:color w:val="1F2937"/>
                <w:sz w:val="18"/>
                <w:szCs w:val="18"/>
              </w:rPr>
              <w:t xml:space="preserve">dpo@external.example</w:t>
            </w:r>
          </w:p>
        </w:tc>
        <w:tc>
          <w:tcPr>
            <w:tcW w:type="dxa" w:w="1350"/>
            <w:tcBorders>
              <w:top w:val="single" w:color="EEF2F7" w:sz="4"/>
              <w:left w:val="single" w:color="EEF2F7" w:sz="4"/>
              <w:bottom w:val="single" w:color="EEF2F7" w:sz="4"/>
              <w:right w:val="single" w:color="EEF2F7" w:sz="4"/>
            </w:tcBorders>
            <w:shd w:fill="F0F4FA" w:color="auto" w:val="clear"/>
            <w:tcMar>
              <w:top w:type="dxa" w:w="100"/>
              <w:left w:type="dxa" w:w="140"/>
              <w:bottom w:type="dxa" w:w="100"/>
              <w:right w:type="dxa" w:w="140"/>
            </w:tcMar>
          </w:tcPr>
          <w:p>
            <w:pPr>
              <w:spacing w:after="0" w:before="0"/>
            </w:pPr>
            <w:r>
              <w:rPr>
                <w:rFonts w:ascii="IBM Plex Sans" w:cs="IBM Plex Sans" w:eastAsia="IBM Plex Sans" w:hAnsi="IBM Plex Sans"/>
                <w:b w:val="false"/>
                <w:bCs w:val="false"/>
                <w:color w:val="1F2937"/>
                <w:sz w:val="18"/>
                <w:szCs w:val="18"/>
              </w:rPr>
              <w:t xml:space="preserve">[alt contact]</w:t>
            </w:r>
          </w:p>
        </w:tc>
      </w:tr>
      <w:tr>
        <w:trPr>
          <w:cantSplit/>
        </w:trPr>
        <w:tc>
          <w:tcPr>
            <w:tcW w:type="dxa" w:w="1800"/>
            <w:tcBorders>
              <w:top w:val="single" w:color="EEF2F7" w:sz="4"/>
              <w:left w:val="single" w:color="EEF2F7" w:sz="4"/>
              <w:bottom w:val="single" w:color="EEF2F7" w:sz="4"/>
              <w:right w:val="single" w:color="EEF2F7" w:sz="4"/>
            </w:tcBorders>
            <w:shd w:fill="F0F4FA" w:color="auto" w:val="clear"/>
            <w:tcMar>
              <w:top w:type="dxa" w:w="100"/>
              <w:left w:type="dxa" w:w="140"/>
              <w:bottom w:type="dxa" w:w="100"/>
              <w:right w:type="dxa" w:w="140"/>
            </w:tcMar>
          </w:tcPr>
          <w:p>
            <w:pPr>
              <w:spacing w:after="20" w:before="0"/>
            </w:pPr>
            <w:r>
              <w:rPr>
                <w:rFonts w:ascii="IBM Plex Sans" w:cs="IBM Plex Sans" w:eastAsia="IBM Plex Sans" w:hAnsi="IBM Plex Sans"/>
                <w:b/>
                <w:bCs/>
                <w:color w:val="0B2545"/>
                <w:sz w:val="18"/>
                <w:szCs w:val="18"/>
              </w:rPr>
              <w:t xml:space="preserve">Communications Lead</w:t>
            </w:r>
          </w:p>
          <w:p>
            <w:pPr>
              <w:spacing w:after="0" w:before="0"/>
            </w:pPr>
            <w:r>
              <w:rPr>
                <w:rFonts w:ascii="IBM Plex Sans" w:cs="IBM Plex Sans" w:eastAsia="IBM Plex Sans" w:hAnsi="IBM Plex Sans"/>
                <w:b w:val="false"/>
                <w:bCs w:val="false"/>
                <w:color w:val="1F2937"/>
                <w:sz w:val="18"/>
                <w:szCs w:val="18"/>
              </w:rPr>
              <w:t xml:space="preserve">Head of Communications</w:t>
            </w:r>
          </w:p>
        </w:tc>
        <w:tc>
          <w:tcPr>
            <w:tcW w:type="dxa" w:w="2250"/>
            <w:tcBorders>
              <w:top w:val="single" w:color="EEF2F7" w:sz="4"/>
              <w:left w:val="single" w:color="EEF2F7" w:sz="4"/>
              <w:bottom w:val="single" w:color="EEF2F7" w:sz="4"/>
              <w:right w:val="single" w:color="EEF2F7" w:sz="4"/>
            </w:tcBorders>
            <w:shd w:fill="F0F4FA" w:color="auto" w:val="clear"/>
            <w:tcMar>
              <w:top w:type="dxa" w:w="100"/>
              <w:left w:type="dxa" w:w="140"/>
              <w:bottom w:type="dxa" w:w="100"/>
              <w:right w:type="dxa" w:w="140"/>
            </w:tcMar>
          </w:tcPr>
          <w:p>
            <w:pPr>
              <w:spacing w:after="0" w:before="0"/>
            </w:pPr>
            <w:r>
              <w:rPr>
                <w:rFonts w:ascii="IBM Plex Sans" w:cs="IBM Plex Sans" w:eastAsia="IBM Plex Sans" w:hAnsi="IBM Plex Sans"/>
                <w:b w:val="false"/>
                <w:bCs w:val="false"/>
                <w:color w:val="1F2937"/>
                <w:sz w:val="18"/>
                <w:szCs w:val="18"/>
              </w:rPr>
              <w:t xml:space="preserve">Frank Comms</w:t>
            </w:r>
          </w:p>
        </w:tc>
        <w:tc>
          <w:tcPr>
            <w:tcW w:type="dxa" w:w="1620"/>
            <w:tcBorders>
              <w:top w:val="single" w:color="EEF2F7" w:sz="4"/>
              <w:left w:val="single" w:color="EEF2F7" w:sz="4"/>
              <w:bottom w:val="single" w:color="EEF2F7" w:sz="4"/>
              <w:right w:val="single" w:color="EEF2F7" w:sz="4"/>
            </w:tcBorders>
            <w:shd w:fill="F0F4FA" w:color="auto" w:val="clear"/>
            <w:tcMar>
              <w:top w:type="dxa" w:w="100"/>
              <w:left w:type="dxa" w:w="140"/>
              <w:bottom w:type="dxa" w:w="100"/>
              <w:right w:type="dxa" w:w="140"/>
            </w:tcMar>
          </w:tcPr>
          <w:p>
            <w:pPr>
              <w:spacing w:after="0" w:before="0"/>
            </w:pPr>
            <w:r>
              <w:rPr>
                <w:rFonts w:ascii="IBM Plex Sans" w:cs="IBM Plex Sans" w:eastAsia="IBM Plex Sans" w:hAnsi="IBM Plex Sans"/>
                <w:b w:val="false"/>
                <w:bCs w:val="false"/>
                <w:color w:val="1F2937"/>
                <w:sz w:val="18"/>
                <w:szCs w:val="18"/>
              </w:rPr>
              <w:t xml:space="preserve">01234 567894</w:t>
            </w:r>
          </w:p>
        </w:tc>
        <w:tc>
          <w:tcPr>
            <w:tcW w:type="dxa" w:w="1980"/>
            <w:tcBorders>
              <w:top w:val="single" w:color="EEF2F7" w:sz="4"/>
              <w:left w:val="single" w:color="EEF2F7" w:sz="4"/>
              <w:bottom w:val="single" w:color="EEF2F7" w:sz="4"/>
              <w:right w:val="single" w:color="EEF2F7" w:sz="4"/>
            </w:tcBorders>
            <w:shd w:fill="F0F4FA" w:color="auto" w:val="clear"/>
            <w:tcMar>
              <w:top w:type="dxa" w:w="100"/>
              <w:left w:type="dxa" w:w="140"/>
              <w:bottom w:type="dxa" w:w="100"/>
              <w:right w:type="dxa" w:w="140"/>
            </w:tcMar>
          </w:tcPr>
          <w:p>
            <w:pPr>
              <w:spacing w:after="0" w:before="0"/>
            </w:pPr>
            <w:r>
              <w:rPr>
                <w:rFonts w:ascii="IBM Plex Sans" w:cs="IBM Plex Sans" w:eastAsia="IBM Plex Sans" w:hAnsi="IBM Plex Sans"/>
                <w:b w:val="false"/>
                <w:bCs w:val="false"/>
                <w:color w:val="1F2937"/>
                <w:sz w:val="18"/>
                <w:szCs w:val="18"/>
              </w:rPr>
              <w:t xml:space="preserve">frank@example.school.uk</w:t>
            </w:r>
          </w:p>
        </w:tc>
        <w:tc>
          <w:tcPr>
            <w:tcW w:type="dxa" w:w="1350"/>
            <w:tcBorders>
              <w:top w:val="single" w:color="EEF2F7" w:sz="4"/>
              <w:left w:val="single" w:color="EEF2F7" w:sz="4"/>
              <w:bottom w:val="single" w:color="EEF2F7" w:sz="4"/>
              <w:right w:val="single" w:color="EEF2F7" w:sz="4"/>
            </w:tcBorders>
            <w:shd w:fill="F0F4FA" w:color="auto" w:val="clear"/>
            <w:tcMar>
              <w:top w:type="dxa" w:w="100"/>
              <w:left w:type="dxa" w:w="140"/>
              <w:bottom w:type="dxa" w:w="100"/>
              <w:right w:type="dxa" w:w="140"/>
            </w:tcMar>
          </w:tcPr>
          <w:p>
            <w:pPr>
              <w:spacing w:after="0" w:before="0"/>
            </w:pPr>
            <w:r>
              <w:rPr>
                <w:rFonts w:ascii="IBM Plex Sans" w:cs="IBM Plex Sans" w:eastAsia="IBM Plex Sans" w:hAnsi="IBM Plex Sans"/>
                <w:b w:val="false"/>
                <w:bCs w:val="false"/>
                <w:color w:val="1F2937"/>
                <w:sz w:val="18"/>
                <w:szCs w:val="18"/>
              </w:rPr>
              <w:t xml:space="preserve">[alt contact]</w:t>
            </w:r>
          </w:p>
        </w:tc>
      </w:tr>
      <w:tr>
        <w:trPr>
          <w:cantSplit/>
        </w:trPr>
        <w:tc>
          <w:tcPr>
            <w:tcW w:type="dxa" w:w="1800"/>
            <w:tcBorders>
              <w:top w:val="single" w:color="EEF2F7" w:sz="4"/>
              <w:left w:val="single" w:color="EEF2F7" w:sz="4"/>
              <w:bottom w:val="single" w:color="EEF2F7" w:sz="4"/>
              <w:right w:val="single" w:color="EEF2F7" w:sz="4"/>
            </w:tcBorders>
            <w:shd w:fill="F0F4FA" w:color="auto" w:val="clear"/>
            <w:tcMar>
              <w:top w:type="dxa" w:w="100"/>
              <w:left w:type="dxa" w:w="140"/>
              <w:bottom w:type="dxa" w:w="100"/>
              <w:right w:type="dxa" w:w="140"/>
            </w:tcMar>
          </w:tcPr>
          <w:p>
            <w:pPr>
              <w:spacing w:after="0" w:before="0"/>
            </w:pPr>
            <w:r>
              <w:rPr>
                <w:rFonts w:ascii="IBM Plex Sans" w:cs="IBM Plex Sans" w:eastAsia="IBM Plex Sans" w:hAnsi="IBM Plex Sans"/>
                <w:b/>
                <w:bCs/>
                <w:color w:val="0B2545"/>
                <w:sz w:val="18"/>
                <w:szCs w:val="18"/>
              </w:rPr>
              <w:t xml:space="preserve">Chair of Governors</w:t>
            </w:r>
          </w:p>
        </w:tc>
        <w:tc>
          <w:tcPr>
            <w:tcW w:type="dxa" w:w="2250"/>
            <w:tcBorders>
              <w:top w:val="single" w:color="EEF2F7" w:sz="4"/>
              <w:left w:val="single" w:color="EEF2F7" w:sz="4"/>
              <w:bottom w:val="single" w:color="EEF2F7" w:sz="4"/>
              <w:right w:val="single" w:color="EEF2F7" w:sz="4"/>
            </w:tcBorders>
            <w:shd w:fill="F0F4FA" w:color="auto" w:val="clear"/>
            <w:tcMar>
              <w:top w:type="dxa" w:w="100"/>
              <w:left w:type="dxa" w:w="140"/>
              <w:bottom w:type="dxa" w:w="100"/>
              <w:right w:type="dxa" w:w="140"/>
            </w:tcMar>
          </w:tcPr>
          <w:p>
            <w:pPr>
              <w:spacing w:after="0" w:before="0"/>
            </w:pPr>
            <w:r>
              <w:rPr>
                <w:rFonts w:ascii="IBM Plex Sans" w:cs="IBM Plex Sans" w:eastAsia="IBM Plex Sans" w:hAnsi="IBM Plex Sans"/>
                <w:b w:val="false"/>
                <w:bCs w:val="false"/>
                <w:color w:val="1F2937"/>
                <w:sz w:val="18"/>
                <w:szCs w:val="18"/>
              </w:rPr>
              <w:t xml:space="preserve">Diana Chair</w:t>
            </w:r>
          </w:p>
        </w:tc>
        <w:tc>
          <w:tcPr>
            <w:tcW w:type="dxa" w:w="1620"/>
            <w:tcBorders>
              <w:top w:val="single" w:color="EEF2F7" w:sz="4"/>
              <w:left w:val="single" w:color="EEF2F7" w:sz="4"/>
              <w:bottom w:val="single" w:color="EEF2F7" w:sz="4"/>
              <w:right w:val="single" w:color="EEF2F7" w:sz="4"/>
            </w:tcBorders>
            <w:shd w:fill="F0F4FA" w:color="auto" w:val="clear"/>
            <w:tcMar>
              <w:top w:type="dxa" w:w="100"/>
              <w:left w:type="dxa" w:w="140"/>
              <w:bottom w:type="dxa" w:w="100"/>
              <w:right w:type="dxa" w:w="140"/>
            </w:tcMar>
          </w:tcPr>
          <w:p>
            <w:pPr>
              <w:spacing w:after="0" w:before="0"/>
            </w:pPr>
            <w:r>
              <w:rPr>
                <w:rFonts w:ascii="IBM Plex Sans" w:cs="IBM Plex Sans" w:eastAsia="IBM Plex Sans" w:hAnsi="IBM Plex Sans"/>
                <w:b w:val="false"/>
                <w:bCs w:val="false"/>
                <w:color w:val="1F2937"/>
                <w:sz w:val="18"/>
                <w:szCs w:val="18"/>
              </w:rPr>
              <w:t xml:space="preserve">07000 000001</w:t>
            </w:r>
          </w:p>
        </w:tc>
        <w:tc>
          <w:tcPr>
            <w:tcW w:type="dxa" w:w="1980"/>
            <w:tcBorders>
              <w:top w:val="single" w:color="EEF2F7" w:sz="4"/>
              <w:left w:val="single" w:color="EEF2F7" w:sz="4"/>
              <w:bottom w:val="single" w:color="EEF2F7" w:sz="4"/>
              <w:right w:val="single" w:color="EEF2F7" w:sz="4"/>
            </w:tcBorders>
            <w:shd w:fill="F0F4FA" w:color="auto" w:val="clear"/>
            <w:tcMar>
              <w:top w:type="dxa" w:w="100"/>
              <w:left w:type="dxa" w:w="140"/>
              <w:bottom w:type="dxa" w:w="100"/>
              <w:right w:type="dxa" w:w="140"/>
            </w:tcMar>
          </w:tcPr>
          <w:p>
            <w:pPr>
              <w:spacing w:after="0" w:before="0"/>
            </w:pPr>
            <w:r>
              <w:rPr>
                <w:rFonts w:ascii="IBM Plex Sans" w:cs="IBM Plex Sans" w:eastAsia="IBM Plex Sans" w:hAnsi="IBM Plex Sans"/>
                <w:b w:val="false"/>
                <w:bCs w:val="false"/>
                <w:color w:val="1F2937"/>
                <w:sz w:val="18"/>
                <w:szCs w:val="18"/>
              </w:rPr>
              <w:t xml:space="preserve">diana@example.school.uk</w:t>
            </w:r>
          </w:p>
        </w:tc>
        <w:tc>
          <w:tcPr>
            <w:tcW w:type="dxa" w:w="1350"/>
            <w:tcBorders>
              <w:top w:val="single" w:color="EEF2F7" w:sz="4"/>
              <w:left w:val="single" w:color="EEF2F7" w:sz="4"/>
              <w:bottom w:val="single" w:color="EEF2F7" w:sz="4"/>
              <w:right w:val="single" w:color="EEF2F7" w:sz="4"/>
            </w:tcBorders>
            <w:shd w:fill="F0F4FA" w:color="auto" w:val="clear"/>
            <w:tcMar>
              <w:top w:type="dxa" w:w="100"/>
              <w:left w:type="dxa" w:w="140"/>
              <w:bottom w:type="dxa" w:w="100"/>
              <w:right w:type="dxa" w:w="140"/>
            </w:tcMar>
          </w:tcPr>
          <w:p>
            <w:pPr>
              <w:spacing w:after="0" w:before="0"/>
            </w:pPr>
            <w:r>
              <w:rPr>
                <w:rFonts w:ascii="IBM Plex Sans" w:cs="IBM Plex Sans" w:eastAsia="IBM Plex Sans" w:hAnsi="IBM Plex Sans"/>
                <w:b w:val="false"/>
                <w:bCs w:val="false"/>
                <w:color w:val="1F2937"/>
                <w:sz w:val="18"/>
                <w:szCs w:val="18"/>
              </w:rPr>
              <w:t xml:space="preserve">[alt contact]</w:t>
            </w:r>
          </w:p>
        </w:tc>
      </w:tr>
    </w:tbl>
    <w:p>
      <w:pPr>
        <w:pStyle w:val="Heading2"/>
        <w:pBdr>
          <w:bottom w:val="single" w:color="0B2545" w:sz="12" w:space="6"/>
        </w:pBdr>
      </w:pPr>
      <w:r>
        <w:t xml:space="preserve">3. External contacts</w:t>
      </w:r>
    </w:p>
    <w:p>
      <w:pPr>
        <w:pStyle w:val="Heading3"/>
      </w:pPr>
      <w:r>
        <w:t xml:space="preserve">3.1 IT support provider</w:t>
      </w:r>
    </w:p>
    <w:tbl>
      <w:tblPr>
        <w:tblW w:type="pct" w:w="100%"/>
        <w:tblBorders>
          <w:top w:val="single" w:color="EEF2F7" w:sz="4"/>
          <w:left w:val="single" w:color="EEF2F7" w:sz="4"/>
          <w:bottom w:val="single" w:color="EEF2F7" w:sz="4"/>
          <w:right w:val="single" w:color="EEF2F7" w:sz="4"/>
          <w:insideH w:val="single" w:color="EEF2F7" w:sz="4"/>
          <w:insideV w:val="single" w:color="EEF2F7" w:sz="4"/>
        </w:tblBorders>
      </w:tblPr>
      <w:tblGrid>
        <w:gridCol w:w="100"/>
        <w:gridCol w:w="100"/>
      </w:tblGrid>
      <w:tr>
        <w:trPr>
          <w:cantSplit/>
        </w:trPr>
        <w:tc>
          <w:tcPr>
            <w:tcW w:type="pct" w:w="38%"/>
            <w:tcBorders>
              <w:top w:val="single" w:color="EEF2F7" w:sz="4"/>
              <w:left w:val="single" w:color="EEF2F7" w:sz="4"/>
              <w:bottom w:val="single" w:color="EEF2F7" w:sz="4"/>
              <w:right w:val="single" w:color="EEF2F7" w:sz="4"/>
            </w:tcBorders>
            <w:shd w:fill="F7F9FC" w:color="auto" w:val="clear"/>
            <w:tcMar>
              <w:top w:type="dxa" w:w="100"/>
              <w:left w:type="dxa" w:w="140"/>
              <w:bottom w:type="dxa" w:w="100"/>
              <w:right w:type="dxa" w:w="140"/>
            </w:tcMar>
          </w:tcPr>
          <w:p>
            <w:pPr>
              <w:spacing/>
            </w:pPr>
            <w:r>
              <w:rPr>
                <w:rFonts w:ascii="IBM Plex Sans" w:cs="IBM Plex Sans" w:eastAsia="IBM Plex Sans" w:hAnsi="IBM Plex Sans"/>
                <w:b/>
                <w:bCs/>
                <w:color w:val="13315C"/>
                <w:sz w:val="18"/>
                <w:szCs w:val="18"/>
              </w:rPr>
              <w:t xml:space="preserve">Provider</w:t>
            </w:r>
          </w:p>
        </w:tc>
        <w:tc>
          <w:tcPr>
            <w:tcW w:type="pct" w:w="62%"/>
            <w:tcBorders>
              <w:top w:val="single" w:color="EEF2F7" w:sz="4"/>
              <w:left w:val="single" w:color="EEF2F7" w:sz="4"/>
              <w:bottom w:val="single" w:color="EEF2F7" w:sz="4"/>
              <w:right w:val="single" w:color="EEF2F7" w:sz="4"/>
            </w:tcBorders>
            <w:tcMar>
              <w:top w:type="dxa" w:w="100"/>
              <w:left w:type="dxa" w:w="140"/>
              <w:bottom w:type="dxa" w:w="100"/>
              <w:right w:type="dxa" w:w="140"/>
            </w:tcMar>
          </w:tcPr>
          <w:p>
            <w:pPr>
              <w:spacing/>
            </w:pPr>
            <w:r>
              <w:rPr>
                <w:rFonts w:ascii="IBM Plex Sans" w:cs="IBM Plex Sans" w:eastAsia="IBM Plex Sans" w:hAnsi="IBM Plex Sans"/>
                <w:color w:val="1F2937"/>
                <w:sz w:val="18"/>
                <w:szCs w:val="18"/>
              </w:rPr>
              <w:t xml:space="preserve">Acme IT &amp; Support</w:t>
            </w:r>
          </w:p>
        </w:tc>
      </w:tr>
      <w:tr>
        <w:trPr>
          <w:cantSplit/>
        </w:trPr>
        <w:tc>
          <w:tcPr>
            <w:tcW w:type="pct" w:w="38%"/>
            <w:tcBorders>
              <w:top w:val="single" w:color="EEF2F7" w:sz="4"/>
              <w:left w:val="single" w:color="EEF2F7" w:sz="4"/>
              <w:bottom w:val="single" w:color="EEF2F7" w:sz="4"/>
              <w:right w:val="single" w:color="EEF2F7" w:sz="4"/>
            </w:tcBorders>
            <w:shd w:fill="F7F9FC" w:color="auto" w:val="clear"/>
            <w:tcMar>
              <w:top w:type="dxa" w:w="100"/>
              <w:left w:type="dxa" w:w="140"/>
              <w:bottom w:type="dxa" w:w="100"/>
              <w:right w:type="dxa" w:w="140"/>
            </w:tcMar>
          </w:tcPr>
          <w:p>
            <w:pPr>
              <w:spacing/>
            </w:pPr>
            <w:r>
              <w:rPr>
                <w:rFonts w:ascii="IBM Plex Sans" w:cs="IBM Plex Sans" w:eastAsia="IBM Plex Sans" w:hAnsi="IBM Plex Sans"/>
                <w:b/>
                <w:bCs/>
                <w:color w:val="13315C"/>
                <w:sz w:val="18"/>
                <w:szCs w:val="18"/>
              </w:rPr>
              <w:t xml:space="preserve">Account contact</w:t>
            </w:r>
          </w:p>
        </w:tc>
        <w:tc>
          <w:tcPr>
            <w:tcW w:type="pct" w:w="62%"/>
            <w:tcBorders>
              <w:top w:val="single" w:color="EEF2F7" w:sz="4"/>
              <w:left w:val="single" w:color="EEF2F7" w:sz="4"/>
              <w:bottom w:val="single" w:color="EEF2F7" w:sz="4"/>
              <w:right w:val="single" w:color="EEF2F7" w:sz="4"/>
            </w:tcBorders>
            <w:tcMar>
              <w:top w:type="dxa" w:w="100"/>
              <w:left w:type="dxa" w:w="140"/>
              <w:bottom w:type="dxa" w:w="100"/>
              <w:right w:type="dxa" w:w="140"/>
            </w:tcMar>
          </w:tcPr>
          <w:p>
            <w:pPr>
              <w:spacing/>
            </w:pPr>
            <w:r>
              <w:rPr>
                <w:rFonts w:ascii="IBM Plex Sans" w:cs="IBM Plex Sans" w:eastAsia="IBM Plex Sans" w:hAnsi="IBM Plex Sans"/>
                <w:color w:val="1F2937"/>
                <w:sz w:val="18"/>
                <w:szCs w:val="18"/>
              </w:rPr>
              <w:t xml:space="preserve">support@acme.example</w:t>
            </w:r>
          </w:p>
        </w:tc>
      </w:tr>
      <w:tr>
        <w:trPr>
          <w:cantSplit/>
        </w:trPr>
        <w:tc>
          <w:tcPr>
            <w:tcW w:type="pct" w:w="38%"/>
            <w:tcBorders>
              <w:top w:val="single" w:color="EEF2F7" w:sz="4"/>
              <w:left w:val="single" w:color="EEF2F7" w:sz="4"/>
              <w:bottom w:val="single" w:color="EEF2F7" w:sz="4"/>
              <w:right w:val="single" w:color="EEF2F7" w:sz="4"/>
            </w:tcBorders>
            <w:shd w:fill="F7F9FC" w:color="auto" w:val="clear"/>
            <w:tcMar>
              <w:top w:type="dxa" w:w="100"/>
              <w:left w:type="dxa" w:w="140"/>
              <w:bottom w:type="dxa" w:w="100"/>
              <w:right w:type="dxa" w:w="140"/>
            </w:tcMar>
          </w:tcPr>
          <w:p>
            <w:pPr>
              <w:spacing/>
            </w:pPr>
            <w:r>
              <w:rPr>
                <w:rFonts w:ascii="IBM Plex Sans" w:cs="IBM Plex Sans" w:eastAsia="IBM Plex Sans" w:hAnsi="IBM Plex Sans"/>
                <w:b/>
                <w:bCs/>
                <w:color w:val="13315C"/>
                <w:sz w:val="18"/>
                <w:szCs w:val="18"/>
              </w:rPr>
              <w:t xml:space="preserve">Phone</w:t>
            </w:r>
          </w:p>
        </w:tc>
        <w:tc>
          <w:tcPr>
            <w:tcW w:type="pct" w:w="62%"/>
            <w:tcBorders>
              <w:top w:val="single" w:color="EEF2F7" w:sz="4"/>
              <w:left w:val="single" w:color="EEF2F7" w:sz="4"/>
              <w:bottom w:val="single" w:color="EEF2F7" w:sz="4"/>
              <w:right w:val="single" w:color="EEF2F7" w:sz="4"/>
            </w:tcBorders>
            <w:tcMar>
              <w:top w:type="dxa" w:w="100"/>
              <w:left w:type="dxa" w:w="140"/>
              <w:bottom w:type="dxa" w:w="100"/>
              <w:right w:type="dxa" w:w="140"/>
            </w:tcMar>
          </w:tcPr>
          <w:p>
            <w:pPr>
              <w:spacing/>
            </w:pPr>
            <w:r>
              <w:rPr>
                <w:rFonts w:ascii="IBM Plex Sans" w:cs="IBM Plex Sans" w:eastAsia="IBM Plex Sans" w:hAnsi="IBM Plex Sans"/>
                <w:color w:val="1F2937"/>
                <w:sz w:val="18"/>
                <w:szCs w:val="18"/>
              </w:rPr>
              <w:t xml:space="preserve">0800 111 2222</w:t>
            </w:r>
          </w:p>
        </w:tc>
      </w:tr>
      <w:tr>
        <w:trPr>
          <w:cantSplit/>
        </w:trPr>
        <w:tc>
          <w:tcPr>
            <w:tcW w:type="pct" w:w="38%"/>
            <w:tcBorders>
              <w:top w:val="single" w:color="EEF2F7" w:sz="4"/>
              <w:left w:val="single" w:color="EEF2F7" w:sz="4"/>
              <w:bottom w:val="single" w:color="EEF2F7" w:sz="4"/>
              <w:right w:val="single" w:color="EEF2F7" w:sz="4"/>
            </w:tcBorders>
            <w:shd w:fill="F7F9FC" w:color="auto" w:val="clear"/>
            <w:tcMar>
              <w:top w:type="dxa" w:w="100"/>
              <w:left w:type="dxa" w:w="140"/>
              <w:bottom w:type="dxa" w:w="100"/>
              <w:right w:type="dxa" w:w="140"/>
            </w:tcMar>
          </w:tcPr>
          <w:p>
            <w:pPr>
              <w:spacing/>
            </w:pPr>
            <w:r>
              <w:rPr>
                <w:rFonts w:ascii="IBM Plex Sans" w:cs="IBM Plex Sans" w:eastAsia="IBM Plex Sans" w:hAnsi="IBM Plex Sans"/>
                <w:b/>
                <w:bCs/>
                <w:color w:val="13315C"/>
                <w:sz w:val="18"/>
                <w:szCs w:val="18"/>
              </w:rPr>
              <w:t xml:space="preserve">Email</w:t>
            </w:r>
          </w:p>
        </w:tc>
        <w:tc>
          <w:tcPr>
            <w:tcW w:type="pct" w:w="62%"/>
            <w:tcBorders>
              <w:top w:val="single" w:color="EEF2F7" w:sz="4"/>
              <w:left w:val="single" w:color="EEF2F7" w:sz="4"/>
              <w:bottom w:val="single" w:color="EEF2F7" w:sz="4"/>
              <w:right w:val="single" w:color="EEF2F7" w:sz="4"/>
            </w:tcBorders>
            <w:tcMar>
              <w:top w:type="dxa" w:w="100"/>
              <w:left w:type="dxa" w:w="140"/>
              <w:bottom w:type="dxa" w:w="100"/>
              <w:right w:type="dxa" w:w="140"/>
            </w:tcMar>
          </w:tcPr>
          <w:p>
            <w:pPr>
              <w:spacing/>
            </w:pPr>
            <w:r>
              <w:rPr>
                <w:rFonts w:ascii="IBM Plex Sans" w:cs="IBM Plex Sans" w:eastAsia="IBM Plex Sans" w:hAnsi="IBM Plex Sans"/>
                <w:color w:val="1F2937"/>
                <w:sz w:val="18"/>
                <w:szCs w:val="18"/>
              </w:rPr>
              <w:t xml:space="preserve">incident@acme.example</w:t>
            </w:r>
          </w:p>
        </w:tc>
      </w:tr>
      <w:tr>
        <w:trPr>
          <w:cantSplit/>
        </w:trPr>
        <w:tc>
          <w:tcPr>
            <w:tcW w:type="pct" w:w="38%"/>
            <w:tcBorders>
              <w:top w:val="single" w:color="EEF2F7" w:sz="4"/>
              <w:left w:val="single" w:color="EEF2F7" w:sz="4"/>
              <w:bottom w:val="single" w:color="EEF2F7" w:sz="4"/>
              <w:right w:val="single" w:color="EEF2F7" w:sz="4"/>
            </w:tcBorders>
            <w:shd w:fill="F7F9FC" w:color="auto" w:val="clear"/>
            <w:tcMar>
              <w:top w:type="dxa" w:w="100"/>
              <w:left w:type="dxa" w:w="140"/>
              <w:bottom w:type="dxa" w:w="100"/>
              <w:right w:type="dxa" w:w="140"/>
            </w:tcMar>
          </w:tcPr>
          <w:p>
            <w:pPr>
              <w:spacing/>
            </w:pPr>
            <w:r>
              <w:rPr>
                <w:rFonts w:ascii="IBM Plex Sans" w:cs="IBM Plex Sans" w:eastAsia="IBM Plex Sans" w:hAnsi="IBM Plex Sans"/>
                <w:b/>
                <w:bCs/>
                <w:color w:val="13315C"/>
                <w:sz w:val="18"/>
                <w:szCs w:val="18"/>
              </w:rPr>
              <w:t xml:space="preserve">Out-of-hours / emergency</w:t>
            </w:r>
          </w:p>
        </w:tc>
        <w:tc>
          <w:tcPr>
            <w:tcW w:type="pct" w:w="62%"/>
            <w:tcBorders>
              <w:top w:val="single" w:color="EEF2F7" w:sz="4"/>
              <w:left w:val="single" w:color="EEF2F7" w:sz="4"/>
              <w:bottom w:val="single" w:color="EEF2F7" w:sz="4"/>
              <w:right w:val="single" w:color="EEF2F7" w:sz="4"/>
            </w:tcBorders>
            <w:tcMar>
              <w:top w:type="dxa" w:w="100"/>
              <w:left w:type="dxa" w:w="140"/>
              <w:bottom w:type="dxa" w:w="100"/>
              <w:right w:type="dxa" w:w="140"/>
            </w:tcMar>
          </w:tcPr>
          <w:p>
            <w:pPr>
              <w:spacing/>
            </w:pPr>
            <w:r>
              <w:rPr>
                <w:rFonts w:ascii="IBM Plex Sans" w:cs="IBM Plex Sans" w:eastAsia="IBM Plex Sans" w:hAnsi="IBM Plex Sans"/>
                <w:color w:val="1F2937"/>
                <w:sz w:val="18"/>
                <w:szCs w:val="18"/>
              </w:rPr>
              <w:t xml:space="preserve">0800 111 3333</w:t>
            </w:r>
          </w:p>
        </w:tc>
      </w:tr>
    </w:tbl>
    <w:p>
      <w:pPr>
        <w:pStyle w:val="Heading3"/>
      </w:pPr>
      <w:r>
        <w:t xml:space="preserve">3.2 UK reporting routes</w:t>
      </w:r>
    </w:p>
    <w:tbl>
      <w:tblPr>
        <w:tblW w:type="pct" w:w="100%"/>
        <w:tblBorders>
          <w:top w:val="single" w:color="EEF2F7" w:sz="4"/>
          <w:left w:val="single" w:color="EEF2F7" w:sz="4"/>
          <w:bottom w:val="single" w:color="EEF2F7" w:sz="4"/>
          <w:right w:val="single" w:color="EEF2F7" w:sz="4"/>
          <w:insideH w:val="single" w:color="EEF2F7" w:sz="4"/>
          <w:insideV w:val="single" w:color="EEF2F7" w:sz="4"/>
        </w:tblBorders>
      </w:tblPr>
      <w:tblGrid>
        <w:gridCol w:w="100"/>
        <w:gridCol w:w="100"/>
      </w:tblGrid>
      <w:tr>
        <w:trPr>
          <w:cantSplit/>
        </w:trPr>
        <w:tc>
          <w:tcPr>
            <w:tcW w:type="pct" w:w="38%"/>
            <w:tcBorders>
              <w:top w:val="single" w:color="EEF2F7" w:sz="4"/>
              <w:left w:val="single" w:color="EEF2F7" w:sz="4"/>
              <w:bottom w:val="single" w:color="EEF2F7" w:sz="4"/>
              <w:right w:val="single" w:color="EEF2F7" w:sz="4"/>
            </w:tcBorders>
            <w:shd w:fill="F7F9FC" w:color="auto" w:val="clear"/>
            <w:tcMar>
              <w:top w:type="dxa" w:w="100"/>
              <w:left w:type="dxa" w:w="140"/>
              <w:bottom w:type="dxa" w:w="100"/>
              <w:right w:type="dxa" w:w="140"/>
            </w:tcMar>
          </w:tcPr>
          <w:p>
            <w:pPr>
              <w:spacing/>
            </w:pPr>
            <w:r>
              <w:rPr>
                <w:rFonts w:ascii="IBM Plex Sans" w:cs="IBM Plex Sans" w:eastAsia="IBM Plex Sans" w:hAnsi="IBM Plex Sans"/>
                <w:b/>
                <w:bCs/>
                <w:color w:val="13315C"/>
                <w:sz w:val="18"/>
                <w:szCs w:val="18"/>
              </w:rPr>
              <w:t xml:space="preserve">NCSC</w:t>
            </w:r>
          </w:p>
        </w:tc>
        <w:tc>
          <w:tcPr>
            <w:tcW w:type="pct" w:w="62%"/>
            <w:tcBorders>
              <w:top w:val="single" w:color="EEF2F7" w:sz="4"/>
              <w:left w:val="single" w:color="EEF2F7" w:sz="4"/>
              <w:bottom w:val="single" w:color="EEF2F7" w:sz="4"/>
              <w:right w:val="single" w:color="EEF2F7" w:sz="4"/>
            </w:tcBorders>
            <w:tcMar>
              <w:top w:type="dxa" w:w="100"/>
              <w:left w:type="dxa" w:w="140"/>
              <w:bottom w:type="dxa" w:w="100"/>
              <w:right w:type="dxa" w:w="140"/>
            </w:tcMar>
          </w:tcPr>
          <w:p>
            <w:pPr>
              <w:spacing/>
            </w:pPr>
            <w:r>
              <w:rPr>
                <w:rFonts w:ascii="IBM Plex Sans" w:cs="IBM Plex Sans" w:eastAsia="IBM Plex Sans" w:hAnsi="IBM Plex Sans"/>
                <w:color w:val="1F2937"/>
                <w:sz w:val="18"/>
                <w:szCs w:val="18"/>
              </w:rPr>
              <w:t xml:space="preserve">https://www.ncsc.gov.uk/section/about-this-website/contact-us</w:t>
            </w:r>
          </w:p>
        </w:tc>
      </w:tr>
      <w:tr>
        <w:trPr>
          <w:cantSplit/>
        </w:trPr>
        <w:tc>
          <w:tcPr>
            <w:tcW w:type="pct" w:w="38%"/>
            <w:tcBorders>
              <w:top w:val="single" w:color="EEF2F7" w:sz="4"/>
              <w:left w:val="single" w:color="EEF2F7" w:sz="4"/>
              <w:bottom w:val="single" w:color="EEF2F7" w:sz="4"/>
              <w:right w:val="single" w:color="EEF2F7" w:sz="4"/>
            </w:tcBorders>
            <w:shd w:fill="F7F9FC" w:color="auto" w:val="clear"/>
            <w:tcMar>
              <w:top w:type="dxa" w:w="100"/>
              <w:left w:type="dxa" w:w="140"/>
              <w:bottom w:type="dxa" w:w="100"/>
              <w:right w:type="dxa" w:w="140"/>
            </w:tcMar>
          </w:tcPr>
          <w:p>
            <w:pPr>
              <w:spacing/>
            </w:pPr>
            <w:r>
              <w:rPr>
                <w:rFonts w:ascii="IBM Plex Sans" w:cs="IBM Plex Sans" w:eastAsia="IBM Plex Sans" w:hAnsi="IBM Plex Sans"/>
                <w:b/>
                <w:bCs/>
                <w:color w:val="13315C"/>
                <w:sz w:val="18"/>
                <w:szCs w:val="18"/>
              </w:rPr>
              <w:t xml:space="preserve">Action Fraud</w:t>
            </w:r>
          </w:p>
        </w:tc>
        <w:tc>
          <w:tcPr>
            <w:tcW w:type="pct" w:w="62%"/>
            <w:tcBorders>
              <w:top w:val="single" w:color="EEF2F7" w:sz="4"/>
              <w:left w:val="single" w:color="EEF2F7" w:sz="4"/>
              <w:bottom w:val="single" w:color="EEF2F7" w:sz="4"/>
              <w:right w:val="single" w:color="EEF2F7" w:sz="4"/>
            </w:tcBorders>
            <w:tcMar>
              <w:top w:type="dxa" w:w="100"/>
              <w:left w:type="dxa" w:w="140"/>
              <w:bottom w:type="dxa" w:w="100"/>
              <w:right w:type="dxa" w:w="140"/>
            </w:tcMar>
          </w:tcPr>
          <w:p>
            <w:pPr>
              <w:spacing/>
            </w:pPr>
            <w:r>
              <w:rPr>
                <w:rFonts w:ascii="IBM Plex Sans" w:cs="IBM Plex Sans" w:eastAsia="IBM Plex Sans" w:hAnsi="IBM Plex Sans"/>
                <w:color w:val="1F2937"/>
                <w:sz w:val="18"/>
                <w:szCs w:val="18"/>
              </w:rPr>
              <w:t xml:space="preserve">0300 123 2040</w:t>
            </w:r>
          </w:p>
        </w:tc>
      </w:tr>
      <w:tr>
        <w:trPr>
          <w:cantSplit/>
        </w:trPr>
        <w:tc>
          <w:tcPr>
            <w:tcW w:type="pct" w:w="38%"/>
            <w:tcBorders>
              <w:top w:val="single" w:color="EEF2F7" w:sz="4"/>
              <w:left w:val="single" w:color="EEF2F7" w:sz="4"/>
              <w:bottom w:val="single" w:color="EEF2F7" w:sz="4"/>
              <w:right w:val="single" w:color="EEF2F7" w:sz="4"/>
            </w:tcBorders>
            <w:shd w:fill="F7F9FC" w:color="auto" w:val="clear"/>
            <w:tcMar>
              <w:top w:type="dxa" w:w="100"/>
              <w:left w:type="dxa" w:w="140"/>
              <w:bottom w:type="dxa" w:w="100"/>
              <w:right w:type="dxa" w:w="140"/>
            </w:tcMar>
          </w:tcPr>
          <w:p>
            <w:pPr>
              <w:spacing/>
            </w:pPr>
            <w:r>
              <w:rPr>
                <w:rFonts w:ascii="IBM Plex Sans" w:cs="IBM Plex Sans" w:eastAsia="IBM Plex Sans" w:hAnsi="IBM Plex Sans"/>
                <w:b/>
                <w:bCs/>
                <w:color w:val="13315C"/>
                <w:sz w:val="18"/>
                <w:szCs w:val="18"/>
              </w:rPr>
              <w:t xml:space="preserve">ICO (Information Commissioner's Office)</w:t>
            </w:r>
          </w:p>
        </w:tc>
        <w:tc>
          <w:tcPr>
            <w:tcW w:type="pct" w:w="62%"/>
            <w:tcBorders>
              <w:top w:val="single" w:color="EEF2F7" w:sz="4"/>
              <w:left w:val="single" w:color="EEF2F7" w:sz="4"/>
              <w:bottom w:val="single" w:color="EEF2F7" w:sz="4"/>
              <w:right w:val="single" w:color="EEF2F7" w:sz="4"/>
            </w:tcBorders>
            <w:tcMar>
              <w:top w:type="dxa" w:w="100"/>
              <w:left w:type="dxa" w:w="140"/>
              <w:bottom w:type="dxa" w:w="100"/>
              <w:right w:type="dxa" w:w="140"/>
            </w:tcMar>
          </w:tcPr>
          <w:p>
            <w:pPr>
              <w:spacing/>
            </w:pPr>
            <w:r>
              <w:rPr>
                <w:rFonts w:ascii="IBM Plex Sans" w:cs="IBM Plex Sans" w:eastAsia="IBM Plex Sans" w:hAnsi="IBM Plex Sans"/>
                <w:color w:val="1F2937"/>
                <w:sz w:val="18"/>
                <w:szCs w:val="18"/>
              </w:rPr>
              <w:t xml:space="preserve">0303 123 1113</w:t>
            </w:r>
          </w:p>
        </w:tc>
      </w:tr>
      <w:tr>
        <w:trPr>
          <w:cantSplit/>
        </w:trPr>
        <w:tc>
          <w:tcPr>
            <w:tcW w:type="pct" w:w="38%"/>
            <w:tcBorders>
              <w:top w:val="single" w:color="EEF2F7" w:sz="4"/>
              <w:left w:val="single" w:color="EEF2F7" w:sz="4"/>
              <w:bottom w:val="single" w:color="EEF2F7" w:sz="4"/>
              <w:right w:val="single" w:color="EEF2F7" w:sz="4"/>
            </w:tcBorders>
            <w:shd w:fill="F7F9FC" w:color="auto" w:val="clear"/>
            <w:tcMar>
              <w:top w:type="dxa" w:w="100"/>
              <w:left w:type="dxa" w:w="140"/>
              <w:bottom w:type="dxa" w:w="100"/>
              <w:right w:type="dxa" w:w="140"/>
            </w:tcMar>
          </w:tcPr>
          <w:p>
            <w:pPr>
              <w:spacing/>
            </w:pPr>
            <w:r>
              <w:rPr>
                <w:rFonts w:ascii="IBM Plex Sans" w:cs="IBM Plex Sans" w:eastAsia="IBM Plex Sans" w:hAnsi="IBM Plex Sans"/>
                <w:b/>
                <w:bCs/>
                <w:color w:val="13315C"/>
                <w:sz w:val="18"/>
                <w:szCs w:val="18"/>
              </w:rPr>
              <w:t xml:space="preserve">Welsh Gov / consortium digital education contact</w:t>
            </w:r>
          </w:p>
        </w:tc>
        <w:tc>
          <w:tcPr>
            <w:tcW w:type="pct" w:w="62%"/>
            <w:tcBorders>
              <w:top w:val="single" w:color="EEF2F7" w:sz="4"/>
              <w:left w:val="single" w:color="EEF2F7" w:sz="4"/>
              <w:bottom w:val="single" w:color="EEF2F7" w:sz="4"/>
              <w:right w:val="single" w:color="EEF2F7" w:sz="4"/>
            </w:tcBorders>
            <w:tcMar>
              <w:top w:type="dxa" w:w="100"/>
              <w:left w:type="dxa" w:w="140"/>
              <w:bottom w:type="dxa" w:w="100"/>
              <w:right w:type="dxa" w:w="140"/>
            </w:tcMar>
          </w:tcPr>
          <w:p>
            <w:pPr>
              <w:spacing/>
            </w:pPr>
            <w:r>
              <w:rPr>
                <w:rFonts w:ascii="IBM Plex Sans" w:cs="IBM Plex Sans" w:eastAsia="IBM Plex Sans" w:hAnsi="IBM Plex Sans"/>
                <w:color w:val="1F2937"/>
                <w:sz w:val="18"/>
                <w:szCs w:val="18"/>
              </w:rPr>
              <w:t xml:space="preserve">Welsh Government digital education contact</w:t>
            </w:r>
          </w:p>
        </w:tc>
      </w:tr>
      <w:tr>
        <w:trPr>
          <w:cantSplit/>
        </w:trPr>
        <w:tc>
          <w:tcPr>
            <w:tcW w:type="pct" w:w="38%"/>
            <w:tcBorders>
              <w:top w:val="single" w:color="EEF2F7" w:sz="4"/>
              <w:left w:val="single" w:color="EEF2F7" w:sz="4"/>
              <w:bottom w:val="single" w:color="EEF2F7" w:sz="4"/>
              <w:right w:val="single" w:color="EEF2F7" w:sz="4"/>
            </w:tcBorders>
            <w:shd w:fill="F7F9FC" w:color="auto" w:val="clear"/>
            <w:tcMar>
              <w:top w:type="dxa" w:w="100"/>
              <w:left w:type="dxa" w:w="140"/>
              <w:bottom w:type="dxa" w:w="100"/>
              <w:right w:type="dxa" w:w="140"/>
            </w:tcMar>
          </w:tcPr>
          <w:p>
            <w:pPr>
              <w:spacing/>
            </w:pPr>
            <w:r>
              <w:rPr>
                <w:rFonts w:ascii="IBM Plex Sans" w:cs="IBM Plex Sans" w:eastAsia="IBM Plex Sans" w:hAnsi="IBM Plex Sans"/>
                <w:b/>
                <w:bCs/>
                <w:color w:val="13315C"/>
                <w:sz w:val="18"/>
                <w:szCs w:val="18"/>
              </w:rPr>
              <w:t xml:space="preserve">ROCU Cyber PROTECT (TARIAN / NWROCU)</w:t>
            </w:r>
          </w:p>
        </w:tc>
        <w:tc>
          <w:tcPr>
            <w:tcW w:type="pct" w:w="62%"/>
            <w:tcBorders>
              <w:top w:val="single" w:color="EEF2F7" w:sz="4"/>
              <w:left w:val="single" w:color="EEF2F7" w:sz="4"/>
              <w:bottom w:val="single" w:color="EEF2F7" w:sz="4"/>
              <w:right w:val="single" w:color="EEF2F7" w:sz="4"/>
            </w:tcBorders>
            <w:tcMar>
              <w:top w:type="dxa" w:w="100"/>
              <w:left w:type="dxa" w:w="140"/>
              <w:bottom w:type="dxa" w:w="100"/>
              <w:right w:type="dxa" w:w="140"/>
            </w:tcMar>
          </w:tcPr>
          <w:p>
            <w:pPr>
              <w:spacing/>
            </w:pPr>
            <w:r>
              <w:rPr>
                <w:rFonts w:ascii="IBM Plex Sans" w:cs="IBM Plex Sans" w:eastAsia="IBM Plex Sans" w:hAnsi="IBM Plex Sans"/>
                <w:color w:val="1F2937"/>
                <w:sz w:val="18"/>
                <w:szCs w:val="18"/>
              </w:rPr>
              <w:t xml:space="preserve">TARIAN ROCU Cyber PROTECT</w:t>
            </w:r>
          </w:p>
        </w:tc>
      </w:tr>
    </w:tbl>
    <w:p>
      <w:pPr>
        <w:pStyle w:val="Heading3"/>
      </w:pPr>
      <w:r>
        <w:t xml:space="preserve">3.3 Insurance &amp; cover</w:t>
      </w:r>
    </w:p>
    <w:tbl>
      <w:tblPr>
        <w:tblW w:type="pct" w:w="100%"/>
        <w:tblBorders>
          <w:top w:val="single" w:color="EEF2F7" w:sz="4"/>
          <w:left w:val="single" w:color="EEF2F7" w:sz="4"/>
          <w:bottom w:val="single" w:color="EEF2F7" w:sz="4"/>
          <w:right w:val="single" w:color="EEF2F7" w:sz="4"/>
          <w:insideH w:val="single" w:color="EEF2F7" w:sz="4"/>
          <w:insideV w:val="single" w:color="EEF2F7" w:sz="4"/>
        </w:tblBorders>
      </w:tblPr>
      <w:tblGrid>
        <w:gridCol w:w="100"/>
        <w:gridCol w:w="100"/>
      </w:tblGrid>
      <w:tr>
        <w:trPr>
          <w:cantSplit/>
        </w:trPr>
        <w:tc>
          <w:tcPr>
            <w:tcW w:type="pct" w:w="38%"/>
            <w:tcBorders>
              <w:top w:val="single" w:color="EEF2F7" w:sz="4"/>
              <w:left w:val="single" w:color="EEF2F7" w:sz="4"/>
              <w:bottom w:val="single" w:color="EEF2F7" w:sz="4"/>
              <w:right w:val="single" w:color="EEF2F7" w:sz="4"/>
            </w:tcBorders>
            <w:shd w:fill="F7F9FC" w:color="auto" w:val="clear"/>
            <w:tcMar>
              <w:top w:type="dxa" w:w="100"/>
              <w:left w:type="dxa" w:w="140"/>
              <w:bottom w:type="dxa" w:w="100"/>
              <w:right w:type="dxa" w:w="140"/>
            </w:tcMar>
          </w:tcPr>
          <w:p>
            <w:pPr>
              <w:spacing/>
            </w:pPr>
            <w:r>
              <w:rPr>
                <w:rFonts w:ascii="IBM Plex Sans" w:cs="IBM Plex Sans" w:eastAsia="IBM Plex Sans" w:hAnsi="IBM Plex Sans"/>
                <w:b/>
                <w:bCs/>
                <w:color w:val="13315C"/>
                <w:sz w:val="18"/>
                <w:szCs w:val="18"/>
              </w:rPr>
              <w:t xml:space="preserve">Local authority cyber cover / insurance arrangement</w:t>
            </w:r>
          </w:p>
        </w:tc>
        <w:tc>
          <w:tcPr>
            <w:tcW w:type="pct" w:w="62%"/>
            <w:tcBorders>
              <w:top w:val="single" w:color="EEF2F7" w:sz="4"/>
              <w:left w:val="single" w:color="EEF2F7" w:sz="4"/>
              <w:bottom w:val="single" w:color="EEF2F7" w:sz="4"/>
              <w:right w:val="single" w:color="EEF2F7" w:sz="4"/>
            </w:tcBorders>
            <w:tcMar>
              <w:top w:type="dxa" w:w="100"/>
              <w:left w:type="dxa" w:w="140"/>
              <w:bottom w:type="dxa" w:w="100"/>
              <w:right w:type="dxa" w:w="140"/>
            </w:tcMar>
          </w:tcPr>
          <w:p>
            <w:pPr>
              <w:spacing/>
            </w:pPr>
            <w:r>
              <w:rPr>
                <w:rFonts w:ascii="IBM Plex Sans" w:cs="IBM Plex Sans" w:eastAsia="IBM Plex Sans" w:hAnsi="IBM Plex Sans"/>
                <w:color w:val="1F2937"/>
                <w:sz w:val="18"/>
                <w:szCs w:val="18"/>
              </w:rPr>
              <w:t xml:space="preserve">0800 368 6378</w:t>
            </w:r>
          </w:p>
        </w:tc>
      </w:tr>
      <w:tr>
        <w:trPr>
          <w:cantSplit/>
        </w:trPr>
        <w:tc>
          <w:tcPr>
            <w:tcW w:type="pct" w:w="38%"/>
            <w:tcBorders>
              <w:top w:val="single" w:color="EEF2F7" w:sz="4"/>
              <w:left w:val="single" w:color="EEF2F7" w:sz="4"/>
              <w:bottom w:val="single" w:color="EEF2F7" w:sz="4"/>
              <w:right w:val="single" w:color="EEF2F7" w:sz="4"/>
            </w:tcBorders>
            <w:shd w:fill="F7F9FC" w:color="auto" w:val="clear"/>
            <w:tcMar>
              <w:top w:type="dxa" w:w="100"/>
              <w:left w:type="dxa" w:w="140"/>
              <w:bottom w:type="dxa" w:w="100"/>
              <w:right w:type="dxa" w:w="140"/>
            </w:tcMar>
          </w:tcPr>
          <w:p>
            <w:pPr>
              <w:spacing/>
            </w:pPr>
            <w:r>
              <w:rPr>
                <w:rFonts w:ascii="IBM Plex Sans" w:cs="IBM Plex Sans" w:eastAsia="IBM Plex Sans" w:hAnsi="IBM Plex Sans"/>
                <w:b/>
                <w:bCs/>
                <w:color w:val="13315C"/>
                <w:sz w:val="18"/>
                <w:szCs w:val="18"/>
              </w:rPr>
              <w:t xml:space="preserve">Cyber insurance (commercial)</w:t>
            </w:r>
          </w:p>
        </w:tc>
        <w:tc>
          <w:tcPr>
            <w:tcW w:type="pct" w:w="62%"/>
            <w:tcBorders>
              <w:top w:val="single" w:color="EEF2F7" w:sz="4"/>
              <w:left w:val="single" w:color="EEF2F7" w:sz="4"/>
              <w:bottom w:val="single" w:color="EEF2F7" w:sz="4"/>
              <w:right w:val="single" w:color="EEF2F7" w:sz="4"/>
            </w:tcBorders>
            <w:tcMar>
              <w:top w:type="dxa" w:w="100"/>
              <w:left w:type="dxa" w:w="140"/>
              <w:bottom w:type="dxa" w:w="100"/>
              <w:right w:type="dxa" w:w="140"/>
            </w:tcMar>
          </w:tcPr>
          <w:p>
            <w:pPr>
              <w:spacing/>
            </w:pPr>
            <w:r>
              <w:rPr>
                <w:rFonts w:ascii="IBM Plex Sans" w:cs="IBM Plex Sans" w:eastAsia="IBM Plex Sans" w:hAnsi="IBM Plex Sans"/>
                <w:color w:val="1F2937"/>
                <w:sz w:val="18"/>
                <w:szCs w:val="18"/>
              </w:rPr>
              <w:t xml:space="preserve">[to be completed]</w:t>
            </w:r>
          </w:p>
        </w:tc>
      </w:tr>
    </w:tbl>
    <w:p>
      <w:pPr>
        <w:pStyle w:val="Heading3"/>
      </w:pPr>
      <w:r>
        <w:t xml:space="preserve">3.4 Other key contacts</w:t>
      </w:r>
    </w:p>
    <w:tbl>
      <w:tblPr>
        <w:tblW w:type="pct" w:w="100%"/>
        <w:tblBorders>
          <w:top w:val="single" w:color="EEF2F7" w:sz="4"/>
          <w:left w:val="single" w:color="EEF2F7" w:sz="4"/>
          <w:bottom w:val="single" w:color="EEF2F7" w:sz="4"/>
          <w:right w:val="single" w:color="EEF2F7" w:sz="4"/>
          <w:insideH w:val="single" w:color="EEF2F7" w:sz="4"/>
          <w:insideV w:val="single" w:color="EEF2F7" w:sz="4"/>
        </w:tblBorders>
      </w:tblPr>
      <w:tblGrid>
        <w:gridCol w:w="100"/>
        <w:gridCol w:w="100"/>
      </w:tblGrid>
      <w:tr>
        <w:trPr>
          <w:cantSplit/>
        </w:trPr>
        <w:tc>
          <w:tcPr>
            <w:tcW w:type="pct" w:w="38%"/>
            <w:tcBorders>
              <w:top w:val="single" w:color="EEF2F7" w:sz="4"/>
              <w:left w:val="single" w:color="EEF2F7" w:sz="4"/>
              <w:bottom w:val="single" w:color="EEF2F7" w:sz="4"/>
              <w:right w:val="single" w:color="EEF2F7" w:sz="4"/>
            </w:tcBorders>
            <w:shd w:fill="F7F9FC" w:color="auto" w:val="clear"/>
            <w:tcMar>
              <w:top w:type="dxa" w:w="100"/>
              <w:left w:type="dxa" w:w="140"/>
              <w:bottom w:type="dxa" w:w="100"/>
              <w:right w:type="dxa" w:w="140"/>
            </w:tcMar>
          </w:tcPr>
          <w:p>
            <w:pPr>
              <w:spacing/>
            </w:pPr>
            <w:r>
              <w:rPr>
                <w:rFonts w:ascii="IBM Plex Sans" w:cs="IBM Plex Sans" w:eastAsia="IBM Plex Sans" w:hAnsi="IBM Plex Sans"/>
                <w:b/>
                <w:bCs/>
                <w:color w:val="13315C"/>
                <w:sz w:val="18"/>
                <w:szCs w:val="18"/>
              </w:rPr>
              <w:t xml:space="preserve">Local authority</w:t>
            </w:r>
          </w:p>
        </w:tc>
        <w:tc>
          <w:tcPr>
            <w:tcW w:type="pct" w:w="62%"/>
            <w:tcBorders>
              <w:top w:val="single" w:color="EEF2F7" w:sz="4"/>
              <w:left w:val="single" w:color="EEF2F7" w:sz="4"/>
              <w:bottom w:val="single" w:color="EEF2F7" w:sz="4"/>
              <w:right w:val="single" w:color="EEF2F7" w:sz="4"/>
            </w:tcBorders>
            <w:tcMar>
              <w:top w:type="dxa" w:w="100"/>
              <w:left w:type="dxa" w:w="140"/>
              <w:bottom w:type="dxa" w:w="100"/>
              <w:right w:type="dxa" w:w="140"/>
            </w:tcMar>
          </w:tcPr>
          <w:p>
            <w:pPr>
              <w:spacing/>
            </w:pPr>
            <w:r>
              <w:rPr>
                <w:rFonts w:ascii="IBM Plex Sans" w:cs="IBM Plex Sans" w:eastAsia="IBM Plex Sans" w:hAnsi="IBM Plex Sans"/>
                <w:color w:val="1F2937"/>
                <w:sz w:val="18"/>
                <w:szCs w:val="18"/>
              </w:rPr>
              <w:t xml:space="preserve">Anytown County Council</w:t>
            </w:r>
          </w:p>
        </w:tc>
      </w:tr>
      <w:tr>
        <w:trPr>
          <w:cantSplit/>
        </w:trPr>
        <w:tc>
          <w:tcPr>
            <w:tcW w:type="pct" w:w="38%"/>
            <w:tcBorders>
              <w:top w:val="single" w:color="EEF2F7" w:sz="4"/>
              <w:left w:val="single" w:color="EEF2F7" w:sz="4"/>
              <w:bottom w:val="single" w:color="EEF2F7" w:sz="4"/>
              <w:right w:val="single" w:color="EEF2F7" w:sz="4"/>
            </w:tcBorders>
            <w:shd w:fill="F7F9FC" w:color="auto" w:val="clear"/>
            <w:tcMar>
              <w:top w:type="dxa" w:w="100"/>
              <w:left w:type="dxa" w:w="140"/>
              <w:bottom w:type="dxa" w:w="100"/>
              <w:right w:type="dxa" w:w="140"/>
            </w:tcMar>
          </w:tcPr>
          <w:p>
            <w:pPr>
              <w:spacing/>
            </w:pPr>
            <w:r>
              <w:rPr>
                <w:rFonts w:ascii="IBM Plex Sans" w:cs="IBM Plex Sans" w:eastAsia="IBM Plex Sans" w:hAnsi="IBM Plex Sans"/>
                <w:b/>
                <w:bCs/>
                <w:color w:val="13315C"/>
                <w:sz w:val="18"/>
                <w:szCs w:val="18"/>
              </w:rPr>
              <w:t xml:space="preserve">MIS supplier</w:t>
            </w:r>
          </w:p>
        </w:tc>
        <w:tc>
          <w:tcPr>
            <w:tcW w:type="pct" w:w="62%"/>
            <w:tcBorders>
              <w:top w:val="single" w:color="EEF2F7" w:sz="4"/>
              <w:left w:val="single" w:color="EEF2F7" w:sz="4"/>
              <w:bottom w:val="single" w:color="EEF2F7" w:sz="4"/>
              <w:right w:val="single" w:color="EEF2F7" w:sz="4"/>
            </w:tcBorders>
            <w:tcMar>
              <w:top w:type="dxa" w:w="100"/>
              <w:left w:type="dxa" w:w="140"/>
              <w:bottom w:type="dxa" w:w="100"/>
              <w:right w:type="dxa" w:w="140"/>
            </w:tcMar>
          </w:tcPr>
          <w:p>
            <w:pPr>
              <w:spacing/>
            </w:pPr>
            <w:r>
              <w:rPr>
                <w:rFonts w:ascii="IBM Plex Sans" w:cs="IBM Plex Sans" w:eastAsia="IBM Plex Sans" w:hAnsi="IBM Plex Sans"/>
                <w:color w:val="1F2937"/>
                <w:sz w:val="18"/>
                <w:szCs w:val="18"/>
              </w:rPr>
              <w:t xml:space="preserve">Capita SIMS</w:t>
            </w:r>
          </w:p>
        </w:tc>
      </w:tr>
      <w:tr>
        <w:trPr>
          <w:cantSplit/>
        </w:trPr>
        <w:tc>
          <w:tcPr>
            <w:tcW w:type="pct" w:w="38%"/>
            <w:tcBorders>
              <w:top w:val="single" w:color="EEF2F7" w:sz="4"/>
              <w:left w:val="single" w:color="EEF2F7" w:sz="4"/>
              <w:bottom w:val="single" w:color="EEF2F7" w:sz="4"/>
              <w:right w:val="single" w:color="EEF2F7" w:sz="4"/>
            </w:tcBorders>
            <w:shd w:fill="F7F9FC" w:color="auto" w:val="clear"/>
            <w:tcMar>
              <w:top w:type="dxa" w:w="100"/>
              <w:left w:type="dxa" w:w="140"/>
              <w:bottom w:type="dxa" w:w="100"/>
              <w:right w:type="dxa" w:w="140"/>
            </w:tcMar>
          </w:tcPr>
          <w:p>
            <w:pPr>
              <w:spacing/>
            </w:pPr>
            <w:r>
              <w:rPr>
                <w:rFonts w:ascii="IBM Plex Sans" w:cs="IBM Plex Sans" w:eastAsia="IBM Plex Sans" w:hAnsi="IBM Plex Sans"/>
                <w:b/>
                <w:bCs/>
                <w:color w:val="13315C"/>
                <w:sz w:val="18"/>
                <w:szCs w:val="18"/>
              </w:rPr>
              <w:t xml:space="preserve">Broadband / connectivity</w:t>
            </w:r>
          </w:p>
        </w:tc>
        <w:tc>
          <w:tcPr>
            <w:tcW w:type="pct" w:w="62%"/>
            <w:tcBorders>
              <w:top w:val="single" w:color="EEF2F7" w:sz="4"/>
              <w:left w:val="single" w:color="EEF2F7" w:sz="4"/>
              <w:bottom w:val="single" w:color="EEF2F7" w:sz="4"/>
              <w:right w:val="single" w:color="EEF2F7" w:sz="4"/>
            </w:tcBorders>
            <w:tcMar>
              <w:top w:type="dxa" w:w="100"/>
              <w:left w:type="dxa" w:w="140"/>
              <w:bottom w:type="dxa" w:w="100"/>
              <w:right w:type="dxa" w:w="140"/>
            </w:tcMar>
          </w:tcPr>
          <w:p>
            <w:pPr>
              <w:spacing/>
            </w:pPr>
            <w:r>
              <w:rPr>
                <w:rFonts w:ascii="IBM Plex Sans" w:cs="IBM Plex Sans" w:eastAsia="IBM Plex Sans" w:hAnsi="IBM Plex Sans"/>
                <w:color w:val="1F2937"/>
                <w:sz w:val="18"/>
                <w:szCs w:val="18"/>
              </w:rPr>
              <w:t xml:space="preserve">Schools Broadband Ltd</w:t>
            </w:r>
          </w:p>
        </w:tc>
      </w:tr>
      <w:tr>
        <w:trPr>
          <w:cantSplit/>
        </w:trPr>
        <w:tc>
          <w:tcPr>
            <w:tcW w:type="pct" w:w="38%"/>
            <w:tcBorders>
              <w:top w:val="single" w:color="EEF2F7" w:sz="4"/>
              <w:left w:val="single" w:color="EEF2F7" w:sz="4"/>
              <w:bottom w:val="single" w:color="EEF2F7" w:sz="4"/>
              <w:right w:val="single" w:color="EEF2F7" w:sz="4"/>
            </w:tcBorders>
            <w:shd w:fill="F7F9FC" w:color="auto" w:val="clear"/>
            <w:tcMar>
              <w:top w:type="dxa" w:w="100"/>
              <w:left w:type="dxa" w:w="140"/>
              <w:bottom w:type="dxa" w:w="100"/>
              <w:right w:type="dxa" w:w="140"/>
            </w:tcMar>
          </w:tcPr>
          <w:p>
            <w:pPr>
              <w:spacing/>
            </w:pPr>
            <w:r>
              <w:rPr>
                <w:rFonts w:ascii="IBM Plex Sans" w:cs="IBM Plex Sans" w:eastAsia="IBM Plex Sans" w:hAnsi="IBM Plex Sans"/>
                <w:b/>
                <w:bCs/>
                <w:color w:val="13315C"/>
                <w:sz w:val="18"/>
                <w:szCs w:val="18"/>
              </w:rPr>
              <w:t xml:space="preserve">Legal adviser</w:t>
            </w:r>
          </w:p>
        </w:tc>
        <w:tc>
          <w:tcPr>
            <w:tcW w:type="pct" w:w="62%"/>
            <w:tcBorders>
              <w:top w:val="single" w:color="EEF2F7" w:sz="4"/>
              <w:left w:val="single" w:color="EEF2F7" w:sz="4"/>
              <w:bottom w:val="single" w:color="EEF2F7" w:sz="4"/>
              <w:right w:val="single" w:color="EEF2F7" w:sz="4"/>
            </w:tcBorders>
            <w:tcMar>
              <w:top w:type="dxa" w:w="100"/>
              <w:left w:type="dxa" w:w="140"/>
              <w:bottom w:type="dxa" w:w="100"/>
              <w:right w:type="dxa" w:w="140"/>
            </w:tcMar>
          </w:tcPr>
          <w:p>
            <w:pPr>
              <w:spacing/>
            </w:pPr>
            <w:r>
              <w:rPr>
                <w:rFonts w:ascii="IBM Plex Sans" w:cs="IBM Plex Sans" w:eastAsia="IBM Plex Sans" w:hAnsi="IBM Plex Sans"/>
                <w:color w:val="1F2937"/>
                <w:sz w:val="18"/>
                <w:szCs w:val="18"/>
              </w:rPr>
              <w:t xml:space="preserve">Law &amp; Co LLP</w:t>
            </w:r>
          </w:p>
        </w:tc>
      </w:tr>
    </w:tbl>
    <w:p>
      <w:pPr>
        <w:pStyle w:val="Heading2"/>
        <w:pBdr>
          <w:bottom w:val="single" w:color="0B2545" w:sz="12" w:space="6"/>
        </w:pBdr>
      </w:pPr>
      <w:r>
        <w:t xml:space="preserve">4. Severity bands</w:t>
      </w:r>
    </w:p>
    <w:p>
      <w:pPr>
        <w:spacing/>
      </w:pPr>
      <w:r>
        <w:rPr>
          <w:rFonts w:ascii="IBM Plex Sans" w:cs="IBM Plex Sans" w:eastAsia="IBM Plex Sans" w:hAnsi="IBM Plex Sans"/>
          <w:color w:val="1F2937"/>
          <w:sz w:val="22"/>
          <w:szCs w:val="22"/>
        </w:rPr>
        <w:t xml:space="preserve">The Incident Lead classifies the incident at the earliest opportunity and re-assesses as the picture develops. Severity drives the level of internal escalation and external notifications.</w:t>
      </w:r>
    </w:p>
    <w:tbl>
      <w:tblPr>
        <w:tblW w:type="pct" w:w="100%"/>
        <w:tblBorders>
          <w:top w:val="single" w:color="E3E8EF" w:sz="4"/>
          <w:left w:val="single" w:color="E3E8EF" w:sz="4"/>
          <w:bottom w:val="single" w:color="E3E8EF" w:sz="4"/>
          <w:right w:val="single" w:color="E3E8EF" w:sz="4"/>
          <w:insideH w:val="single" w:color="E3E8EF" w:sz="4"/>
          <w:insideV w:val="single" w:color="E3E8EF" w:sz="4"/>
        </w:tblBorders>
      </w:tblPr>
      <w:tblGrid>
        <w:gridCol w:w="100"/>
        <w:gridCol w:w="100"/>
      </w:tblGrid>
      <w:tr>
        <w:trPr>
          <w:cantSplit/>
          <w:tblHeader/>
        </w:trPr>
        <w:tc>
          <w:tcPr>
            <w:tcW w:type="dxa" w:w="1620"/>
            <w:tcBorders>
              <w:top w:val="single" w:color="0B2545" w:sz="4"/>
              <w:left w:val="single" w:color="0B2545" w:sz="4"/>
              <w:bottom w:val="single" w:color="0B2545" w:sz="4"/>
              <w:right w:val="single" w:color="0B2545" w:sz="4"/>
            </w:tcBorders>
            <w:shd w:fill="0B2545" w:color="auto" w:val="clear"/>
            <w:tcMar>
              <w:top w:type="dxa" w:w="90"/>
              <w:left w:type="dxa" w:w="140"/>
              <w:bottom w:type="dxa" w:w="90"/>
              <w:right w:type="dxa" w:w="140"/>
            </w:tcMar>
          </w:tcPr>
          <w:p>
            <w:pPr>
              <w:spacing w:after="0" w:before="0"/>
            </w:pPr>
            <w:r>
              <w:rPr>
                <w:rFonts w:ascii="IBM Plex Sans" w:cs="IBM Plex Sans" w:eastAsia="IBM Plex Sans" w:hAnsi="IBM Plex Sans"/>
                <w:b/>
                <w:bCs/>
                <w:color w:val="FFFFFF"/>
                <w:spacing w:val="20"/>
                <w:sz w:val="14"/>
                <w:szCs w:val="14"/>
              </w:rPr>
              <w:t xml:space="preserve">SEVERITY</w:t>
            </w:r>
          </w:p>
        </w:tc>
        <w:tc>
          <w:tcPr>
            <w:tcW w:type="dxa" w:w="7380"/>
            <w:tcBorders>
              <w:top w:val="single" w:color="0B2545" w:sz="4"/>
              <w:left w:val="single" w:color="0B2545" w:sz="4"/>
              <w:bottom w:val="single" w:color="0B2545" w:sz="4"/>
              <w:right w:val="single" w:color="0B2545" w:sz="4"/>
            </w:tcBorders>
            <w:shd w:fill="0B2545" w:color="auto" w:val="clear"/>
            <w:tcMar>
              <w:top w:type="dxa" w:w="90"/>
              <w:left w:type="dxa" w:w="140"/>
              <w:bottom w:type="dxa" w:w="90"/>
              <w:right w:type="dxa" w:w="140"/>
            </w:tcMar>
          </w:tcPr>
          <w:p>
            <w:pPr>
              <w:spacing w:after="0" w:before="0"/>
            </w:pPr>
            <w:r>
              <w:rPr>
                <w:rFonts w:ascii="IBM Plex Sans" w:cs="IBM Plex Sans" w:eastAsia="IBM Plex Sans" w:hAnsi="IBM Plex Sans"/>
                <w:b/>
                <w:bCs/>
                <w:color w:val="FFFFFF"/>
                <w:spacing w:val="20"/>
                <w:sz w:val="14"/>
                <w:szCs w:val="14"/>
              </w:rPr>
              <w:t xml:space="preserve">DESCRIPTION</w:t>
            </w:r>
          </w:p>
        </w:tc>
      </w:tr>
      <w:tr>
        <w:trPr>
          <w:cantSplit/>
        </w:trPr>
        <w:tc>
          <w:tcPr>
            <w:tcW w:type="dxa" w:w="1620"/>
            <w:tcBorders>
              <w:top w:val="single" w:color="EEF2F7" w:sz="4"/>
              <w:left w:val="single" w:color="EEF2F7" w:sz="4"/>
              <w:bottom w:val="single" w:color="EEF2F7" w:sz="4"/>
              <w:right w:val="single" w:color="EEF2F7" w:sz="4"/>
            </w:tcBorders>
            <w:shd w:fill="FDF2F0" w:color="auto" w:val="clear"/>
            <w:tcMar>
              <w:top w:type="dxa" w:w="100"/>
              <w:left w:type="dxa" w:w="140"/>
              <w:bottom w:type="dxa" w:w="100"/>
              <w:right w:type="dxa" w:w="140"/>
            </w:tcMar>
          </w:tcPr>
          <w:p>
            <w:pPr>
              <w:spacing w:after="0" w:before="0"/>
            </w:pPr>
            <w:r>
              <w:rPr>
                <w:rFonts w:ascii="IBM Plex Sans" w:cs="IBM Plex Sans" w:eastAsia="IBM Plex Sans" w:hAnsi="IBM Plex Sans"/>
                <w:b/>
                <w:bCs/>
                <w:color w:val="8E1B12"/>
                <w:sz w:val="18"/>
                <w:szCs w:val="18"/>
              </w:rPr>
              <w:t xml:space="preserve">S1 — Critical</w:t>
            </w:r>
          </w:p>
        </w:tc>
        <w:tc>
          <w:tcPr>
            <w:tcW w:type="dxa" w:w="7380"/>
            <w:tcBorders>
              <w:top w:val="single" w:color="EEF2F7" w:sz="4"/>
              <w:left w:val="single" w:color="EEF2F7" w:sz="4"/>
              <w:bottom w:val="single" w:color="EEF2F7" w:sz="4"/>
              <w:right w:val="single" w:color="EEF2F7" w:sz="4"/>
            </w:tcBorders>
            <w:shd w:fill="FDF2F0" w:color="auto" w:val="clear"/>
            <w:tcMar>
              <w:top w:type="dxa" w:w="100"/>
              <w:left w:type="dxa" w:w="140"/>
              <w:bottom w:type="dxa" w:w="100"/>
              <w:right w:type="dxa" w:w="140"/>
            </w:tcMar>
          </w:tcPr>
          <w:p>
            <w:pPr>
              <w:spacing w:after="0" w:before="0"/>
            </w:pPr>
            <w:r>
              <w:rPr>
                <w:rFonts w:ascii="IBM Plex Sans" w:cs="IBM Plex Sans" w:eastAsia="IBM Plex Sans" w:hAnsi="IBM Plex Sans"/>
                <w:b w:val="false"/>
                <w:bCs w:val="false"/>
                <w:color w:val="1F2937"/>
                <w:sz w:val="18"/>
                <w:szCs w:val="18"/>
              </w:rPr>
              <w:t xml:space="preserve">Whole school offline; safeguarding-relevant systems unavailable.</w:t>
            </w:r>
          </w:p>
        </w:tc>
      </w:tr>
      <w:tr>
        <w:trPr>
          <w:cantSplit/>
        </w:trPr>
        <w:tc>
          <w:tcPr>
            <w:tcW w:type="dxa" w:w="1620"/>
            <w:tcBorders>
              <w:top w:val="single" w:color="EEF2F7" w:sz="4"/>
              <w:left w:val="single" w:color="EEF2F7" w:sz="4"/>
              <w:bottom w:val="single" w:color="EEF2F7" w:sz="4"/>
              <w:right w:val="single" w:color="EEF2F7" w:sz="4"/>
            </w:tcBorders>
            <w:shd w:fill="FDF7EB" w:color="auto" w:val="clear"/>
            <w:tcMar>
              <w:top w:type="dxa" w:w="100"/>
              <w:left w:type="dxa" w:w="140"/>
              <w:bottom w:type="dxa" w:w="100"/>
              <w:right w:type="dxa" w:w="140"/>
            </w:tcMar>
          </w:tcPr>
          <w:p>
            <w:pPr>
              <w:spacing w:after="0" w:before="0"/>
            </w:pPr>
            <w:r>
              <w:rPr>
                <w:rFonts w:ascii="IBM Plex Sans" w:cs="IBM Plex Sans" w:eastAsia="IBM Plex Sans" w:hAnsi="IBM Plex Sans"/>
                <w:b/>
                <w:bCs/>
                <w:color w:val="7A3A07"/>
                <w:sz w:val="18"/>
                <w:szCs w:val="18"/>
              </w:rPr>
              <w:t xml:space="preserve">S2 — Major</w:t>
            </w:r>
          </w:p>
        </w:tc>
        <w:tc>
          <w:tcPr>
            <w:tcW w:type="dxa" w:w="7380"/>
            <w:tcBorders>
              <w:top w:val="single" w:color="EEF2F7" w:sz="4"/>
              <w:left w:val="single" w:color="EEF2F7" w:sz="4"/>
              <w:bottom w:val="single" w:color="EEF2F7" w:sz="4"/>
              <w:right w:val="single" w:color="EEF2F7" w:sz="4"/>
            </w:tcBorders>
            <w:shd w:fill="FDF7EB" w:color="auto" w:val="clear"/>
            <w:tcMar>
              <w:top w:type="dxa" w:w="100"/>
              <w:left w:type="dxa" w:w="140"/>
              <w:bottom w:type="dxa" w:w="100"/>
              <w:right w:type="dxa" w:w="140"/>
            </w:tcMar>
          </w:tcPr>
          <w:p>
            <w:pPr>
              <w:spacing w:after="0" w:before="0"/>
            </w:pPr>
            <w:r>
              <w:rPr>
                <w:rFonts w:ascii="IBM Plex Sans" w:cs="IBM Plex Sans" w:eastAsia="IBM Plex Sans" w:hAnsi="IBM Plex Sans"/>
                <w:b w:val="false"/>
                <w:bCs w:val="false"/>
                <w:color w:val="1F2937"/>
                <w:sz w:val="18"/>
                <w:szCs w:val="18"/>
              </w:rPr>
              <w:t xml:space="preserve">Major impact on operations.</w:t>
            </w:r>
          </w:p>
        </w:tc>
      </w:tr>
      <w:tr>
        <w:trPr>
          <w:cantSplit/>
        </w:trPr>
        <w:tc>
          <w:tcPr>
            <w:tcW w:type="dxa" w:w="1620"/>
            <w:tcBorders>
              <w:top w:val="single" w:color="EEF2F7" w:sz="4"/>
              <w:left w:val="single" w:color="EEF2F7" w:sz="4"/>
              <w:bottom w:val="single" w:color="EEF2F7" w:sz="4"/>
              <w:right w:val="single" w:color="EEF2F7" w:sz="4"/>
            </w:tcBorders>
            <w:shd w:fill="FDF7EB" w:color="auto" w:val="clear"/>
            <w:tcMar>
              <w:top w:type="dxa" w:w="100"/>
              <w:left w:type="dxa" w:w="140"/>
              <w:bottom w:type="dxa" w:w="100"/>
              <w:right w:type="dxa" w:w="140"/>
            </w:tcMar>
          </w:tcPr>
          <w:p>
            <w:pPr>
              <w:spacing w:after="0" w:before="0"/>
            </w:pPr>
            <w:r>
              <w:rPr>
                <w:rFonts w:ascii="IBM Plex Sans" w:cs="IBM Plex Sans" w:eastAsia="IBM Plex Sans" w:hAnsi="IBM Plex Sans"/>
                <w:b/>
                <w:bCs/>
                <w:color w:val="7A3A07"/>
                <w:sz w:val="18"/>
                <w:szCs w:val="18"/>
              </w:rPr>
              <w:t xml:space="preserve">S3 — Limited</w:t>
            </w:r>
          </w:p>
        </w:tc>
        <w:tc>
          <w:tcPr>
            <w:tcW w:type="dxa" w:w="7380"/>
            <w:tcBorders>
              <w:top w:val="single" w:color="EEF2F7" w:sz="4"/>
              <w:left w:val="single" w:color="EEF2F7" w:sz="4"/>
              <w:bottom w:val="single" w:color="EEF2F7" w:sz="4"/>
              <w:right w:val="single" w:color="EEF2F7" w:sz="4"/>
            </w:tcBorders>
            <w:shd w:fill="FDF7EB" w:color="auto" w:val="clear"/>
            <w:tcMar>
              <w:top w:type="dxa" w:w="100"/>
              <w:left w:type="dxa" w:w="140"/>
              <w:bottom w:type="dxa" w:w="100"/>
              <w:right w:type="dxa" w:w="140"/>
            </w:tcMar>
          </w:tcPr>
          <w:p>
            <w:pPr>
              <w:spacing w:after="0" w:before="0"/>
            </w:pPr>
            <w:r>
              <w:rPr>
                <w:rFonts w:ascii="IBM Plex Sans" w:cs="IBM Plex Sans" w:eastAsia="IBM Plex Sans" w:hAnsi="IBM Plex Sans"/>
                <w:b w:val="false"/>
                <w:bCs w:val="false"/>
                <w:color w:val="1F2937"/>
                <w:sz w:val="18"/>
                <w:szCs w:val="18"/>
              </w:rPr>
              <w:t xml:space="preserve">Limited impact on a subset of staff or students.</w:t>
            </w:r>
          </w:p>
        </w:tc>
      </w:tr>
      <w:tr>
        <w:trPr>
          <w:cantSplit/>
        </w:trPr>
        <w:tc>
          <w:tcPr>
            <w:tcW w:type="dxa" w:w="1620"/>
            <w:tcBorders>
              <w:top w:val="single" w:color="EEF2F7" w:sz="4"/>
              <w:left w:val="single" w:color="EEF2F7" w:sz="4"/>
              <w:bottom w:val="single" w:color="EEF2F7" w:sz="4"/>
              <w:right w:val="single" w:color="EEF2F7" w:sz="4"/>
            </w:tcBorders>
            <w:shd w:fill="F1F8F4" w:color="auto" w:val="clear"/>
            <w:tcMar>
              <w:top w:type="dxa" w:w="100"/>
              <w:left w:type="dxa" w:w="140"/>
              <w:bottom w:type="dxa" w:w="100"/>
              <w:right w:type="dxa" w:w="140"/>
            </w:tcMar>
          </w:tcPr>
          <w:p>
            <w:pPr>
              <w:spacing w:after="0" w:before="0"/>
            </w:pPr>
            <w:r>
              <w:rPr>
                <w:rFonts w:ascii="IBM Plex Sans" w:cs="IBM Plex Sans" w:eastAsia="IBM Plex Sans" w:hAnsi="IBM Plex Sans"/>
                <w:b/>
                <w:bCs/>
                <w:color w:val="0A4B22"/>
                <w:sz w:val="18"/>
                <w:szCs w:val="18"/>
              </w:rPr>
              <w:t xml:space="preserve">S4 — Minor</w:t>
            </w:r>
          </w:p>
        </w:tc>
        <w:tc>
          <w:tcPr>
            <w:tcW w:type="dxa" w:w="7380"/>
            <w:tcBorders>
              <w:top w:val="single" w:color="EEF2F7" w:sz="4"/>
              <w:left w:val="single" w:color="EEF2F7" w:sz="4"/>
              <w:bottom w:val="single" w:color="EEF2F7" w:sz="4"/>
              <w:right w:val="single" w:color="EEF2F7" w:sz="4"/>
            </w:tcBorders>
            <w:shd w:fill="F1F8F4" w:color="auto" w:val="clear"/>
            <w:tcMar>
              <w:top w:type="dxa" w:w="100"/>
              <w:left w:type="dxa" w:w="140"/>
              <w:bottom w:type="dxa" w:w="100"/>
              <w:right w:type="dxa" w:w="140"/>
            </w:tcMar>
          </w:tcPr>
          <w:p>
            <w:pPr>
              <w:spacing w:after="0" w:before="0"/>
            </w:pPr>
            <w:r>
              <w:rPr>
                <w:rFonts w:ascii="IBM Plex Sans" w:cs="IBM Plex Sans" w:eastAsia="IBM Plex Sans" w:hAnsi="IBM Plex Sans"/>
                <w:b w:val="false"/>
                <w:bCs w:val="false"/>
                <w:color w:val="1F2937"/>
                <w:sz w:val="18"/>
                <w:szCs w:val="18"/>
              </w:rPr>
              <w:t xml:space="preserve">Minor — single user or device.</w:t>
            </w:r>
          </w:p>
        </w:tc>
      </w:tr>
    </w:tbl>
    <w:p>
      <w:pPr>
        <w:pStyle w:val="Heading2"/>
        <w:pBdr>
          <w:bottom w:val="single" w:color="0B2545" w:sz="12" w:space="6"/>
        </w:pBdr>
      </w:pPr>
      <w:r>
        <w:t xml:space="preserve">5. Escalation &amp; decision authority</w:t>
      </w:r>
    </w:p>
    <w:tbl>
      <w:tblPr>
        <w:tblW w:type="pct" w:w="100%"/>
        <w:tblBorders>
          <w:top w:val="single" w:color="E3E8EF" w:sz="4"/>
          <w:left w:val="single" w:color="E3E8EF" w:sz="4"/>
          <w:bottom w:val="single" w:color="E3E8EF" w:sz="4"/>
          <w:right w:val="single" w:color="E3E8EF" w:sz="4"/>
          <w:insideH w:val="single" w:color="E3E8EF" w:sz="4"/>
          <w:insideV w:val="single" w:color="E3E8EF" w:sz="4"/>
        </w:tblBorders>
      </w:tblPr>
      <w:tblGrid>
        <w:gridCol w:w="100"/>
        <w:gridCol w:w="100"/>
        <w:gridCol w:w="100"/>
      </w:tblGrid>
      <w:tr>
        <w:trPr>
          <w:cantSplit/>
          <w:tblHeader/>
        </w:trPr>
        <w:tc>
          <w:tcPr>
            <w:tcW w:type="dxa" w:w="4500"/>
            <w:tcBorders>
              <w:top w:val="single" w:color="0B2545" w:sz="4"/>
              <w:left w:val="single" w:color="0B2545" w:sz="4"/>
              <w:bottom w:val="single" w:color="0B2545" w:sz="4"/>
              <w:right w:val="single" w:color="0B2545" w:sz="4"/>
            </w:tcBorders>
            <w:shd w:fill="0B2545" w:color="auto" w:val="clear"/>
            <w:tcMar>
              <w:top w:type="dxa" w:w="90"/>
              <w:left w:type="dxa" w:w="140"/>
              <w:bottom w:type="dxa" w:w="90"/>
              <w:right w:type="dxa" w:w="140"/>
            </w:tcMar>
          </w:tcPr>
          <w:p>
            <w:pPr>
              <w:spacing w:after="0" w:before="0"/>
            </w:pPr>
            <w:r>
              <w:rPr>
                <w:rFonts w:ascii="IBM Plex Sans" w:cs="IBM Plex Sans" w:eastAsia="IBM Plex Sans" w:hAnsi="IBM Plex Sans"/>
                <w:b/>
                <w:bCs/>
                <w:color w:val="FFFFFF"/>
                <w:spacing w:val="20"/>
                <w:sz w:val="14"/>
                <w:szCs w:val="14"/>
              </w:rPr>
              <w:t xml:space="preserve">DECISION</w:t>
            </w:r>
          </w:p>
        </w:tc>
        <w:tc>
          <w:tcPr>
            <w:tcW w:type="dxa" w:w="2250"/>
            <w:tcBorders>
              <w:top w:val="single" w:color="0B2545" w:sz="4"/>
              <w:left w:val="single" w:color="0B2545" w:sz="4"/>
              <w:bottom w:val="single" w:color="0B2545" w:sz="4"/>
              <w:right w:val="single" w:color="0B2545" w:sz="4"/>
            </w:tcBorders>
            <w:shd w:fill="0B2545" w:color="auto" w:val="clear"/>
            <w:tcMar>
              <w:top w:type="dxa" w:w="90"/>
              <w:left w:type="dxa" w:w="140"/>
              <w:bottom w:type="dxa" w:w="90"/>
              <w:right w:type="dxa" w:w="140"/>
            </w:tcMar>
          </w:tcPr>
          <w:p>
            <w:pPr>
              <w:spacing w:after="0" w:before="0"/>
            </w:pPr>
            <w:r>
              <w:rPr>
                <w:rFonts w:ascii="IBM Plex Sans" w:cs="IBM Plex Sans" w:eastAsia="IBM Plex Sans" w:hAnsi="IBM Plex Sans"/>
                <w:b/>
                <w:bCs/>
                <w:color w:val="FFFFFF"/>
                <w:spacing w:val="20"/>
                <w:sz w:val="14"/>
                <w:szCs w:val="14"/>
              </w:rPr>
              <w:t xml:space="preserve">AUTHORISING ROLE</w:t>
            </w:r>
          </w:p>
        </w:tc>
        <w:tc>
          <w:tcPr>
            <w:tcW w:type="dxa" w:w="2250"/>
            <w:tcBorders>
              <w:top w:val="single" w:color="0B2545" w:sz="4"/>
              <w:left w:val="single" w:color="0B2545" w:sz="4"/>
              <w:bottom w:val="single" w:color="0B2545" w:sz="4"/>
              <w:right w:val="single" w:color="0B2545" w:sz="4"/>
            </w:tcBorders>
            <w:shd w:fill="0B2545" w:color="auto" w:val="clear"/>
            <w:tcMar>
              <w:top w:type="dxa" w:w="90"/>
              <w:left w:type="dxa" w:w="140"/>
              <w:bottom w:type="dxa" w:w="90"/>
              <w:right w:type="dxa" w:w="140"/>
            </w:tcMar>
          </w:tcPr>
          <w:p>
            <w:pPr>
              <w:spacing w:after="0" w:before="0"/>
            </w:pPr>
            <w:r>
              <w:rPr>
                <w:rFonts w:ascii="IBM Plex Sans" w:cs="IBM Plex Sans" w:eastAsia="IBM Plex Sans" w:hAnsi="IBM Plex Sans"/>
                <w:b/>
                <w:bCs/>
                <w:color w:val="FFFFFF"/>
                <w:spacing w:val="20"/>
                <w:sz w:val="14"/>
                <w:szCs w:val="14"/>
              </w:rPr>
              <w:t xml:space="preserve">DEPUTY</w:t>
            </w:r>
          </w:p>
        </w:tc>
      </w:tr>
      <w:tr>
        <w:trPr>
          <w:cantSplit/>
        </w:trPr>
        <w:tc>
          <w:tcPr>
            <w:tcW w:type="dxa" w:w="4500"/>
            <w:tcBorders>
              <w:top w:val="single" w:color="EEF2F7" w:sz="4"/>
              <w:left w:val="single" w:color="EEF2F7" w:sz="4"/>
              <w:bottom w:val="single" w:color="EEF2F7" w:sz="4"/>
              <w:right w:val="single" w:color="EEF2F7" w:sz="4"/>
            </w:tcBorders>
            <w:tcMar>
              <w:top w:type="dxa" w:w="100"/>
              <w:left w:type="dxa" w:w="140"/>
              <w:bottom w:type="dxa" w:w="100"/>
              <w:right w:type="dxa" w:w="140"/>
            </w:tcMar>
          </w:tcPr>
          <w:p>
            <w:pPr>
              <w:spacing w:after="0" w:before="0"/>
            </w:pPr>
            <w:r>
              <w:rPr>
                <w:rFonts w:ascii="IBM Plex Sans" w:cs="IBM Plex Sans" w:eastAsia="IBM Plex Sans" w:hAnsi="IBM Plex Sans"/>
                <w:b w:val="false"/>
                <w:bCs w:val="false"/>
                <w:color w:val="1F2937"/>
                <w:sz w:val="18"/>
                <w:szCs w:val="18"/>
              </w:rPr>
              <w:t xml:space="preserve">Take systems offline</w:t>
            </w:r>
          </w:p>
        </w:tc>
        <w:tc>
          <w:tcPr>
            <w:tcW w:type="dxa" w:w="2250"/>
            <w:tcBorders>
              <w:top w:val="single" w:color="EEF2F7" w:sz="4"/>
              <w:left w:val="single" w:color="EEF2F7" w:sz="4"/>
              <w:bottom w:val="single" w:color="EEF2F7" w:sz="4"/>
              <w:right w:val="single" w:color="EEF2F7" w:sz="4"/>
            </w:tcBorders>
            <w:tcMar>
              <w:top w:type="dxa" w:w="100"/>
              <w:left w:type="dxa" w:w="140"/>
              <w:bottom w:type="dxa" w:w="100"/>
              <w:right w:type="dxa" w:w="140"/>
            </w:tcMar>
          </w:tcPr>
          <w:p>
            <w:pPr>
              <w:spacing w:after="0" w:before="0"/>
            </w:pPr>
            <w:r>
              <w:rPr>
                <w:rFonts w:ascii="IBM Plex Sans" w:cs="IBM Plex Sans" w:eastAsia="IBM Plex Sans" w:hAnsi="IBM Plex Sans"/>
                <w:b w:val="false"/>
                <w:bCs w:val="false"/>
                <w:color w:val="1F2937"/>
                <w:sz w:val="18"/>
                <w:szCs w:val="18"/>
              </w:rPr>
              <w:t xml:space="preserve">[to be completed]</w:t>
            </w:r>
          </w:p>
        </w:tc>
        <w:tc>
          <w:tcPr>
            <w:tcW w:type="dxa" w:w="2250"/>
            <w:tcBorders>
              <w:top w:val="single" w:color="EEF2F7" w:sz="4"/>
              <w:left w:val="single" w:color="EEF2F7" w:sz="4"/>
              <w:bottom w:val="single" w:color="EEF2F7" w:sz="4"/>
              <w:right w:val="single" w:color="EEF2F7" w:sz="4"/>
            </w:tcBorders>
            <w:tcMar>
              <w:top w:type="dxa" w:w="100"/>
              <w:left w:type="dxa" w:w="140"/>
              <w:bottom w:type="dxa" w:w="100"/>
              <w:right w:type="dxa" w:w="140"/>
            </w:tcMar>
          </w:tcPr>
          <w:p>
            <w:pPr>
              <w:spacing w:after="0" w:before="0"/>
            </w:pPr>
            <w:r>
              <w:rPr>
                <w:rFonts w:ascii="IBM Plex Sans" w:cs="IBM Plex Sans" w:eastAsia="IBM Plex Sans" w:hAnsi="IBM Plex Sans"/>
                <w:b w:val="false"/>
                <w:bCs w:val="false"/>
                <w:color w:val="1F2937"/>
                <w:sz w:val="18"/>
                <w:szCs w:val="18"/>
              </w:rPr>
              <w:t xml:space="preserve">[to be completed]</w:t>
            </w:r>
          </w:p>
        </w:tc>
      </w:tr>
      <w:tr>
        <w:trPr>
          <w:cantSplit/>
        </w:trPr>
        <w:tc>
          <w:tcPr>
            <w:tcW w:type="dxa" w:w="4500"/>
            <w:tcBorders>
              <w:top w:val="single" w:color="EEF2F7" w:sz="4"/>
              <w:left w:val="single" w:color="EEF2F7" w:sz="4"/>
              <w:bottom w:val="single" w:color="EEF2F7" w:sz="4"/>
              <w:right w:val="single" w:color="EEF2F7" w:sz="4"/>
            </w:tcBorders>
            <w:shd w:fill="F7F9FC" w:color="auto" w:val="clear"/>
            <w:tcMar>
              <w:top w:type="dxa" w:w="100"/>
              <w:left w:type="dxa" w:w="140"/>
              <w:bottom w:type="dxa" w:w="100"/>
              <w:right w:type="dxa" w:w="140"/>
            </w:tcMar>
          </w:tcPr>
          <w:p>
            <w:pPr>
              <w:spacing w:after="0" w:before="0"/>
            </w:pPr>
            <w:r>
              <w:rPr>
                <w:rFonts w:ascii="IBM Plex Sans" w:cs="IBM Plex Sans" w:eastAsia="IBM Plex Sans" w:hAnsi="IBM Plex Sans"/>
                <w:b w:val="false"/>
                <w:bCs w:val="false"/>
                <w:color w:val="1F2937"/>
                <w:sz w:val="18"/>
                <w:szCs w:val="18"/>
              </w:rPr>
              <w:t xml:space="preserve">Engage external responder / forensics</w:t>
            </w:r>
          </w:p>
        </w:tc>
        <w:tc>
          <w:tcPr>
            <w:tcW w:type="dxa" w:w="2250"/>
            <w:tcBorders>
              <w:top w:val="single" w:color="EEF2F7" w:sz="4"/>
              <w:left w:val="single" w:color="EEF2F7" w:sz="4"/>
              <w:bottom w:val="single" w:color="EEF2F7" w:sz="4"/>
              <w:right w:val="single" w:color="EEF2F7" w:sz="4"/>
            </w:tcBorders>
            <w:shd w:fill="F7F9FC" w:color="auto" w:val="clear"/>
            <w:tcMar>
              <w:top w:type="dxa" w:w="100"/>
              <w:left w:type="dxa" w:w="140"/>
              <w:bottom w:type="dxa" w:w="100"/>
              <w:right w:type="dxa" w:w="140"/>
            </w:tcMar>
          </w:tcPr>
          <w:p>
            <w:pPr>
              <w:spacing w:after="0" w:before="0"/>
            </w:pPr>
            <w:r>
              <w:rPr>
                <w:rFonts w:ascii="IBM Plex Sans" w:cs="IBM Plex Sans" w:eastAsia="IBM Plex Sans" w:hAnsi="IBM Plex Sans"/>
                <w:b w:val="false"/>
                <w:bCs w:val="false"/>
                <w:color w:val="1F2937"/>
                <w:sz w:val="18"/>
                <w:szCs w:val="18"/>
              </w:rPr>
              <w:t xml:space="preserve">[to be completed]</w:t>
            </w:r>
          </w:p>
        </w:tc>
        <w:tc>
          <w:tcPr>
            <w:tcW w:type="dxa" w:w="2250"/>
            <w:tcBorders>
              <w:top w:val="single" w:color="EEF2F7" w:sz="4"/>
              <w:left w:val="single" w:color="EEF2F7" w:sz="4"/>
              <w:bottom w:val="single" w:color="EEF2F7" w:sz="4"/>
              <w:right w:val="single" w:color="EEF2F7" w:sz="4"/>
            </w:tcBorders>
            <w:shd w:fill="F7F9FC" w:color="auto" w:val="clear"/>
            <w:tcMar>
              <w:top w:type="dxa" w:w="100"/>
              <w:left w:type="dxa" w:w="140"/>
              <w:bottom w:type="dxa" w:w="100"/>
              <w:right w:type="dxa" w:w="140"/>
            </w:tcMar>
          </w:tcPr>
          <w:p>
            <w:pPr>
              <w:spacing w:after="0" w:before="0"/>
            </w:pPr>
            <w:r>
              <w:rPr>
                <w:rFonts w:ascii="IBM Plex Sans" w:cs="IBM Plex Sans" w:eastAsia="IBM Plex Sans" w:hAnsi="IBM Plex Sans"/>
                <w:b w:val="false"/>
                <w:bCs w:val="false"/>
                <w:color w:val="1F2937"/>
                <w:sz w:val="18"/>
                <w:szCs w:val="18"/>
              </w:rPr>
              <w:t xml:space="preserve">[to be completed]</w:t>
            </w:r>
          </w:p>
        </w:tc>
      </w:tr>
      <w:tr>
        <w:trPr>
          <w:cantSplit/>
        </w:trPr>
        <w:tc>
          <w:tcPr>
            <w:tcW w:type="dxa" w:w="4500"/>
            <w:tcBorders>
              <w:top w:val="single" w:color="EEF2F7" w:sz="4"/>
              <w:left w:val="single" w:color="EEF2F7" w:sz="4"/>
              <w:bottom w:val="single" w:color="EEF2F7" w:sz="4"/>
              <w:right w:val="single" w:color="EEF2F7" w:sz="4"/>
            </w:tcBorders>
            <w:tcMar>
              <w:top w:type="dxa" w:w="100"/>
              <w:left w:type="dxa" w:w="140"/>
              <w:bottom w:type="dxa" w:w="100"/>
              <w:right w:type="dxa" w:w="140"/>
            </w:tcMar>
          </w:tcPr>
          <w:p>
            <w:pPr>
              <w:spacing w:after="0" w:before="0"/>
            </w:pPr>
            <w:r>
              <w:rPr>
                <w:rFonts w:ascii="IBM Plex Sans" w:cs="IBM Plex Sans" w:eastAsia="IBM Plex Sans" w:hAnsi="IBM Plex Sans"/>
                <w:b w:val="false"/>
                <w:bCs w:val="false"/>
                <w:color w:val="1F2937"/>
                <w:sz w:val="18"/>
                <w:szCs w:val="18"/>
              </w:rPr>
              <w:t xml:space="preserve">Decline / refuse ransom (NCSC + Welsh Gov: do not pay)</w:t>
            </w:r>
          </w:p>
        </w:tc>
        <w:tc>
          <w:tcPr>
            <w:tcW w:type="dxa" w:w="2250"/>
            <w:tcBorders>
              <w:top w:val="single" w:color="EEF2F7" w:sz="4"/>
              <w:left w:val="single" w:color="EEF2F7" w:sz="4"/>
              <w:bottom w:val="single" w:color="EEF2F7" w:sz="4"/>
              <w:right w:val="single" w:color="EEF2F7" w:sz="4"/>
            </w:tcBorders>
            <w:tcMar>
              <w:top w:type="dxa" w:w="100"/>
              <w:left w:type="dxa" w:w="140"/>
              <w:bottom w:type="dxa" w:w="100"/>
              <w:right w:type="dxa" w:w="140"/>
            </w:tcMar>
          </w:tcPr>
          <w:p>
            <w:pPr>
              <w:spacing w:after="0" w:before="0"/>
            </w:pPr>
            <w:r>
              <w:rPr>
                <w:rFonts w:ascii="IBM Plex Sans" w:cs="IBM Plex Sans" w:eastAsia="IBM Plex Sans" w:hAnsi="IBM Plex Sans"/>
                <w:b w:val="false"/>
                <w:bCs w:val="false"/>
                <w:color w:val="1F2937"/>
                <w:sz w:val="18"/>
                <w:szCs w:val="18"/>
              </w:rPr>
              <w:t xml:space="preserve">Ransom must NOT be paid. Decision to be referred to local authority cyber lead / insurer immediately. NCSC and Welsh Government strongly advise against payment.</w:t>
            </w:r>
          </w:p>
        </w:tc>
        <w:tc>
          <w:tcPr>
            <w:tcW w:type="dxa" w:w="2250"/>
            <w:tcBorders>
              <w:top w:val="single" w:color="EEF2F7" w:sz="4"/>
              <w:left w:val="single" w:color="EEF2F7" w:sz="4"/>
              <w:bottom w:val="single" w:color="EEF2F7" w:sz="4"/>
              <w:right w:val="single" w:color="EEF2F7" w:sz="4"/>
            </w:tcBorders>
            <w:tcMar>
              <w:top w:type="dxa" w:w="100"/>
              <w:left w:type="dxa" w:w="140"/>
              <w:bottom w:type="dxa" w:w="100"/>
              <w:right w:type="dxa" w:w="140"/>
            </w:tcMar>
          </w:tcPr>
          <w:p>
            <w:pPr>
              <w:spacing w:after="0" w:before="0"/>
            </w:pPr>
            <w:r>
              <w:rPr>
                <w:rFonts w:ascii="IBM Plex Sans" w:cs="IBM Plex Sans" w:eastAsia="IBM Plex Sans" w:hAnsi="IBM Plex Sans"/>
                <w:b w:val="false"/>
                <w:bCs w:val="false"/>
                <w:color w:val="1F2937"/>
                <w:sz w:val="18"/>
                <w:szCs w:val="18"/>
              </w:rPr>
              <w:t xml:space="preserve">—</w:t>
            </w:r>
          </w:p>
        </w:tc>
      </w:tr>
      <w:tr>
        <w:trPr>
          <w:cantSplit/>
        </w:trPr>
        <w:tc>
          <w:tcPr>
            <w:tcW w:type="dxa" w:w="4500"/>
            <w:tcBorders>
              <w:top w:val="single" w:color="EEF2F7" w:sz="4"/>
              <w:left w:val="single" w:color="EEF2F7" w:sz="4"/>
              <w:bottom w:val="single" w:color="EEF2F7" w:sz="4"/>
              <w:right w:val="single" w:color="EEF2F7" w:sz="4"/>
            </w:tcBorders>
            <w:shd w:fill="F7F9FC" w:color="auto" w:val="clear"/>
            <w:tcMar>
              <w:top w:type="dxa" w:w="100"/>
              <w:left w:type="dxa" w:w="140"/>
              <w:bottom w:type="dxa" w:w="100"/>
              <w:right w:type="dxa" w:w="140"/>
            </w:tcMar>
          </w:tcPr>
          <w:p>
            <w:pPr>
              <w:spacing w:after="0" w:before="0"/>
            </w:pPr>
            <w:r>
              <w:rPr>
                <w:rFonts w:ascii="IBM Plex Sans" w:cs="IBM Plex Sans" w:eastAsia="IBM Plex Sans" w:hAnsi="IBM Plex Sans"/>
                <w:b w:val="false"/>
                <w:bCs w:val="false"/>
                <w:color w:val="1F2937"/>
                <w:sz w:val="18"/>
                <w:szCs w:val="18"/>
              </w:rPr>
              <w:t xml:space="preserve">Public / press communications</w:t>
            </w:r>
          </w:p>
        </w:tc>
        <w:tc>
          <w:tcPr>
            <w:tcW w:type="dxa" w:w="2250"/>
            <w:tcBorders>
              <w:top w:val="single" w:color="EEF2F7" w:sz="4"/>
              <w:left w:val="single" w:color="EEF2F7" w:sz="4"/>
              <w:bottom w:val="single" w:color="EEF2F7" w:sz="4"/>
              <w:right w:val="single" w:color="EEF2F7" w:sz="4"/>
            </w:tcBorders>
            <w:shd w:fill="F7F9FC" w:color="auto" w:val="clear"/>
            <w:tcMar>
              <w:top w:type="dxa" w:w="100"/>
              <w:left w:type="dxa" w:w="140"/>
              <w:bottom w:type="dxa" w:w="100"/>
              <w:right w:type="dxa" w:w="140"/>
            </w:tcMar>
          </w:tcPr>
          <w:p>
            <w:pPr>
              <w:spacing w:after="0" w:before="0"/>
            </w:pPr>
            <w:r>
              <w:rPr>
                <w:rFonts w:ascii="IBM Plex Sans" w:cs="IBM Plex Sans" w:eastAsia="IBM Plex Sans" w:hAnsi="IBM Plex Sans"/>
                <w:b w:val="false"/>
                <w:bCs w:val="false"/>
                <w:color w:val="1F2937"/>
                <w:sz w:val="18"/>
                <w:szCs w:val="18"/>
              </w:rPr>
              <w:t xml:space="preserve">[to be completed]</w:t>
            </w:r>
          </w:p>
        </w:tc>
        <w:tc>
          <w:tcPr>
            <w:tcW w:type="dxa" w:w="2250"/>
            <w:tcBorders>
              <w:top w:val="single" w:color="EEF2F7" w:sz="4"/>
              <w:left w:val="single" w:color="EEF2F7" w:sz="4"/>
              <w:bottom w:val="single" w:color="EEF2F7" w:sz="4"/>
              <w:right w:val="single" w:color="EEF2F7" w:sz="4"/>
            </w:tcBorders>
            <w:shd w:fill="F7F9FC" w:color="auto" w:val="clear"/>
            <w:tcMar>
              <w:top w:type="dxa" w:w="100"/>
              <w:left w:type="dxa" w:w="140"/>
              <w:bottom w:type="dxa" w:w="100"/>
              <w:right w:type="dxa" w:w="140"/>
            </w:tcMar>
          </w:tcPr>
          <w:p>
            <w:pPr>
              <w:spacing w:after="0" w:before="0"/>
            </w:pPr>
            <w:r>
              <w:rPr>
                <w:rFonts w:ascii="IBM Plex Sans" w:cs="IBM Plex Sans" w:eastAsia="IBM Plex Sans" w:hAnsi="IBM Plex Sans"/>
                <w:b w:val="false"/>
                <w:bCs w:val="false"/>
                <w:color w:val="1F2937"/>
                <w:sz w:val="18"/>
                <w:szCs w:val="18"/>
              </w:rPr>
              <w:t xml:space="preserve">[to be completed]</w:t>
            </w:r>
          </w:p>
        </w:tc>
      </w:tr>
      <w:tr>
        <w:trPr>
          <w:cantSplit/>
        </w:trPr>
        <w:tc>
          <w:tcPr>
            <w:tcW w:type="dxa" w:w="4500"/>
            <w:tcBorders>
              <w:top w:val="single" w:color="EEF2F7" w:sz="4"/>
              <w:left w:val="single" w:color="EEF2F7" w:sz="4"/>
              <w:bottom w:val="single" w:color="EEF2F7" w:sz="4"/>
              <w:right w:val="single" w:color="EEF2F7" w:sz="4"/>
            </w:tcBorders>
            <w:tcMar>
              <w:top w:type="dxa" w:w="100"/>
              <w:left w:type="dxa" w:w="140"/>
              <w:bottom w:type="dxa" w:w="100"/>
              <w:right w:type="dxa" w:w="140"/>
            </w:tcMar>
          </w:tcPr>
          <w:p>
            <w:pPr>
              <w:spacing w:after="0" w:before="0"/>
            </w:pPr>
            <w:r>
              <w:rPr>
                <w:rFonts w:ascii="IBM Plex Sans" w:cs="IBM Plex Sans" w:eastAsia="IBM Plex Sans" w:hAnsi="IBM Plex Sans"/>
                <w:b w:val="false"/>
                <w:bCs w:val="false"/>
                <w:color w:val="1F2937"/>
                <w:sz w:val="18"/>
                <w:szCs w:val="18"/>
              </w:rPr>
              <w:t xml:space="preserve">Notify the ICO (within 72h if data involved)</w:t>
            </w:r>
          </w:p>
        </w:tc>
        <w:tc>
          <w:tcPr>
            <w:tcW w:type="dxa" w:w="2250"/>
            <w:tcBorders>
              <w:top w:val="single" w:color="EEF2F7" w:sz="4"/>
              <w:left w:val="single" w:color="EEF2F7" w:sz="4"/>
              <w:bottom w:val="single" w:color="EEF2F7" w:sz="4"/>
              <w:right w:val="single" w:color="EEF2F7" w:sz="4"/>
            </w:tcBorders>
            <w:tcMar>
              <w:top w:type="dxa" w:w="100"/>
              <w:left w:type="dxa" w:w="140"/>
              <w:bottom w:type="dxa" w:w="100"/>
              <w:right w:type="dxa" w:w="140"/>
            </w:tcMar>
          </w:tcPr>
          <w:p>
            <w:pPr>
              <w:spacing w:after="0" w:before="0"/>
            </w:pPr>
            <w:r>
              <w:rPr>
                <w:rFonts w:ascii="IBM Plex Sans" w:cs="IBM Plex Sans" w:eastAsia="IBM Plex Sans" w:hAnsi="IBM Plex Sans"/>
                <w:b w:val="false"/>
                <w:bCs w:val="false"/>
                <w:color w:val="1F2937"/>
                <w:sz w:val="18"/>
                <w:szCs w:val="18"/>
              </w:rPr>
              <w:t xml:space="preserve">[to be completed]</w:t>
            </w:r>
          </w:p>
        </w:tc>
        <w:tc>
          <w:tcPr>
            <w:tcW w:type="dxa" w:w="2250"/>
            <w:tcBorders>
              <w:top w:val="single" w:color="EEF2F7" w:sz="4"/>
              <w:left w:val="single" w:color="EEF2F7" w:sz="4"/>
              <w:bottom w:val="single" w:color="EEF2F7" w:sz="4"/>
              <w:right w:val="single" w:color="EEF2F7" w:sz="4"/>
            </w:tcBorders>
            <w:tcMar>
              <w:top w:type="dxa" w:w="100"/>
              <w:left w:type="dxa" w:w="140"/>
              <w:bottom w:type="dxa" w:w="100"/>
              <w:right w:type="dxa" w:w="140"/>
            </w:tcMar>
          </w:tcPr>
          <w:p>
            <w:pPr>
              <w:spacing w:after="0" w:before="0"/>
            </w:pPr>
            <w:r>
              <w:rPr>
                <w:rFonts w:ascii="IBM Plex Sans" w:cs="IBM Plex Sans" w:eastAsia="IBM Plex Sans" w:hAnsi="IBM Plex Sans"/>
                <w:b w:val="false"/>
                <w:bCs w:val="false"/>
                <w:color w:val="1F2937"/>
                <w:sz w:val="18"/>
                <w:szCs w:val="18"/>
              </w:rPr>
              <w:t xml:space="preserve">[to be completed]</w:t>
            </w:r>
          </w:p>
        </w:tc>
      </w:tr>
    </w:tbl>
    <w:tbl>
      <w:tblPr>
        <w:tblW w:type="pct" w:w="100%"/>
        <w:tblBorders>
          <w:top w:val="single" w:color="EEF2F7" w:sz="4"/>
          <w:left w:val="single" w:color="EEF2F7" w:sz="4"/>
          <w:bottom w:val="single" w:color="EEF2F7" w:sz="4"/>
          <w:right w:val="single" w:color="EEF2F7" w:sz="4"/>
          <w:insideH w:val="single" w:color="EEF2F7" w:sz="4"/>
          <w:insideV w:val="single" w:color="EEF2F7" w:sz="4"/>
        </w:tblBorders>
      </w:tblPr>
      <w:tblGrid>
        <w:gridCol w:w="100"/>
        <w:gridCol w:w="100"/>
      </w:tblGrid>
      <w:tr>
        <w:trPr>
          <w:cantSplit/>
        </w:trPr>
        <w:tc>
          <w:tcPr>
            <w:tcW w:type="pct" w:w="38%"/>
            <w:tcBorders>
              <w:top w:val="single" w:color="EEF2F7" w:sz="4"/>
              <w:left w:val="single" w:color="EEF2F7" w:sz="4"/>
              <w:bottom w:val="single" w:color="EEF2F7" w:sz="4"/>
              <w:right w:val="single" w:color="EEF2F7" w:sz="4"/>
            </w:tcBorders>
            <w:shd w:fill="F7F9FC" w:color="auto" w:val="clear"/>
            <w:tcMar>
              <w:top w:type="dxa" w:w="100"/>
              <w:left w:type="dxa" w:w="140"/>
              <w:bottom w:type="dxa" w:w="100"/>
              <w:right w:type="dxa" w:w="140"/>
            </w:tcMar>
          </w:tcPr>
          <w:p>
            <w:pPr>
              <w:spacing/>
            </w:pPr>
            <w:r>
              <w:rPr>
                <w:rFonts w:ascii="IBM Plex Sans" w:cs="IBM Plex Sans" w:eastAsia="IBM Plex Sans" w:hAnsi="IBM Plex Sans"/>
                <w:b/>
                <w:bCs/>
                <w:color w:val="13315C"/>
                <w:sz w:val="18"/>
                <w:szCs w:val="18"/>
              </w:rPr>
              <w:t xml:space="preserve">Incident conference line</w:t>
            </w:r>
          </w:p>
        </w:tc>
        <w:tc>
          <w:tcPr>
            <w:tcW w:type="pct" w:w="62%"/>
            <w:tcBorders>
              <w:top w:val="single" w:color="EEF2F7" w:sz="4"/>
              <w:left w:val="single" w:color="EEF2F7" w:sz="4"/>
              <w:bottom w:val="single" w:color="EEF2F7" w:sz="4"/>
              <w:right w:val="single" w:color="EEF2F7" w:sz="4"/>
            </w:tcBorders>
            <w:tcMar>
              <w:top w:type="dxa" w:w="100"/>
              <w:left w:type="dxa" w:w="140"/>
              <w:bottom w:type="dxa" w:w="100"/>
              <w:right w:type="dxa" w:w="140"/>
            </w:tcMar>
          </w:tcPr>
          <w:p>
            <w:pPr>
              <w:spacing/>
            </w:pPr>
            <w:r>
              <w:rPr>
                <w:rFonts w:ascii="IBM Plex Sans" w:cs="IBM Plex Sans" w:eastAsia="IBM Plex Sans" w:hAnsi="IBM Plex Sans"/>
                <w:color w:val="1F2937"/>
                <w:sz w:val="18"/>
                <w:szCs w:val="18"/>
              </w:rPr>
              <w:t xml:space="preserve">[to be completed]</w:t>
            </w:r>
          </w:p>
        </w:tc>
      </w:tr>
    </w:tbl>
    <w:p>
      <w:pPr>
        <w:pStyle w:val="Heading2"/>
        <w:pBdr>
          <w:bottom w:val="single" w:color="0B2545" w:sz="12" w:space="6"/>
        </w:pBdr>
      </w:pPr>
      <w:r>
        <w:t xml:space="preserve">6. Incident response process</w:t>
      </w:r>
    </w:p>
    <w:p>
      <w:pPr>
        <w:pStyle w:val="ListParagraph"/>
        <w:numPr>
          <w:ilvl w:val="0"/>
          <w:numId w:val="2"/>
        </w:numPr>
        <w:spacing w:after="40" w:before="40"/>
      </w:pPr>
      <w:r>
        <w:t xml:space="preserve">Detect &amp; report — whoever spots the issue contacts the Incident Lead by phone (not email).</w:t>
      </w:r>
    </w:p>
    <w:p>
      <w:pPr>
        <w:pStyle w:val="ListParagraph"/>
        <w:numPr>
          <w:ilvl w:val="0"/>
          <w:numId w:val="2"/>
        </w:numPr>
        <w:spacing w:after="40" w:before="40"/>
      </w:pPr>
      <w:r>
        <w:t xml:space="preserve">Triage &amp; classify — Incident Lead assigns a severity band and opens the incident log.</w:t>
      </w:r>
    </w:p>
    <w:p>
      <w:pPr>
        <w:pStyle w:val="ListParagraph"/>
        <w:numPr>
          <w:ilvl w:val="0"/>
          <w:numId w:val="2"/>
        </w:numPr>
        <w:spacing w:after="40" w:before="40"/>
      </w:pPr>
      <w:r>
        <w:t xml:space="preserve">Contain — isolate affected systems; preserve forensic state; do NOT power off devices.</w:t>
      </w:r>
    </w:p>
    <w:p>
      <w:pPr>
        <w:pStyle w:val="ListParagraph"/>
        <w:numPr>
          <w:ilvl w:val="0"/>
          <w:numId w:val="2"/>
        </w:numPr>
        <w:spacing w:after="40" w:before="40"/>
      </w:pPr>
      <w:r>
        <w:t xml:space="preserve">Eradicate — remove the root cause; rotate credentials; patch the vulnerability.</w:t>
      </w:r>
    </w:p>
    <w:p>
      <w:pPr>
        <w:pStyle w:val="ListParagraph"/>
        <w:numPr>
          <w:ilvl w:val="0"/>
          <w:numId w:val="2"/>
        </w:numPr>
        <w:spacing w:after="40" w:before="40"/>
      </w:pPr>
      <w:r>
        <w:t xml:space="preserve">Recover — restore from known-good backups; verify integrity before bringing back online.</w:t>
      </w:r>
    </w:p>
    <w:p>
      <w:pPr>
        <w:pStyle w:val="ListParagraph"/>
        <w:numPr>
          <w:ilvl w:val="0"/>
          <w:numId w:val="2"/>
        </w:numPr>
        <w:spacing w:after="40" w:before="40"/>
      </w:pPr>
      <w:r>
        <w:t xml:space="preserve">Communicate — keep staff, parents, governors, ICO, your local authority cyber lead and the press informed at the cadence the plan defines.</w:t>
      </w:r>
    </w:p>
    <w:p>
      <w:pPr>
        <w:pStyle w:val="ListParagraph"/>
        <w:numPr>
          <w:ilvl w:val="0"/>
          <w:numId w:val="2"/>
        </w:numPr>
        <w:spacing w:after="40" w:before="40"/>
      </w:pPr>
      <w:r>
        <w:t xml:space="preserve">Review — after action, capture lessons learned and update the plan within 30 days.</w:t>
      </w:r>
    </w:p>
    <w:p>
      <w:pPr>
        <w:pStyle w:val="Heading2"/>
        <w:pBdr>
          <w:bottom w:val="single" w:color="0B2545" w:sz="12" w:space="6"/>
        </w:pBdr>
      </w:pPr>
      <w:r>
        <w:t xml:space="preserve">7. Playbooks</w:t>
      </w:r>
    </w:p>
    <w:p>
      <w:pPr>
        <w:spacing/>
      </w:pPr>
      <w:r>
        <w:rPr>
          <w:rFonts w:ascii="IBM Plex Sans" w:cs="IBM Plex Sans" w:eastAsia="IBM Plex Sans" w:hAnsi="IBM Plex Sans"/>
          <w:color w:val="1F2937"/>
          <w:sz w:val="22"/>
          <w:szCs w:val="22"/>
        </w:rPr>
        <w:t xml:space="preserve">Each playbook is a short, role-specific checklist for one incident type. The plan owner enables the playbooks that apply to your school. Tick once tested.</w:t>
      </w:r>
    </w:p>
    <w:p>
      <w:pPr>
        <w:pStyle w:val="Heading3"/>
      </w:pPr>
      <w:r>
        <w:t xml:space="preserve">Ransomware</w:t>
      </w:r>
    </w:p>
    <w:p>
      <w:pPr>
        <w:spacing/>
      </w:pPr>
      <w:r>
        <w:rPr>
          <w:rFonts w:ascii="IBM Plex Sans" w:cs="IBM Plex Sans" w:eastAsia="IBM Plex Sans" w:hAnsi="IBM Plex Sans"/>
          <w:color w:val="1F2937"/>
          <w:sz w:val="22"/>
          <w:szCs w:val="22"/>
        </w:rPr>
        <w:t xml:space="preserve">Tested annually with IT lead.</w:t>
      </w:r>
    </w:p>
    <w:p>
      <w:pPr>
        <w:pStyle w:val="ListParagraph"/>
        <w:numPr>
          <w:ilvl w:val="0"/>
          <w:numId w:val="2"/>
        </w:numPr>
        <w:spacing w:after="40" w:before="40"/>
      </w:pPr>
      <w:r>
        <w:t xml:space="preserve">Disconnect affected devices from the network — do not power off (preserve evidence).</w:t>
      </w:r>
    </w:p>
    <w:p>
      <w:pPr>
        <w:pStyle w:val="ListParagraph"/>
        <w:numPr>
          <w:ilvl w:val="0"/>
          <w:numId w:val="2"/>
        </w:numPr>
        <w:spacing w:after="40" w:before="40"/>
      </w:pPr>
      <w:r>
        <w:t xml:space="preserve">Activate Severity 1 response. Notify CIRT and IT support immediately.</w:t>
      </w:r>
    </w:p>
    <w:p>
      <w:pPr>
        <w:pStyle w:val="ListParagraph"/>
        <w:numPr>
          <w:ilvl w:val="0"/>
          <w:numId w:val="2"/>
        </w:numPr>
        <w:spacing w:after="40" w:before="40"/>
      </w:pPr>
      <w:r>
        <w:t xml:space="preserve">Do NOT pay the ransom. Refer to the ransomware policy in section 5. Notify your local authority cyber lead / cyber insurer before any external incident responder is engaged.</w:t>
      </w:r>
    </w:p>
    <w:p>
      <w:pPr>
        <w:pStyle w:val="ListParagraph"/>
        <w:numPr>
          <w:ilvl w:val="0"/>
          <w:numId w:val="2"/>
        </w:numPr>
        <w:spacing w:after="40" w:before="40"/>
      </w:pPr>
      <w:r>
        <w:t xml:space="preserve">Identify scope of encryption. Do not reconnect any device until cleared.</w:t>
      </w:r>
    </w:p>
    <w:p>
      <w:pPr>
        <w:pStyle w:val="ListParagraph"/>
        <w:numPr>
          <w:ilvl w:val="0"/>
          <w:numId w:val="2"/>
        </w:numPr>
        <w:spacing w:after="40" w:before="40"/>
      </w:pPr>
      <w:r>
        <w:t xml:space="preserve">Notify NCSC, Report Fraud, and the ICO if personal data is affected (within 72 hours of awareness).</w:t>
      </w:r>
    </w:p>
    <w:p>
      <w:pPr>
        <w:pStyle w:val="ListParagraph"/>
        <w:numPr>
          <w:ilvl w:val="0"/>
          <w:numId w:val="2"/>
        </w:numPr>
        <w:spacing w:after="40" w:before="40"/>
      </w:pPr>
      <w:r>
        <w:t xml:space="preserve">Begin restoration from clean, immutable / off-site backups in the priority order set out in section 10.</w:t>
      </w:r>
    </w:p>
    <w:p>
      <w:pPr>
        <w:pStyle w:val="ListParagraph"/>
        <w:numPr>
          <w:ilvl w:val="0"/>
          <w:numId w:val="2"/>
        </w:numPr>
        <w:spacing w:after="40" w:before="40"/>
      </w:pPr>
      <w:r>
        <w:t xml:space="preserve">Force a full credential reset across the estate before restored systems are returned to production.</w:t>
      </w:r>
    </w:p>
    <w:p>
      <w:pPr>
        <w:pStyle w:val="ListParagraph"/>
        <w:numPr>
          <w:ilvl w:val="0"/>
          <w:numId w:val="2"/>
        </w:numPr>
        <w:spacing w:after="40" w:before="40"/>
      </w:pPr>
      <w:r>
        <w:t xml:space="preserve">Capture evidence and engage forensic investigation per your LA cyber lead / insurer's requirements before reformatting any device.</w:t>
      </w:r>
    </w:p>
    <w:p>
      <w:pPr>
        <w:pStyle w:val="Heading3"/>
      </w:pPr>
      <w:r>
        <w:t xml:space="preserve">Personal data breach</w:t>
      </w:r>
    </w:p>
    <w:p>
      <w:pPr>
        <w:pStyle w:val="ListParagraph"/>
        <w:numPr>
          <w:ilvl w:val="0"/>
          <w:numId w:val="2"/>
        </w:numPr>
        <w:spacing w:after="40" w:before="40"/>
      </w:pPr>
      <w:r>
        <w:t xml:space="preserve">Immediately limit further exposure (revoke access, take affected systems offline if necessary).</w:t>
      </w:r>
    </w:p>
    <w:p>
      <w:pPr>
        <w:pStyle w:val="ListParagraph"/>
        <w:numPr>
          <w:ilvl w:val="0"/>
          <w:numId w:val="2"/>
        </w:numPr>
        <w:spacing w:after="40" w:before="40"/>
      </w:pPr>
      <w:r>
        <w:t xml:space="preserve">Notify the DPO. The 72-hour ICO clock starts when the school becomes aware of the breach.</w:t>
      </w:r>
    </w:p>
    <w:p>
      <w:pPr>
        <w:pStyle w:val="ListParagraph"/>
        <w:numPr>
          <w:ilvl w:val="0"/>
          <w:numId w:val="2"/>
        </w:numPr>
        <w:spacing w:after="40" w:before="40"/>
      </w:pPr>
      <w:r>
        <w:t xml:space="preserve">Convene CIRT. Determine: what data, how many individuals, sensitivity, likely consequences.</w:t>
      </w:r>
    </w:p>
    <w:p>
      <w:pPr>
        <w:pStyle w:val="ListParagraph"/>
        <w:numPr>
          <w:ilvl w:val="0"/>
          <w:numId w:val="2"/>
        </w:numPr>
        <w:spacing w:after="40" w:before="40"/>
      </w:pPr>
      <w:r>
        <w:t xml:space="preserve">Document everything in the incident log — facts, decisions, timing.</w:t>
      </w:r>
    </w:p>
    <w:p>
      <w:pPr>
        <w:pStyle w:val="ListParagraph"/>
        <w:numPr>
          <w:ilvl w:val="0"/>
          <w:numId w:val="2"/>
        </w:numPr>
        <w:spacing w:after="40" w:before="40"/>
      </w:pPr>
      <w:r>
        <w:t xml:space="preserve">DPO assesses notifiability to the ICO; SLT decides on notification of data subjects if there is a high risk to their rights and freedoms.</w:t>
      </w:r>
    </w:p>
    <w:p>
      <w:pPr>
        <w:pStyle w:val="ListParagraph"/>
        <w:numPr>
          <w:ilvl w:val="0"/>
          <w:numId w:val="2"/>
        </w:numPr>
        <w:spacing w:after="40" w:before="40"/>
      </w:pPr>
      <w:r>
        <w:t xml:space="preserve">Use the ICO notification template in section 8.3 if reportable.</w:t>
      </w:r>
    </w:p>
    <w:p>
      <w:pPr>
        <w:pStyle w:val="ListParagraph"/>
        <w:numPr>
          <w:ilvl w:val="0"/>
          <w:numId w:val="2"/>
        </w:numPr>
        <w:spacing w:after="40" w:before="40"/>
      </w:pPr>
      <w:r>
        <w:t xml:space="preserve">Communicate with affected individuals using the parent/carer or staff template, as appropriate.</w:t>
      </w:r>
    </w:p>
    <w:p>
      <w:pPr>
        <w:pStyle w:val="ListParagraph"/>
        <w:numPr>
          <w:ilvl w:val="0"/>
          <w:numId w:val="2"/>
        </w:numPr>
        <w:spacing w:after="40" w:before="40"/>
      </w:pPr>
      <w:r>
        <w:t xml:space="preserve">Capture root cause and feed into post-incident review.</w:t>
      </w:r>
    </w:p>
    <w:p>
      <w:pPr>
        <w:pStyle w:val="Heading3"/>
      </w:pPr>
      <w:r>
        <w:t xml:space="preserve">Account compromise (staff)</w:t>
      </w:r>
    </w:p>
    <w:p>
      <w:pPr>
        <w:pStyle w:val="ListParagraph"/>
        <w:numPr>
          <w:ilvl w:val="0"/>
          <w:numId w:val="2"/>
        </w:numPr>
        <w:spacing w:after="40" w:before="40"/>
      </w:pPr>
      <w:r>
        <w:t xml:space="preserve">Disable the affected account. Force password reset, revoke all active sessions and refresh tokens, re-enrol MFA.</w:t>
      </w:r>
    </w:p>
    <w:p>
      <w:pPr>
        <w:pStyle w:val="ListParagraph"/>
        <w:numPr>
          <w:ilvl w:val="0"/>
          <w:numId w:val="2"/>
        </w:numPr>
        <w:spacing w:after="40" w:before="40"/>
      </w:pPr>
      <w:r>
        <w:t xml:space="preserve">Review mailbox rules, forwarding rules and recently sent items for signs of attacker activity (BEC / data exfiltration).</w:t>
      </w:r>
    </w:p>
    <w:p>
      <w:pPr>
        <w:pStyle w:val="ListParagraph"/>
        <w:numPr>
          <w:ilvl w:val="0"/>
          <w:numId w:val="2"/>
        </w:numPr>
        <w:spacing w:after="40" w:before="40"/>
      </w:pPr>
      <w:r>
        <w:t xml:space="preserve">Review login activity for the past 30 days — geo, device, IP — and identify what the attacker accessed.</w:t>
      </w:r>
    </w:p>
    <w:p>
      <w:pPr>
        <w:pStyle w:val="ListParagraph"/>
        <w:numPr>
          <w:ilvl w:val="0"/>
          <w:numId w:val="2"/>
        </w:numPr>
        <w:spacing w:after="40" w:before="40"/>
      </w:pPr>
      <w:r>
        <w:t xml:space="preserve">Determine whether the compromise is isolated or part of a wider phishing campaign — search for similar logins on other accounts.</w:t>
      </w:r>
    </w:p>
    <w:p>
      <w:pPr>
        <w:pStyle w:val="ListParagraph"/>
        <w:numPr>
          <w:ilvl w:val="0"/>
          <w:numId w:val="2"/>
        </w:numPr>
        <w:spacing w:after="40" w:before="40"/>
      </w:pPr>
      <w:r>
        <w:t xml:space="preserve">Review files and SharePoint/OneDrive access of the affected user. Assume the attacker has read what the user has read.</w:t>
      </w:r>
    </w:p>
    <w:p>
      <w:pPr>
        <w:pStyle w:val="ListParagraph"/>
        <w:numPr>
          <w:ilvl w:val="0"/>
          <w:numId w:val="2"/>
        </w:numPr>
        <w:spacing w:after="40" w:before="40"/>
      </w:pPr>
      <w:r>
        <w:t xml:space="preserve">If personal data was accessible, escalate to the data breach playbook.</w:t>
      </w:r>
    </w:p>
    <w:p>
      <w:pPr>
        <w:pStyle w:val="ListParagraph"/>
        <w:numPr>
          <w:ilvl w:val="0"/>
          <w:numId w:val="2"/>
        </w:numPr>
        <w:spacing w:after="40" w:before="40"/>
      </w:pPr>
      <w:r>
        <w:t xml:space="preserve">Notify the user and reset all of their school credentials.</w:t>
      </w:r>
    </w:p>
    <w:p>
      <w:pPr>
        <w:pStyle w:val="ListParagraph"/>
        <w:numPr>
          <w:ilvl w:val="0"/>
          <w:numId w:val="2"/>
        </w:numPr>
        <w:spacing w:after="40" w:before="40"/>
      </w:pPr>
      <w:r>
        <w:t xml:space="preserve">Capture root cause (phishing email, credential reuse, MFA bypass) and update controls accordingly.</w:t>
      </w:r>
    </w:p>
    <w:p>
      <w:pPr>
        <w:pStyle w:val="Heading3"/>
      </w:pPr>
      <w:r>
        <w:t xml:space="preserve">Phishing campaign</w:t>
      </w:r>
    </w:p>
    <w:p>
      <w:pPr>
        <w:pStyle w:val="ListParagraph"/>
        <w:numPr>
          <w:ilvl w:val="0"/>
          <w:numId w:val="2"/>
        </w:numPr>
        <w:spacing w:after="40" w:before="40"/>
      </w:pPr>
      <w:r>
        <w:t xml:space="preserve">Confirm the phishing email — collect headers, sender, subject, content for analysis.</w:t>
      </w:r>
    </w:p>
    <w:p>
      <w:pPr>
        <w:pStyle w:val="ListParagraph"/>
        <w:numPr>
          <w:ilvl w:val="0"/>
          <w:numId w:val="2"/>
        </w:numPr>
        <w:spacing w:after="40" w:before="40"/>
      </w:pPr>
      <w:r>
        <w:t xml:space="preserve">Search the email environment for other recipients of the same or similar messages and remove them.</w:t>
      </w:r>
    </w:p>
    <w:p>
      <w:pPr>
        <w:pStyle w:val="ListParagraph"/>
        <w:numPr>
          <w:ilvl w:val="0"/>
          <w:numId w:val="2"/>
        </w:numPr>
        <w:spacing w:after="40" w:before="40"/>
      </w:pPr>
      <w:r>
        <w:t xml:space="preserve">Block the sender, domain and any URLs at the email gateway and web filter.</w:t>
      </w:r>
    </w:p>
    <w:p>
      <w:pPr>
        <w:pStyle w:val="ListParagraph"/>
        <w:numPr>
          <w:ilvl w:val="0"/>
          <w:numId w:val="2"/>
        </w:numPr>
        <w:spacing w:after="40" w:before="40"/>
      </w:pPr>
      <w:r>
        <w:t xml:space="preserve">Identify any users who clicked, replied or entered credentials. Treat each as a potential account compromise (escalate to that playbook).</w:t>
      </w:r>
    </w:p>
    <w:p>
      <w:pPr>
        <w:pStyle w:val="ListParagraph"/>
        <w:numPr>
          <w:ilvl w:val="0"/>
          <w:numId w:val="2"/>
        </w:numPr>
        <w:spacing w:after="40" w:before="40"/>
      </w:pPr>
      <w:r>
        <w:t xml:space="preserve">Issue a brief staff alert (using the staff template in section 8.3) noting the lure, what to look out for, and that staff should report any suspicions.</w:t>
      </w:r>
    </w:p>
    <w:p>
      <w:pPr>
        <w:pStyle w:val="ListParagraph"/>
        <w:numPr>
          <w:ilvl w:val="0"/>
          <w:numId w:val="2"/>
        </w:numPr>
        <w:spacing w:after="40" w:before="40"/>
      </w:pPr>
      <w:r>
        <w:t xml:space="preserve">If the campaign targeted finance staff (BEC) and a fraudulent payment was attempted, contact the bank, Report Fraud and the police (escalate to the BEC playbook).</w:t>
      </w:r>
    </w:p>
    <w:p>
      <w:pPr>
        <w:pStyle w:val="ListParagraph"/>
        <w:numPr>
          <w:ilvl w:val="0"/>
          <w:numId w:val="2"/>
        </w:numPr>
        <w:spacing w:after="40" w:before="40"/>
      </w:pPr>
      <w:r>
        <w:t xml:space="preserve">Capture in the incident log and post-incident review.</w:t>
      </w:r>
    </w:p>
    <w:p>
      <w:pPr>
        <w:pStyle w:val="Heading3"/>
      </w:pPr>
      <w:r>
        <w:t xml:space="preserve">Business email compromise (BEC) / invoice fraud</w:t>
      </w:r>
    </w:p>
    <w:p>
      <w:pPr>
        <w:pStyle w:val="ListParagraph"/>
        <w:numPr>
          <w:ilvl w:val="0"/>
          <w:numId w:val="2"/>
        </w:numPr>
        <w:spacing w:after="40" w:before="40"/>
      </w:pPr>
      <w:r>
        <w:t xml:space="preserve">If a payment has been made or is about to be made: call the school's bank fraud line IMMEDIATELY. Time-to-recall is the single biggest determinant of whether the money comes back. Make this call BEFORE notifying anyone else.</w:t>
      </w:r>
    </w:p>
    <w:p>
      <w:pPr>
        <w:pStyle w:val="ListParagraph"/>
        <w:numPr>
          <w:ilvl w:val="0"/>
          <w:numId w:val="2"/>
        </w:numPr>
        <w:spacing w:after="40" w:before="40"/>
      </w:pPr>
      <w:r>
        <w:t xml:space="preserve">Call Report Fraud on 0300 123 2040 (24/7 live-attack line) to obtain a police crime reference number — required for local authority cyber cover / insurance claims and for bank-recall escalation.</w:t>
      </w:r>
    </w:p>
    <w:p>
      <w:pPr>
        <w:pStyle w:val="ListParagraph"/>
        <w:numPr>
          <w:ilvl w:val="0"/>
          <w:numId w:val="2"/>
        </w:numPr>
        <w:spacing w:after="40" w:before="40"/>
      </w:pPr>
      <w:r>
        <w:t xml:space="preserve">Notify your local authority cyber lead / cyber insurer immediately. Most arrangements require notification before engaging external incident responders.</w:t>
      </w:r>
    </w:p>
    <w:p>
      <w:pPr>
        <w:pStyle w:val="ListParagraph"/>
        <w:numPr>
          <w:ilvl w:val="0"/>
          <w:numId w:val="2"/>
        </w:numPr>
        <w:spacing w:after="40" w:before="40"/>
      </w:pPr>
      <w:r>
        <w:t xml:space="preserve">Identify the compromised or spoofed account. If a school account: disable it, force password reset, revoke all sessions and refresh tokens, re-enrol MFA, audit mail-forwarding rules, inbox rules, delegate-access and OAuth grants. If a supplier account: contact the supplier via a known phone number on file (NOT the number in the suspicious email).</w:t>
      </w:r>
    </w:p>
    <w:p>
      <w:pPr>
        <w:pStyle w:val="ListParagraph"/>
        <w:numPr>
          <w:ilvl w:val="0"/>
          <w:numId w:val="2"/>
        </w:numPr>
        <w:spacing w:after="40" w:before="40"/>
      </w:pPr>
      <w:r>
        <w:t xml:space="preserve">Search the mail environment for all messages from the spoofed or compromised sender. Quarantine and review for additional fraud attempts targeted at colleagues.</w:t>
      </w:r>
    </w:p>
    <w:p>
      <w:pPr>
        <w:pStyle w:val="ListParagraph"/>
        <w:numPr>
          <w:ilvl w:val="0"/>
          <w:numId w:val="2"/>
        </w:numPr>
        <w:spacing w:after="40" w:before="40"/>
      </w:pPr>
      <w:r>
        <w:t xml:space="preserve">Notify all finance-handling staff (bursar, finance officer, headteacher's PA, business manager) of the attempt and what to look for in the coming days — attackers commonly try again with variants.</w:t>
      </w:r>
    </w:p>
    <w:p>
      <w:pPr>
        <w:pStyle w:val="ListParagraph"/>
        <w:numPr>
          <w:ilvl w:val="0"/>
          <w:numId w:val="2"/>
        </w:numPr>
        <w:spacing w:after="40" w:before="40"/>
      </w:pPr>
      <w:r>
        <w:t xml:space="preserve">If employee or supplier personal data was involved (bank details, payroll, contact details), escalate to the personal data breach playbook for ICO notifiability assessment.</w:t>
      </w:r>
    </w:p>
    <w:p>
      <w:pPr>
        <w:pStyle w:val="ListParagraph"/>
        <w:numPr>
          <w:ilvl w:val="0"/>
          <w:numId w:val="2"/>
        </w:numPr>
        <w:spacing w:after="40" w:before="40"/>
      </w:pPr>
      <w:r>
        <w:t xml:space="preserve">Post-incident review: bank recall outcome, root cause (compromised mailbox? spoofed sender? broken supplier verification?), control improvements required (dual-authorisation threshold, supplier call-back policy, MFA enforcement on finance accounts), staff training refresh.</w:t>
      </w:r>
    </w:p>
    <w:p>
      <w:pPr>
        <w:pStyle w:val="Heading3"/>
      </w:pPr>
      <w:r>
        <w:t xml:space="preserve">SaaS supplier incident (Arbor / SIMS / Bromcom / ParentPay / CPOMS / M365 / Hwb services etc.)</w:t>
      </w:r>
    </w:p>
    <w:p>
      <w:pPr>
        <w:pStyle w:val="ListParagraph"/>
        <w:numPr>
          <w:ilvl w:val="0"/>
          <w:numId w:val="2"/>
        </w:numPr>
        <w:spacing w:after="40" w:before="40"/>
      </w:pPr>
      <w:r>
        <w:t xml:space="preserve">Verify the incident is real — confirm via the supplier's official channel (status page, account manager direct), NOT the email that told you about it. Phishing impersonating a supplier breach is increasingly common.</w:t>
      </w:r>
    </w:p>
    <w:p>
      <w:pPr>
        <w:pStyle w:val="ListParagraph"/>
        <w:numPr>
          <w:ilvl w:val="0"/>
          <w:numId w:val="2"/>
        </w:numPr>
        <w:spacing w:after="40" w:before="40"/>
      </w:pPr>
      <w:r>
        <w:t xml:space="preserve">Get the supplier's official Incident Notification in writing for the school's evidence pack. Note the supplier's reference number, date/time of confirmation, and the precise scope they've identified.</w:t>
      </w:r>
    </w:p>
    <w:p>
      <w:pPr>
        <w:pStyle w:val="ListParagraph"/>
        <w:numPr>
          <w:ilvl w:val="0"/>
          <w:numId w:val="2"/>
        </w:numPr>
        <w:spacing w:after="40" w:before="40"/>
      </w:pPr>
      <w:r>
        <w:t xml:space="preserve">Convene CIRT including the DPO. Determine the scope of YOUR school's data affected: categories (pupil records, safeguarding, finance, contact details), volume (number of pupils / staff / parents), and any special category data (health, ALN/ASN, safeguarding).</w:t>
      </w:r>
    </w:p>
    <w:p>
      <w:pPr>
        <w:pStyle w:val="ListParagraph"/>
        <w:numPr>
          <w:ilvl w:val="0"/>
          <w:numId w:val="2"/>
        </w:numPr>
        <w:spacing w:after="40" w:before="40"/>
      </w:pPr>
      <w:r>
        <w:t xml:space="preserve">ICO 72-hour clock starts when YOU become aware — not when the supplier does. The DPO assesses notifiability under UK GDPR Article 33. If notifiable, the school files at ico.org.uk/for-organisations/report-a-breach. The supplier's own notification to the ICO (if any) does NOT discharge the school's obligation.</w:t>
      </w:r>
    </w:p>
    <w:p>
      <w:pPr>
        <w:pStyle w:val="ListParagraph"/>
        <w:numPr>
          <w:ilvl w:val="0"/>
          <w:numId w:val="2"/>
        </w:numPr>
        <w:spacing w:after="40" w:before="40"/>
      </w:pPr>
      <w:r>
        <w:t xml:space="preserve">Article 34: if the breach is high-risk to data subjects, the school must inform them directly (parents, staff). The supplier's notification to the school is not the same as the school's notification to its data subjects.</w:t>
      </w:r>
    </w:p>
    <w:p>
      <w:pPr>
        <w:pStyle w:val="ListParagraph"/>
        <w:numPr>
          <w:ilvl w:val="0"/>
          <w:numId w:val="2"/>
        </w:numPr>
        <w:spacing w:after="40" w:before="40"/>
      </w:pPr>
      <w:r>
        <w:t xml:space="preserve">Exercise the school's contractual right (UK GDPR Article 28 / Data Processing Agreement) to obtain a current copy of all data the supplier holds on the school's behalf — so the school can act independently if supplier service is degraded or unavailable.</w:t>
      </w:r>
    </w:p>
    <w:p>
      <w:pPr>
        <w:pStyle w:val="ListParagraph"/>
        <w:numPr>
          <w:ilvl w:val="0"/>
          <w:numId w:val="2"/>
        </w:numPr>
        <w:spacing w:after="40" w:before="40"/>
      </w:pPr>
      <w:r>
        <w:t xml:space="preserve">Maintain operational continuity. Trigger paper-fallback procedures where the supplier's service is unavailable (e.g. paper attendance register, paper safeguarding log) until the service is restored.</w:t>
      </w:r>
    </w:p>
    <w:p>
      <w:pPr>
        <w:pStyle w:val="ListParagraph"/>
        <w:numPr>
          <w:ilvl w:val="0"/>
          <w:numId w:val="2"/>
        </w:numPr>
        <w:spacing w:after="40" w:before="40"/>
      </w:pPr>
      <w:r>
        <w:t xml:space="preserve">Notify your local authority cyber lead, the regional ROCU Cyber PROTECT team (TARIAN for South Wales / Gwent / Dyfed-Powys; NWROCU for North Wales), and any applicable Welsh Government / consortium digital education contact.</w:t>
      </w:r>
    </w:p>
    <w:p>
      <w:pPr>
        <w:pStyle w:val="ListParagraph"/>
        <w:numPr>
          <w:ilvl w:val="0"/>
          <w:numId w:val="2"/>
        </w:numPr>
        <w:spacing w:after="40" w:before="40"/>
      </w:pPr>
      <w:r>
        <w:t xml:space="preserve">Post-incident review: assess the supplier's root cause, remedial actions and any change to their security posture. Make a commercial decision on continuing the contract. Update the school's asset register (Plan section 9) with any changes to the supplier's incident contact, DPA review date, or recovery procedures.</w:t>
      </w:r>
    </w:p>
    <w:p>
      <w:pPr>
        <w:pStyle w:val="Heading2"/>
        <w:pBdr>
          <w:bottom w:val="single" w:color="0B2545" w:sz="12" w:space="6"/>
        </w:pBdr>
      </w:pPr>
      <w:r>
        <w:t xml:space="preserve">8. Communications</w:t>
      </w:r>
    </w:p>
    <w:tbl>
      <w:tblPr>
        <w:tblW w:type="pct" w:w="100%"/>
        <w:tblBorders>
          <w:top w:val="single" w:color="EEF2F7" w:sz="4"/>
          <w:left w:val="single" w:color="EEF2F7" w:sz="4"/>
          <w:bottom w:val="single" w:color="EEF2F7" w:sz="4"/>
          <w:right w:val="single" w:color="EEF2F7" w:sz="4"/>
          <w:insideH w:val="single" w:color="EEF2F7" w:sz="4"/>
          <w:insideV w:val="single" w:color="EEF2F7" w:sz="4"/>
        </w:tblBorders>
      </w:tblPr>
      <w:tblGrid>
        <w:gridCol w:w="100"/>
        <w:gridCol w:w="100"/>
      </w:tblGrid>
      <w:tr>
        <w:trPr>
          <w:cantSplit/>
        </w:trPr>
        <w:tc>
          <w:tcPr>
            <w:tcW w:type="pct" w:w="38%"/>
            <w:tcBorders>
              <w:top w:val="single" w:color="EEF2F7" w:sz="4"/>
              <w:left w:val="single" w:color="EEF2F7" w:sz="4"/>
              <w:bottom w:val="single" w:color="EEF2F7" w:sz="4"/>
              <w:right w:val="single" w:color="EEF2F7" w:sz="4"/>
            </w:tcBorders>
            <w:shd w:fill="F7F9FC" w:color="auto" w:val="clear"/>
            <w:tcMar>
              <w:top w:type="dxa" w:w="100"/>
              <w:left w:type="dxa" w:w="140"/>
              <w:bottom w:type="dxa" w:w="100"/>
              <w:right w:type="dxa" w:w="140"/>
            </w:tcMar>
          </w:tcPr>
          <w:p>
            <w:pPr>
              <w:spacing/>
            </w:pPr>
            <w:r>
              <w:rPr>
                <w:rFonts w:ascii="IBM Plex Sans" w:cs="IBM Plex Sans" w:eastAsia="IBM Plex Sans" w:hAnsi="IBM Plex Sans"/>
                <w:b/>
                <w:bCs/>
                <w:color w:val="13315C"/>
                <w:sz w:val="18"/>
                <w:szCs w:val="18"/>
              </w:rPr>
              <w:t xml:space="preserve">Primary channel if email is down</w:t>
            </w:r>
          </w:p>
        </w:tc>
        <w:tc>
          <w:tcPr>
            <w:tcW w:type="pct" w:w="62%"/>
            <w:tcBorders>
              <w:top w:val="single" w:color="EEF2F7" w:sz="4"/>
              <w:left w:val="single" w:color="EEF2F7" w:sz="4"/>
              <w:bottom w:val="single" w:color="EEF2F7" w:sz="4"/>
              <w:right w:val="single" w:color="EEF2F7" w:sz="4"/>
            </w:tcBorders>
            <w:tcMar>
              <w:top w:type="dxa" w:w="100"/>
              <w:left w:type="dxa" w:w="140"/>
              <w:bottom w:type="dxa" w:w="100"/>
              <w:right w:type="dxa" w:w="140"/>
            </w:tcMar>
          </w:tcPr>
          <w:p>
            <w:pPr>
              <w:spacing/>
            </w:pPr>
            <w:r>
              <w:rPr>
                <w:rFonts w:ascii="IBM Plex Sans" w:cs="IBM Plex Sans" w:eastAsia="IBM Plex Sans" w:hAnsi="IBM Plex Sans"/>
                <w:color w:val="1F2937"/>
                <w:sz w:val="18"/>
                <w:szCs w:val="18"/>
              </w:rPr>
              <w:t xml:space="preserve">[to be completed]</w:t>
            </w:r>
          </w:p>
        </w:tc>
      </w:tr>
      <w:tr>
        <w:trPr>
          <w:cantSplit/>
        </w:trPr>
        <w:tc>
          <w:tcPr>
            <w:tcW w:type="pct" w:w="38%"/>
            <w:tcBorders>
              <w:top w:val="single" w:color="EEF2F7" w:sz="4"/>
              <w:left w:val="single" w:color="EEF2F7" w:sz="4"/>
              <w:bottom w:val="single" w:color="EEF2F7" w:sz="4"/>
              <w:right w:val="single" w:color="EEF2F7" w:sz="4"/>
            </w:tcBorders>
            <w:shd w:fill="F7F9FC" w:color="auto" w:val="clear"/>
            <w:tcMar>
              <w:top w:type="dxa" w:w="100"/>
              <w:left w:type="dxa" w:w="140"/>
              <w:bottom w:type="dxa" w:w="100"/>
              <w:right w:type="dxa" w:w="140"/>
            </w:tcMar>
          </w:tcPr>
          <w:p>
            <w:pPr>
              <w:spacing/>
            </w:pPr>
            <w:r>
              <w:rPr>
                <w:rFonts w:ascii="IBM Plex Sans" w:cs="IBM Plex Sans" w:eastAsia="IBM Plex Sans" w:hAnsi="IBM Plex Sans"/>
                <w:b/>
                <w:bCs/>
                <w:color w:val="13315C"/>
                <w:sz w:val="18"/>
                <w:szCs w:val="18"/>
              </w:rPr>
              <w:t xml:space="preserve">Alternate channel</w:t>
            </w:r>
          </w:p>
        </w:tc>
        <w:tc>
          <w:tcPr>
            <w:tcW w:type="pct" w:w="62%"/>
            <w:tcBorders>
              <w:top w:val="single" w:color="EEF2F7" w:sz="4"/>
              <w:left w:val="single" w:color="EEF2F7" w:sz="4"/>
              <w:bottom w:val="single" w:color="EEF2F7" w:sz="4"/>
              <w:right w:val="single" w:color="EEF2F7" w:sz="4"/>
            </w:tcBorders>
            <w:tcMar>
              <w:top w:type="dxa" w:w="100"/>
              <w:left w:type="dxa" w:w="140"/>
              <w:bottom w:type="dxa" w:w="100"/>
              <w:right w:type="dxa" w:w="140"/>
            </w:tcMar>
          </w:tcPr>
          <w:p>
            <w:pPr>
              <w:spacing/>
            </w:pPr>
            <w:r>
              <w:rPr>
                <w:rFonts w:ascii="IBM Plex Sans" w:cs="IBM Plex Sans" w:eastAsia="IBM Plex Sans" w:hAnsi="IBM Plex Sans"/>
                <w:color w:val="1F2937"/>
                <w:sz w:val="18"/>
                <w:szCs w:val="18"/>
              </w:rPr>
              <w:t xml:space="preserve">[to be completed]</w:t>
            </w:r>
          </w:p>
        </w:tc>
      </w:tr>
      <w:tr>
        <w:trPr>
          <w:cantSplit/>
        </w:trPr>
        <w:tc>
          <w:tcPr>
            <w:tcW w:type="pct" w:w="38%"/>
            <w:tcBorders>
              <w:top w:val="single" w:color="EEF2F7" w:sz="4"/>
              <w:left w:val="single" w:color="EEF2F7" w:sz="4"/>
              <w:bottom w:val="single" w:color="EEF2F7" w:sz="4"/>
              <w:right w:val="single" w:color="EEF2F7" w:sz="4"/>
            </w:tcBorders>
            <w:shd w:fill="F7F9FC" w:color="auto" w:val="clear"/>
            <w:tcMar>
              <w:top w:type="dxa" w:w="100"/>
              <w:left w:type="dxa" w:w="140"/>
              <w:bottom w:type="dxa" w:w="100"/>
              <w:right w:type="dxa" w:w="140"/>
            </w:tcMar>
          </w:tcPr>
          <w:p>
            <w:pPr>
              <w:spacing/>
            </w:pPr>
            <w:r>
              <w:rPr>
                <w:rFonts w:ascii="IBM Plex Sans" w:cs="IBM Plex Sans" w:eastAsia="IBM Plex Sans" w:hAnsi="IBM Plex Sans"/>
                <w:b/>
                <w:bCs/>
                <w:color w:val="13315C"/>
                <w:sz w:val="18"/>
                <w:szCs w:val="18"/>
              </w:rPr>
              <w:t xml:space="preserve">Website holding-page text</w:t>
            </w:r>
          </w:p>
        </w:tc>
        <w:tc>
          <w:tcPr>
            <w:tcW w:type="pct" w:w="62%"/>
            <w:tcBorders>
              <w:top w:val="single" w:color="EEF2F7" w:sz="4"/>
              <w:left w:val="single" w:color="EEF2F7" w:sz="4"/>
              <w:bottom w:val="single" w:color="EEF2F7" w:sz="4"/>
              <w:right w:val="single" w:color="EEF2F7" w:sz="4"/>
            </w:tcBorders>
            <w:tcMar>
              <w:top w:type="dxa" w:w="100"/>
              <w:left w:type="dxa" w:w="140"/>
              <w:bottom w:type="dxa" w:w="100"/>
              <w:right w:type="dxa" w:w="140"/>
            </w:tcMar>
          </w:tcPr>
          <w:p>
            <w:pPr>
              <w:spacing/>
            </w:pPr>
            <w:r>
              <w:rPr>
                <w:rFonts w:ascii="IBM Plex Sans" w:cs="IBM Plex Sans" w:eastAsia="IBM Plex Sans" w:hAnsi="IBM Plex Sans"/>
                <w:color w:val="1F2937"/>
                <w:sz w:val="18"/>
                <w:szCs w:val="18"/>
              </w:rPr>
              <w:t xml:space="preserve">[to be completed]</w:t>
            </w:r>
          </w:p>
        </w:tc>
      </w:tr>
    </w:tbl>
    <w:p>
      <w:pPr>
        <w:pStyle w:val="Heading3"/>
      </w:pPr>
      <w:r>
        <w:t xml:space="preserve">Parent communication template</w:t>
      </w:r>
    </w:p>
    <w:p>
      <w:pPr>
        <w:spacing/>
      </w:pPr>
      <w:r>
        <w:rPr>
          <w:rFonts w:ascii="IBM Plex Sans" w:cs="IBM Plex Sans" w:eastAsia="IBM Plex Sans" w:hAnsi="IBM Plex Sans"/>
          <w:color w:val="1F2937"/>
          <w:sz w:val="22"/>
          <w:szCs w:val="22"/>
        </w:rPr>
        <w:t xml:space="preserve">[to be completed]</w:t>
      </w:r>
    </w:p>
    <w:p>
      <w:pPr>
        <w:pStyle w:val="Heading3"/>
      </w:pPr>
      <w:r>
        <w:t xml:space="preserve">Staff communication template</w:t>
      </w:r>
    </w:p>
    <w:p>
      <w:pPr>
        <w:spacing/>
      </w:pPr>
      <w:r>
        <w:rPr>
          <w:rFonts w:ascii="IBM Plex Sans" w:cs="IBM Plex Sans" w:eastAsia="IBM Plex Sans" w:hAnsi="IBM Plex Sans"/>
          <w:color w:val="1F2937"/>
          <w:sz w:val="22"/>
          <w:szCs w:val="22"/>
        </w:rPr>
        <w:t xml:space="preserve">[to be completed]</w:t>
      </w:r>
    </w:p>
    <w:p>
      <w:pPr>
        <w:pStyle w:val="Heading3"/>
      </w:pPr>
      <w:r>
        <w:t xml:space="preserve">ICO notification template</w:t>
      </w:r>
    </w:p>
    <w:p>
      <w:pPr>
        <w:spacing/>
      </w:pPr>
      <w:r>
        <w:rPr>
          <w:rFonts w:ascii="IBM Plex Sans" w:cs="IBM Plex Sans" w:eastAsia="IBM Plex Sans" w:hAnsi="IBM Plex Sans"/>
          <w:color w:val="1F2937"/>
          <w:sz w:val="22"/>
          <w:szCs w:val="22"/>
        </w:rPr>
        <w:t xml:space="preserve">[to be completed]</w:t>
      </w:r>
    </w:p>
    <w:p>
      <w:pPr>
        <w:pStyle w:val="Heading3"/>
      </w:pPr>
      <w:r>
        <w:t xml:space="preserve">Governor / trustee briefing template</w:t>
      </w:r>
    </w:p>
    <w:p>
      <w:pPr>
        <w:spacing/>
      </w:pPr>
      <w:r>
        <w:rPr>
          <w:rFonts w:ascii="IBM Plex Sans" w:cs="IBM Plex Sans" w:eastAsia="IBM Plex Sans" w:hAnsi="IBM Plex Sans"/>
          <w:color w:val="1F2937"/>
          <w:sz w:val="22"/>
          <w:szCs w:val="22"/>
        </w:rPr>
        <w:t xml:space="preserve">[to be completed]</w:t>
      </w:r>
    </w:p>
    <w:p>
      <w:pPr>
        <w:pStyle w:val="Heading2"/>
        <w:pBdr>
          <w:bottom w:val="single" w:color="0B2545" w:sz="12" w:space="6"/>
        </w:pBdr>
      </w:pPr>
      <w:r>
        <w:t xml:space="preserve">9. Critical systems &amp; Business Impact Analysis</w:t>
      </w:r>
    </w:p>
    <w:p>
      <w:pPr>
        <w:spacing/>
      </w:pPr>
      <w:r>
        <w:rPr>
          <w:rFonts w:ascii="IBM Plex Sans" w:cs="IBM Plex Sans" w:eastAsia="IBM Plex Sans" w:hAnsi="IBM Plex Sans"/>
          <w:color w:val="1F2937"/>
          <w:sz w:val="22"/>
          <w:szCs w:val="22"/>
        </w:rPr>
        <w:t xml:space="preserve">A short asset register identifying the systems that must come back online first if an incident takes them down. RTO is the maximum acceptable downtime; priority is the order of restoration.</w:t>
      </w:r>
    </w:p>
    <w:tbl>
      <w:tblPr>
        <w:tblW w:type="pct" w:w="100%"/>
        <w:tblBorders>
          <w:top w:val="single" w:color="E3E8EF" w:sz="4"/>
          <w:left w:val="single" w:color="E3E8EF" w:sz="4"/>
          <w:bottom w:val="single" w:color="E3E8EF" w:sz="4"/>
          <w:right w:val="single" w:color="E3E8EF" w:sz="4"/>
          <w:insideH w:val="single" w:color="E3E8EF" w:sz="4"/>
          <w:insideV w:val="single" w:color="E3E8EF" w:sz="4"/>
        </w:tblBorders>
      </w:tblPr>
      <w:tblGrid>
        <w:gridCol w:w="100"/>
        <w:gridCol w:w="100"/>
        <w:gridCol w:w="100"/>
        <w:gridCol w:w="100"/>
        <w:gridCol w:w="100"/>
        <w:gridCol w:w="100"/>
        <w:gridCol w:w="100"/>
      </w:tblGrid>
      <w:tr>
        <w:trPr>
          <w:cantSplit/>
          <w:tblHeader/>
        </w:trPr>
        <w:tc>
          <w:tcPr>
            <w:tcW w:type="dxa" w:w="1440"/>
            <w:tcBorders>
              <w:top w:val="single" w:color="0B2545" w:sz="4"/>
              <w:left w:val="single" w:color="0B2545" w:sz="4"/>
              <w:bottom w:val="single" w:color="0B2545" w:sz="4"/>
              <w:right w:val="single" w:color="0B2545" w:sz="4"/>
            </w:tcBorders>
            <w:shd w:fill="0B2545" w:color="auto" w:val="clear"/>
            <w:tcMar>
              <w:top w:type="dxa" w:w="90"/>
              <w:left w:type="dxa" w:w="140"/>
              <w:bottom w:type="dxa" w:w="90"/>
              <w:right w:type="dxa" w:w="140"/>
            </w:tcMar>
          </w:tcPr>
          <w:p>
            <w:pPr>
              <w:spacing w:after="0" w:before="0"/>
            </w:pPr>
            <w:r>
              <w:rPr>
                <w:rFonts w:ascii="IBM Plex Sans" w:cs="IBM Plex Sans" w:eastAsia="IBM Plex Sans" w:hAnsi="IBM Plex Sans"/>
                <w:b/>
                <w:bCs/>
                <w:color w:val="FFFFFF"/>
                <w:spacing w:val="20"/>
                <w:sz w:val="14"/>
                <w:szCs w:val="14"/>
              </w:rPr>
              <w:t xml:space="preserve">SYSTEM</w:t>
            </w:r>
          </w:p>
        </w:tc>
        <w:tc>
          <w:tcPr>
            <w:tcW w:type="dxa" w:w="1260"/>
            <w:tcBorders>
              <w:top w:val="single" w:color="0B2545" w:sz="4"/>
              <w:left w:val="single" w:color="0B2545" w:sz="4"/>
              <w:bottom w:val="single" w:color="0B2545" w:sz="4"/>
              <w:right w:val="single" w:color="0B2545" w:sz="4"/>
            </w:tcBorders>
            <w:shd w:fill="0B2545" w:color="auto" w:val="clear"/>
            <w:tcMar>
              <w:top w:type="dxa" w:w="90"/>
              <w:left w:type="dxa" w:w="140"/>
              <w:bottom w:type="dxa" w:w="90"/>
              <w:right w:type="dxa" w:w="140"/>
            </w:tcMar>
          </w:tcPr>
          <w:p>
            <w:pPr>
              <w:spacing w:after="0" w:before="0"/>
            </w:pPr>
            <w:r>
              <w:rPr>
                <w:rFonts w:ascii="IBM Plex Sans" w:cs="IBM Plex Sans" w:eastAsia="IBM Plex Sans" w:hAnsi="IBM Plex Sans"/>
                <w:b/>
                <w:bCs/>
                <w:color w:val="FFFFFF"/>
                <w:spacing w:val="20"/>
                <w:sz w:val="14"/>
                <w:szCs w:val="14"/>
              </w:rPr>
              <w:t xml:space="preserve">SUPPLIER</w:t>
            </w:r>
          </w:p>
        </w:tc>
        <w:tc>
          <w:tcPr>
            <w:tcW w:type="dxa" w:w="1440"/>
            <w:tcBorders>
              <w:top w:val="single" w:color="0B2545" w:sz="4"/>
              <w:left w:val="single" w:color="0B2545" w:sz="4"/>
              <w:bottom w:val="single" w:color="0B2545" w:sz="4"/>
              <w:right w:val="single" w:color="0B2545" w:sz="4"/>
            </w:tcBorders>
            <w:shd w:fill="0B2545" w:color="auto" w:val="clear"/>
            <w:tcMar>
              <w:top w:type="dxa" w:w="90"/>
              <w:left w:type="dxa" w:w="140"/>
              <w:bottom w:type="dxa" w:w="90"/>
              <w:right w:type="dxa" w:w="140"/>
            </w:tcMar>
          </w:tcPr>
          <w:p>
            <w:pPr>
              <w:spacing w:after="0" w:before="0"/>
            </w:pPr>
            <w:r>
              <w:rPr>
                <w:rFonts w:ascii="IBM Plex Sans" w:cs="IBM Plex Sans" w:eastAsia="IBM Plex Sans" w:hAnsi="IBM Plex Sans"/>
                <w:b/>
                <w:bCs/>
                <w:color w:val="FFFFFF"/>
                <w:spacing w:val="20"/>
                <w:sz w:val="14"/>
                <w:szCs w:val="14"/>
              </w:rPr>
              <w:t xml:space="preserve">DATA HELD</w:t>
            </w:r>
          </w:p>
        </w:tc>
        <w:tc>
          <w:tcPr>
            <w:tcW w:type="dxa" w:w="900"/>
            <w:tcBorders>
              <w:top w:val="single" w:color="0B2545" w:sz="4"/>
              <w:left w:val="single" w:color="0B2545" w:sz="4"/>
              <w:bottom w:val="single" w:color="0B2545" w:sz="4"/>
              <w:right w:val="single" w:color="0B2545" w:sz="4"/>
            </w:tcBorders>
            <w:shd w:fill="0B2545" w:color="auto" w:val="clear"/>
            <w:tcMar>
              <w:top w:type="dxa" w:w="90"/>
              <w:left w:type="dxa" w:w="140"/>
              <w:bottom w:type="dxa" w:w="90"/>
              <w:right w:type="dxa" w:w="140"/>
            </w:tcMar>
          </w:tcPr>
          <w:p>
            <w:pPr>
              <w:spacing w:after="0" w:before="0"/>
            </w:pPr>
            <w:r>
              <w:rPr>
                <w:rFonts w:ascii="IBM Plex Sans" w:cs="IBM Plex Sans" w:eastAsia="IBM Plex Sans" w:hAnsi="IBM Plex Sans"/>
                <w:b/>
                <w:bCs/>
                <w:color w:val="FFFFFF"/>
                <w:spacing w:val="20"/>
                <w:sz w:val="14"/>
                <w:szCs w:val="14"/>
              </w:rPr>
              <w:t xml:space="preserve">HOSTING</w:t>
            </w:r>
          </w:p>
        </w:tc>
        <w:tc>
          <w:tcPr>
            <w:tcW w:type="dxa" w:w="720"/>
            <w:tcBorders>
              <w:top w:val="single" w:color="0B2545" w:sz="4"/>
              <w:left w:val="single" w:color="0B2545" w:sz="4"/>
              <w:bottom w:val="single" w:color="0B2545" w:sz="4"/>
              <w:right w:val="single" w:color="0B2545" w:sz="4"/>
            </w:tcBorders>
            <w:shd w:fill="0B2545" w:color="auto" w:val="clear"/>
            <w:tcMar>
              <w:top w:type="dxa" w:w="90"/>
              <w:left w:type="dxa" w:w="140"/>
              <w:bottom w:type="dxa" w:w="90"/>
              <w:right w:type="dxa" w:w="140"/>
            </w:tcMar>
          </w:tcPr>
          <w:p>
            <w:pPr>
              <w:spacing w:after="0" w:before="0"/>
            </w:pPr>
            <w:r>
              <w:rPr>
                <w:rFonts w:ascii="IBM Plex Sans" w:cs="IBM Plex Sans" w:eastAsia="IBM Plex Sans" w:hAnsi="IBM Plex Sans"/>
                <w:b/>
                <w:bCs/>
                <w:color w:val="FFFFFF"/>
                <w:spacing w:val="20"/>
                <w:sz w:val="14"/>
                <w:szCs w:val="14"/>
              </w:rPr>
              <w:t xml:space="preserve">RTO</w:t>
            </w:r>
          </w:p>
        </w:tc>
        <w:tc>
          <w:tcPr>
            <w:tcW w:type="dxa" w:w="900"/>
            <w:tcBorders>
              <w:top w:val="single" w:color="0B2545" w:sz="4"/>
              <w:left w:val="single" w:color="0B2545" w:sz="4"/>
              <w:bottom w:val="single" w:color="0B2545" w:sz="4"/>
              <w:right w:val="single" w:color="0B2545" w:sz="4"/>
            </w:tcBorders>
            <w:shd w:fill="0B2545" w:color="auto" w:val="clear"/>
            <w:tcMar>
              <w:top w:type="dxa" w:w="90"/>
              <w:left w:type="dxa" w:w="140"/>
              <w:bottom w:type="dxa" w:w="90"/>
              <w:right w:type="dxa" w:w="140"/>
            </w:tcMar>
          </w:tcPr>
          <w:p>
            <w:pPr>
              <w:spacing w:after="0" w:before="0"/>
            </w:pPr>
            <w:r>
              <w:rPr>
                <w:rFonts w:ascii="IBM Plex Sans" w:cs="IBM Plex Sans" w:eastAsia="IBM Plex Sans" w:hAnsi="IBM Plex Sans"/>
                <w:b/>
                <w:bCs/>
                <w:color w:val="FFFFFF"/>
                <w:spacing w:val="20"/>
                <w:sz w:val="14"/>
                <w:szCs w:val="14"/>
              </w:rPr>
              <w:t xml:space="preserve">PRIORITY</w:t>
            </w:r>
          </w:p>
        </w:tc>
        <w:tc>
          <w:tcPr>
            <w:tcW w:type="dxa" w:w="2340"/>
            <w:tcBorders>
              <w:top w:val="single" w:color="0B2545" w:sz="4"/>
              <w:left w:val="single" w:color="0B2545" w:sz="4"/>
              <w:bottom w:val="single" w:color="0B2545" w:sz="4"/>
              <w:right w:val="single" w:color="0B2545" w:sz="4"/>
            </w:tcBorders>
            <w:shd w:fill="0B2545" w:color="auto" w:val="clear"/>
            <w:tcMar>
              <w:top w:type="dxa" w:w="90"/>
              <w:left w:type="dxa" w:w="140"/>
              <w:bottom w:type="dxa" w:w="90"/>
              <w:right w:type="dxa" w:w="140"/>
            </w:tcMar>
          </w:tcPr>
          <w:p>
            <w:pPr>
              <w:spacing w:after="0" w:before="0"/>
            </w:pPr>
            <w:r>
              <w:rPr>
                <w:rFonts w:ascii="IBM Plex Sans" w:cs="IBM Plex Sans" w:eastAsia="IBM Plex Sans" w:hAnsi="IBM Plex Sans"/>
                <w:b/>
                <w:bCs/>
                <w:color w:val="FFFFFF"/>
                <w:spacing w:val="20"/>
                <w:sz w:val="14"/>
                <w:szCs w:val="14"/>
              </w:rPr>
              <w:t xml:space="preserve">INCIDENT CONTACT</w:t>
            </w:r>
          </w:p>
        </w:tc>
      </w:tr>
      <w:tr>
        <w:trPr>
          <w:cantSplit/>
        </w:trPr>
        <w:tc>
          <w:tcPr>
            <w:tcW w:type="dxa" w:w="1440"/>
            <w:tcBorders>
              <w:top w:val="single" w:color="EEF2F7" w:sz="4"/>
              <w:left w:val="single" w:color="EEF2F7" w:sz="4"/>
              <w:bottom w:val="single" w:color="EEF2F7" w:sz="4"/>
              <w:right w:val="single" w:color="EEF2F7" w:sz="4"/>
            </w:tcBorders>
            <w:shd w:fill="F0F4FA" w:color="auto" w:val="clear"/>
            <w:tcMar>
              <w:top w:type="dxa" w:w="100"/>
              <w:left w:type="dxa" w:w="140"/>
              <w:bottom w:type="dxa" w:w="100"/>
              <w:right w:type="dxa" w:w="140"/>
            </w:tcMar>
          </w:tcPr>
          <w:p>
            <w:pPr>
              <w:spacing w:after="0" w:before="0"/>
            </w:pPr>
            <w:r>
              <w:rPr>
                <w:rFonts w:ascii="IBM Plex Sans" w:cs="IBM Plex Sans" w:eastAsia="IBM Plex Sans" w:hAnsi="IBM Plex Sans"/>
                <w:b/>
                <w:bCs/>
                <w:color w:val="0B2545"/>
                <w:sz w:val="18"/>
                <w:szCs w:val="18"/>
              </w:rPr>
              <w:t xml:space="preserve">MIS / Capita SIMS</w:t>
            </w:r>
          </w:p>
        </w:tc>
        <w:tc>
          <w:tcPr>
            <w:tcW w:type="dxa" w:w="1260"/>
            <w:tcBorders>
              <w:top w:val="single" w:color="EEF2F7" w:sz="4"/>
              <w:left w:val="single" w:color="EEF2F7" w:sz="4"/>
              <w:bottom w:val="single" w:color="EEF2F7" w:sz="4"/>
              <w:right w:val="single" w:color="EEF2F7" w:sz="4"/>
            </w:tcBorders>
            <w:shd w:fill="F0F4FA" w:color="auto" w:val="clear"/>
            <w:tcMar>
              <w:top w:type="dxa" w:w="100"/>
              <w:left w:type="dxa" w:w="140"/>
              <w:bottom w:type="dxa" w:w="100"/>
              <w:right w:type="dxa" w:w="140"/>
            </w:tcMar>
          </w:tcPr>
          <w:p>
            <w:pPr>
              <w:spacing w:after="0" w:before="0"/>
            </w:pPr>
            <w:r>
              <w:rPr>
                <w:rFonts w:ascii="IBM Plex Sans" w:cs="IBM Plex Sans" w:eastAsia="IBM Plex Sans" w:hAnsi="IBM Plex Sans"/>
                <w:b w:val="false"/>
                <w:bCs w:val="false"/>
                <w:color w:val="1F2937"/>
                <w:sz w:val="18"/>
                <w:szCs w:val="18"/>
              </w:rPr>
              <w:t xml:space="preserve">Capita SIMS</w:t>
            </w:r>
          </w:p>
        </w:tc>
        <w:tc>
          <w:tcPr>
            <w:tcW w:type="dxa" w:w="1440"/>
            <w:tcBorders>
              <w:top w:val="single" w:color="EEF2F7" w:sz="4"/>
              <w:left w:val="single" w:color="EEF2F7" w:sz="4"/>
              <w:bottom w:val="single" w:color="EEF2F7" w:sz="4"/>
              <w:right w:val="single" w:color="EEF2F7" w:sz="4"/>
            </w:tcBorders>
            <w:shd w:fill="F0F4FA" w:color="auto" w:val="clear"/>
            <w:tcMar>
              <w:top w:type="dxa" w:w="100"/>
              <w:left w:type="dxa" w:w="140"/>
              <w:bottom w:type="dxa" w:w="100"/>
              <w:right w:type="dxa" w:w="140"/>
            </w:tcMar>
          </w:tcPr>
          <w:p>
            <w:pPr>
              <w:spacing w:after="0" w:before="0"/>
            </w:pPr>
            <w:r>
              <w:rPr>
                <w:rFonts w:ascii="IBM Plex Sans" w:cs="IBM Plex Sans" w:eastAsia="IBM Plex Sans" w:hAnsi="IBM Plex Sans"/>
                <w:b w:val="false"/>
                <w:bCs w:val="false"/>
                <w:color w:val="1F2937"/>
                <w:sz w:val="18"/>
                <w:szCs w:val="18"/>
              </w:rPr>
              <w:t xml:space="preserve">Pupil records</w:t>
            </w:r>
          </w:p>
        </w:tc>
        <w:tc>
          <w:tcPr>
            <w:tcW w:type="dxa" w:w="900"/>
            <w:tcBorders>
              <w:top w:val="single" w:color="EEF2F7" w:sz="4"/>
              <w:left w:val="single" w:color="EEF2F7" w:sz="4"/>
              <w:bottom w:val="single" w:color="EEF2F7" w:sz="4"/>
              <w:right w:val="single" w:color="EEF2F7" w:sz="4"/>
            </w:tcBorders>
            <w:shd w:fill="F0F4FA" w:color="auto" w:val="clear"/>
            <w:tcMar>
              <w:top w:type="dxa" w:w="100"/>
              <w:left w:type="dxa" w:w="140"/>
              <w:bottom w:type="dxa" w:w="100"/>
              <w:right w:type="dxa" w:w="140"/>
            </w:tcMar>
          </w:tcPr>
          <w:p>
            <w:pPr>
              <w:spacing w:after="0" w:before="0"/>
            </w:pPr>
            <w:r>
              <w:rPr>
                <w:rFonts w:ascii="IBM Plex Sans" w:cs="IBM Plex Sans" w:eastAsia="IBM Plex Sans" w:hAnsi="IBM Plex Sans"/>
                <w:b w:val="false"/>
                <w:bCs w:val="false"/>
                <w:color w:val="1F2937"/>
                <w:sz w:val="18"/>
                <w:szCs w:val="18"/>
              </w:rPr>
              <w:t xml:space="preserve">On-prem</w:t>
            </w:r>
          </w:p>
        </w:tc>
        <w:tc>
          <w:tcPr>
            <w:tcW w:type="dxa" w:w="720"/>
            <w:tcBorders>
              <w:top w:val="single" w:color="EEF2F7" w:sz="4"/>
              <w:left w:val="single" w:color="EEF2F7" w:sz="4"/>
              <w:bottom w:val="single" w:color="EEF2F7" w:sz="4"/>
              <w:right w:val="single" w:color="EEF2F7" w:sz="4"/>
            </w:tcBorders>
            <w:shd w:fill="F0F4FA" w:color="auto" w:val="clear"/>
            <w:tcMar>
              <w:top w:type="dxa" w:w="100"/>
              <w:left w:type="dxa" w:w="140"/>
              <w:bottom w:type="dxa" w:w="100"/>
              <w:right w:type="dxa" w:w="140"/>
            </w:tcMar>
          </w:tcPr>
          <w:p>
            <w:pPr>
              <w:spacing w:after="0" w:before="0"/>
            </w:pPr>
            <w:r>
              <w:rPr>
                <w:rFonts w:ascii="IBM Plex Sans" w:cs="IBM Plex Sans" w:eastAsia="IBM Plex Sans" w:hAnsi="IBM Plex Sans"/>
                <w:b w:val="false"/>
                <w:bCs w:val="false"/>
                <w:color w:val="1F2937"/>
                <w:sz w:val="18"/>
                <w:szCs w:val="18"/>
              </w:rPr>
              <w:t xml:space="preserve">4h</w:t>
            </w:r>
          </w:p>
        </w:tc>
        <w:tc>
          <w:tcPr>
            <w:tcW w:type="dxa" w:w="900"/>
            <w:tcBorders>
              <w:top w:val="single" w:color="EEF2F7" w:sz="4"/>
              <w:left w:val="single" w:color="EEF2F7" w:sz="4"/>
              <w:bottom w:val="single" w:color="EEF2F7" w:sz="4"/>
              <w:right w:val="single" w:color="EEF2F7" w:sz="4"/>
            </w:tcBorders>
            <w:shd w:fill="F0F4FA" w:color="auto" w:val="clear"/>
            <w:tcMar>
              <w:top w:type="dxa" w:w="100"/>
              <w:left w:type="dxa" w:w="140"/>
              <w:bottom w:type="dxa" w:w="100"/>
              <w:right w:type="dxa" w:w="140"/>
            </w:tcMar>
          </w:tcPr>
          <w:p>
            <w:pPr>
              <w:spacing w:after="0" w:before="0"/>
            </w:pPr>
            <w:r>
              <w:rPr>
                <w:rFonts w:ascii="IBM Plex Sans" w:cs="IBM Plex Sans" w:eastAsia="IBM Plex Sans" w:hAnsi="IBM Plex Sans"/>
                <w:b w:val="false"/>
                <w:bCs w:val="false"/>
                <w:color w:val="1F2937"/>
                <w:sz w:val="18"/>
                <w:szCs w:val="18"/>
              </w:rPr>
              <w:t xml:space="preserve">1</w:t>
            </w:r>
          </w:p>
        </w:tc>
        <w:tc>
          <w:tcPr>
            <w:tcW w:type="dxa" w:w="2340"/>
            <w:tcBorders>
              <w:top w:val="single" w:color="EEF2F7" w:sz="4"/>
              <w:left w:val="single" w:color="EEF2F7" w:sz="4"/>
              <w:bottom w:val="single" w:color="EEF2F7" w:sz="4"/>
              <w:right w:val="single" w:color="EEF2F7" w:sz="4"/>
            </w:tcBorders>
            <w:shd w:fill="F0F4FA" w:color="auto" w:val="clear"/>
            <w:tcMar>
              <w:top w:type="dxa" w:w="100"/>
              <w:left w:type="dxa" w:w="140"/>
              <w:bottom w:type="dxa" w:w="100"/>
              <w:right w:type="dxa" w:w="140"/>
            </w:tcMar>
          </w:tcPr>
          <w:p>
            <w:pPr>
              <w:spacing w:after="0" w:before="0"/>
            </w:pPr>
            <w:r>
              <w:rPr>
                <w:rFonts w:ascii="IBM Plex Sans" w:cs="IBM Plex Sans" w:eastAsia="IBM Plex Sans" w:hAnsi="IBM Plex Sans"/>
                <w:b w:val="false"/>
                <w:bCs w:val="false"/>
                <w:color w:val="1F2937"/>
                <w:sz w:val="18"/>
                <w:szCs w:val="18"/>
              </w:rPr>
              <w:t xml:space="preserve">Capita support line</w:t>
            </w:r>
          </w:p>
        </w:tc>
      </w:tr>
    </w:tbl>
    <w:p>
      <w:pPr>
        <w:pStyle w:val="Heading3"/>
      </w:pPr>
      <w:r>
        <w:t xml:space="preserve">Business Impact Analysis notes</w:t>
      </w:r>
    </w:p>
    <w:p>
      <w:pPr>
        <w:spacing/>
      </w:pPr>
      <w:r>
        <w:rPr>
          <w:rFonts w:ascii="IBM Plex Sans" w:cs="IBM Plex Sans" w:eastAsia="IBM Plex Sans" w:hAnsi="IBM Plex Sans"/>
          <w:color w:val="1F2937"/>
          <w:sz w:val="22"/>
          <w:szCs w:val="22"/>
        </w:rPr>
        <w:t xml:space="preserve">MIS restoration is the critical path; safeguarding records have a 4-hour RTO.</w:t>
      </w:r>
    </w:p>
    <w:p>
      <w:pPr>
        <w:pStyle w:val="Heading2"/>
        <w:pBdr>
          <w:bottom w:val="single" w:color="0B2545" w:sz="12" w:space="6"/>
        </w:pBdr>
      </w:pPr>
      <w:r>
        <w:t xml:space="preserve">10. Recovery</w:t>
      </w:r>
    </w:p>
    <w:tbl>
      <w:tblPr>
        <w:tblW w:type="pct" w:w="100%"/>
        <w:tblBorders>
          <w:top w:val="single" w:color="EEF2F7" w:sz="4"/>
          <w:left w:val="single" w:color="EEF2F7" w:sz="4"/>
          <w:bottom w:val="single" w:color="EEF2F7" w:sz="4"/>
          <w:right w:val="single" w:color="EEF2F7" w:sz="4"/>
          <w:insideH w:val="single" w:color="EEF2F7" w:sz="4"/>
          <w:insideV w:val="single" w:color="EEF2F7" w:sz="4"/>
        </w:tblBorders>
      </w:tblPr>
      <w:tblGrid>
        <w:gridCol w:w="100"/>
        <w:gridCol w:w="100"/>
      </w:tblGrid>
      <w:tr>
        <w:trPr>
          <w:cantSplit/>
        </w:trPr>
        <w:tc>
          <w:tcPr>
            <w:tcW w:type="pct" w:w="38%"/>
            <w:tcBorders>
              <w:top w:val="single" w:color="EEF2F7" w:sz="4"/>
              <w:left w:val="single" w:color="EEF2F7" w:sz="4"/>
              <w:bottom w:val="single" w:color="EEF2F7" w:sz="4"/>
              <w:right w:val="single" w:color="EEF2F7" w:sz="4"/>
            </w:tcBorders>
            <w:shd w:fill="F7F9FC" w:color="auto" w:val="clear"/>
            <w:tcMar>
              <w:top w:type="dxa" w:w="100"/>
              <w:left w:type="dxa" w:w="140"/>
              <w:bottom w:type="dxa" w:w="100"/>
              <w:right w:type="dxa" w:w="140"/>
            </w:tcMar>
          </w:tcPr>
          <w:p>
            <w:pPr>
              <w:spacing/>
            </w:pPr>
            <w:r>
              <w:rPr>
                <w:rFonts w:ascii="IBM Plex Sans" w:cs="IBM Plex Sans" w:eastAsia="IBM Plex Sans" w:hAnsi="IBM Plex Sans"/>
                <w:b/>
                <w:bCs/>
                <w:color w:val="13315C"/>
                <w:sz w:val="18"/>
                <w:szCs w:val="18"/>
              </w:rPr>
              <w:t xml:space="preserve">Whole-school RTO</w:t>
            </w:r>
          </w:p>
        </w:tc>
        <w:tc>
          <w:tcPr>
            <w:tcW w:type="pct" w:w="62%"/>
            <w:tcBorders>
              <w:top w:val="single" w:color="EEF2F7" w:sz="4"/>
              <w:left w:val="single" w:color="EEF2F7" w:sz="4"/>
              <w:bottom w:val="single" w:color="EEF2F7" w:sz="4"/>
              <w:right w:val="single" w:color="EEF2F7" w:sz="4"/>
            </w:tcBorders>
            <w:tcMar>
              <w:top w:type="dxa" w:w="100"/>
              <w:left w:type="dxa" w:w="140"/>
              <w:bottom w:type="dxa" w:w="100"/>
              <w:right w:type="dxa" w:w="140"/>
            </w:tcMar>
          </w:tcPr>
          <w:p>
            <w:pPr>
              <w:spacing/>
            </w:pPr>
            <w:r>
              <w:rPr>
                <w:rFonts w:ascii="IBM Plex Sans" w:cs="IBM Plex Sans" w:eastAsia="IBM Plex Sans" w:hAnsi="IBM Plex Sans"/>
                <w:color w:val="1F2937"/>
                <w:sz w:val="18"/>
                <w:szCs w:val="18"/>
              </w:rPr>
              <w:t xml:space="preserve">[to be completed]</w:t>
            </w:r>
          </w:p>
        </w:tc>
      </w:tr>
      <w:tr>
        <w:trPr>
          <w:cantSplit/>
        </w:trPr>
        <w:tc>
          <w:tcPr>
            <w:tcW w:type="pct" w:w="38%"/>
            <w:tcBorders>
              <w:top w:val="single" w:color="EEF2F7" w:sz="4"/>
              <w:left w:val="single" w:color="EEF2F7" w:sz="4"/>
              <w:bottom w:val="single" w:color="EEF2F7" w:sz="4"/>
              <w:right w:val="single" w:color="EEF2F7" w:sz="4"/>
            </w:tcBorders>
            <w:shd w:fill="F7F9FC" w:color="auto" w:val="clear"/>
            <w:tcMar>
              <w:top w:type="dxa" w:w="100"/>
              <w:left w:type="dxa" w:w="140"/>
              <w:bottom w:type="dxa" w:w="100"/>
              <w:right w:type="dxa" w:w="140"/>
            </w:tcMar>
          </w:tcPr>
          <w:p>
            <w:pPr>
              <w:spacing/>
            </w:pPr>
            <w:r>
              <w:rPr>
                <w:rFonts w:ascii="IBM Plex Sans" w:cs="IBM Plex Sans" w:eastAsia="IBM Plex Sans" w:hAnsi="IBM Plex Sans"/>
                <w:b/>
                <w:bCs/>
                <w:color w:val="13315C"/>
                <w:sz w:val="18"/>
                <w:szCs w:val="18"/>
              </w:rPr>
              <w:t xml:space="preserve">Whole-school RPO</w:t>
            </w:r>
          </w:p>
        </w:tc>
        <w:tc>
          <w:tcPr>
            <w:tcW w:type="pct" w:w="62%"/>
            <w:tcBorders>
              <w:top w:val="single" w:color="EEF2F7" w:sz="4"/>
              <w:left w:val="single" w:color="EEF2F7" w:sz="4"/>
              <w:bottom w:val="single" w:color="EEF2F7" w:sz="4"/>
              <w:right w:val="single" w:color="EEF2F7" w:sz="4"/>
            </w:tcBorders>
            <w:tcMar>
              <w:top w:type="dxa" w:w="100"/>
              <w:left w:type="dxa" w:w="140"/>
              <w:bottom w:type="dxa" w:w="100"/>
              <w:right w:type="dxa" w:w="140"/>
            </w:tcMar>
          </w:tcPr>
          <w:p>
            <w:pPr>
              <w:spacing/>
            </w:pPr>
            <w:r>
              <w:rPr>
                <w:rFonts w:ascii="IBM Plex Sans" w:cs="IBM Plex Sans" w:eastAsia="IBM Plex Sans" w:hAnsi="IBM Plex Sans"/>
                <w:color w:val="1F2937"/>
                <w:sz w:val="18"/>
                <w:szCs w:val="18"/>
              </w:rPr>
              <w:t xml:space="preserve">[to be completed]</w:t>
            </w:r>
          </w:p>
        </w:tc>
      </w:tr>
      <w:tr>
        <w:trPr>
          <w:cantSplit/>
        </w:trPr>
        <w:tc>
          <w:tcPr>
            <w:tcW w:type="pct" w:w="38%"/>
            <w:tcBorders>
              <w:top w:val="single" w:color="EEF2F7" w:sz="4"/>
              <w:left w:val="single" w:color="EEF2F7" w:sz="4"/>
              <w:bottom w:val="single" w:color="EEF2F7" w:sz="4"/>
              <w:right w:val="single" w:color="EEF2F7" w:sz="4"/>
            </w:tcBorders>
            <w:shd w:fill="F7F9FC" w:color="auto" w:val="clear"/>
            <w:tcMar>
              <w:top w:type="dxa" w:w="100"/>
              <w:left w:type="dxa" w:w="140"/>
              <w:bottom w:type="dxa" w:w="100"/>
              <w:right w:type="dxa" w:w="140"/>
            </w:tcMar>
          </w:tcPr>
          <w:p>
            <w:pPr>
              <w:spacing/>
            </w:pPr>
            <w:r>
              <w:rPr>
                <w:rFonts w:ascii="IBM Plex Sans" w:cs="IBM Plex Sans" w:eastAsia="IBM Plex Sans" w:hAnsi="IBM Plex Sans"/>
                <w:b/>
                <w:bCs/>
                <w:color w:val="13315C"/>
                <w:sz w:val="18"/>
                <w:szCs w:val="18"/>
              </w:rPr>
              <w:t xml:space="preserve">Backup locations</w:t>
            </w:r>
          </w:p>
        </w:tc>
        <w:tc>
          <w:tcPr>
            <w:tcW w:type="pct" w:w="62%"/>
            <w:tcBorders>
              <w:top w:val="single" w:color="EEF2F7" w:sz="4"/>
              <w:left w:val="single" w:color="EEF2F7" w:sz="4"/>
              <w:bottom w:val="single" w:color="EEF2F7" w:sz="4"/>
              <w:right w:val="single" w:color="EEF2F7" w:sz="4"/>
            </w:tcBorders>
            <w:tcMar>
              <w:top w:type="dxa" w:w="100"/>
              <w:left w:type="dxa" w:w="140"/>
              <w:bottom w:type="dxa" w:w="100"/>
              <w:right w:type="dxa" w:w="140"/>
            </w:tcMar>
          </w:tcPr>
          <w:p>
            <w:pPr>
              <w:spacing/>
            </w:pPr>
            <w:r>
              <w:rPr>
                <w:rFonts w:ascii="IBM Plex Sans" w:cs="IBM Plex Sans" w:eastAsia="IBM Plex Sans" w:hAnsi="IBM Plex Sans"/>
                <w:color w:val="1F2937"/>
                <w:sz w:val="18"/>
                <w:szCs w:val="18"/>
              </w:rPr>
              <w:t xml:space="preserve">[to be completed]</w:t>
            </w:r>
          </w:p>
        </w:tc>
      </w:tr>
      <w:tr>
        <w:trPr>
          <w:cantSplit/>
        </w:trPr>
        <w:tc>
          <w:tcPr>
            <w:tcW w:type="pct" w:w="38%"/>
            <w:tcBorders>
              <w:top w:val="single" w:color="EEF2F7" w:sz="4"/>
              <w:left w:val="single" w:color="EEF2F7" w:sz="4"/>
              <w:bottom w:val="single" w:color="EEF2F7" w:sz="4"/>
              <w:right w:val="single" w:color="EEF2F7" w:sz="4"/>
            </w:tcBorders>
            <w:shd w:fill="F7F9FC" w:color="auto" w:val="clear"/>
            <w:tcMar>
              <w:top w:type="dxa" w:w="100"/>
              <w:left w:type="dxa" w:w="140"/>
              <w:bottom w:type="dxa" w:w="100"/>
              <w:right w:type="dxa" w:w="140"/>
            </w:tcMar>
          </w:tcPr>
          <w:p>
            <w:pPr>
              <w:spacing/>
            </w:pPr>
            <w:r>
              <w:rPr>
                <w:rFonts w:ascii="IBM Plex Sans" w:cs="IBM Plex Sans" w:eastAsia="IBM Plex Sans" w:hAnsi="IBM Plex Sans"/>
                <w:b/>
                <w:bCs/>
                <w:color w:val="13315C"/>
                <w:sz w:val="18"/>
                <w:szCs w:val="18"/>
              </w:rPr>
              <w:t xml:space="preserve">Backup owner</w:t>
            </w:r>
          </w:p>
        </w:tc>
        <w:tc>
          <w:tcPr>
            <w:tcW w:type="pct" w:w="62%"/>
            <w:tcBorders>
              <w:top w:val="single" w:color="EEF2F7" w:sz="4"/>
              <w:left w:val="single" w:color="EEF2F7" w:sz="4"/>
              <w:bottom w:val="single" w:color="EEF2F7" w:sz="4"/>
              <w:right w:val="single" w:color="EEF2F7" w:sz="4"/>
            </w:tcBorders>
            <w:tcMar>
              <w:top w:type="dxa" w:w="100"/>
              <w:left w:type="dxa" w:w="140"/>
              <w:bottom w:type="dxa" w:w="100"/>
              <w:right w:type="dxa" w:w="140"/>
            </w:tcMar>
          </w:tcPr>
          <w:p>
            <w:pPr>
              <w:spacing/>
            </w:pPr>
            <w:r>
              <w:rPr>
                <w:rFonts w:ascii="IBM Plex Sans" w:cs="IBM Plex Sans" w:eastAsia="IBM Plex Sans" w:hAnsi="IBM Plex Sans"/>
                <w:color w:val="1F2937"/>
                <w:sz w:val="18"/>
                <w:szCs w:val="18"/>
              </w:rPr>
              <w:t xml:space="preserve">[to be completed]</w:t>
            </w:r>
          </w:p>
        </w:tc>
      </w:tr>
      <w:tr>
        <w:trPr>
          <w:cantSplit/>
        </w:trPr>
        <w:tc>
          <w:tcPr>
            <w:tcW w:type="pct" w:w="38%"/>
            <w:tcBorders>
              <w:top w:val="single" w:color="EEF2F7" w:sz="4"/>
              <w:left w:val="single" w:color="EEF2F7" w:sz="4"/>
              <w:bottom w:val="single" w:color="EEF2F7" w:sz="4"/>
              <w:right w:val="single" w:color="EEF2F7" w:sz="4"/>
            </w:tcBorders>
            <w:shd w:fill="F7F9FC" w:color="auto" w:val="clear"/>
            <w:tcMar>
              <w:top w:type="dxa" w:w="100"/>
              <w:left w:type="dxa" w:w="140"/>
              <w:bottom w:type="dxa" w:w="100"/>
              <w:right w:type="dxa" w:w="140"/>
            </w:tcMar>
          </w:tcPr>
          <w:p>
            <w:pPr>
              <w:spacing/>
            </w:pPr>
            <w:r>
              <w:rPr>
                <w:rFonts w:ascii="IBM Plex Sans" w:cs="IBM Plex Sans" w:eastAsia="IBM Plex Sans" w:hAnsi="IBM Plex Sans"/>
                <w:b/>
                <w:bCs/>
                <w:color w:val="13315C"/>
                <w:sz w:val="18"/>
                <w:szCs w:val="18"/>
              </w:rPr>
              <w:t xml:space="preserve">Backup test frequency</w:t>
            </w:r>
          </w:p>
        </w:tc>
        <w:tc>
          <w:tcPr>
            <w:tcW w:type="pct" w:w="62%"/>
            <w:tcBorders>
              <w:top w:val="single" w:color="EEF2F7" w:sz="4"/>
              <w:left w:val="single" w:color="EEF2F7" w:sz="4"/>
              <w:bottom w:val="single" w:color="EEF2F7" w:sz="4"/>
              <w:right w:val="single" w:color="EEF2F7" w:sz="4"/>
            </w:tcBorders>
            <w:tcMar>
              <w:top w:type="dxa" w:w="100"/>
              <w:left w:type="dxa" w:w="140"/>
              <w:bottom w:type="dxa" w:w="100"/>
              <w:right w:type="dxa" w:w="140"/>
            </w:tcMar>
          </w:tcPr>
          <w:p>
            <w:pPr>
              <w:spacing/>
            </w:pPr>
            <w:r>
              <w:rPr>
                <w:rFonts w:ascii="IBM Plex Sans" w:cs="IBM Plex Sans" w:eastAsia="IBM Plex Sans" w:hAnsi="IBM Plex Sans"/>
                <w:color w:val="1F2937"/>
                <w:sz w:val="18"/>
                <w:szCs w:val="18"/>
              </w:rPr>
              <w:t xml:space="preserve">Termly</w:t>
            </w:r>
          </w:p>
        </w:tc>
      </w:tr>
      <w:tr>
        <w:trPr>
          <w:cantSplit/>
        </w:trPr>
        <w:tc>
          <w:tcPr>
            <w:tcW w:type="pct" w:w="38%"/>
            <w:tcBorders>
              <w:top w:val="single" w:color="EEF2F7" w:sz="4"/>
              <w:left w:val="single" w:color="EEF2F7" w:sz="4"/>
              <w:bottom w:val="single" w:color="EEF2F7" w:sz="4"/>
              <w:right w:val="single" w:color="EEF2F7" w:sz="4"/>
            </w:tcBorders>
            <w:shd w:fill="F7F9FC" w:color="auto" w:val="clear"/>
            <w:tcMar>
              <w:top w:type="dxa" w:w="100"/>
              <w:left w:type="dxa" w:w="140"/>
              <w:bottom w:type="dxa" w:w="100"/>
              <w:right w:type="dxa" w:w="140"/>
            </w:tcMar>
          </w:tcPr>
          <w:p>
            <w:pPr>
              <w:spacing/>
            </w:pPr>
            <w:r>
              <w:rPr>
                <w:rFonts w:ascii="IBM Plex Sans" w:cs="IBM Plex Sans" w:eastAsia="IBM Plex Sans" w:hAnsi="IBM Plex Sans"/>
                <w:b/>
                <w:bCs/>
                <w:color w:val="13315C"/>
                <w:sz w:val="18"/>
                <w:szCs w:val="18"/>
              </w:rPr>
              <w:t xml:space="preserve">Priority restore order</w:t>
            </w:r>
          </w:p>
        </w:tc>
        <w:tc>
          <w:tcPr>
            <w:tcW w:type="pct" w:w="62%"/>
            <w:tcBorders>
              <w:top w:val="single" w:color="EEF2F7" w:sz="4"/>
              <w:left w:val="single" w:color="EEF2F7" w:sz="4"/>
              <w:bottom w:val="single" w:color="EEF2F7" w:sz="4"/>
              <w:right w:val="single" w:color="EEF2F7" w:sz="4"/>
            </w:tcBorders>
            <w:tcMar>
              <w:top w:type="dxa" w:w="100"/>
              <w:left w:type="dxa" w:w="140"/>
              <w:bottom w:type="dxa" w:w="100"/>
              <w:right w:type="dxa" w:w="140"/>
            </w:tcMar>
          </w:tcPr>
          <w:p>
            <w:pPr>
              <w:spacing/>
            </w:pPr>
            <w:r>
              <w:rPr>
                <w:rFonts w:ascii="IBM Plex Sans" w:cs="IBM Plex Sans" w:eastAsia="IBM Plex Sans" w:hAnsi="IBM Plex Sans"/>
                <w:color w:val="1F2937"/>
                <w:sz w:val="18"/>
                <w:szCs w:val="18"/>
              </w:rPr>
              <w:t xml:space="preserve">1. Safeguarding records &amp; access
2. MIS / SIMS / Bromcom / Arbor
3. Finance system
4. Email &amp; communications
5. Teaching applications
6. General file shares</w:t>
            </w:r>
          </w:p>
        </w:tc>
      </w:tr>
    </w:tbl>
    <w:p>
      <w:pPr>
        <w:pStyle w:val="Heading2"/>
        <w:pBdr>
          <w:bottom w:val="single" w:color="0B2545" w:sz="12" w:space="6"/>
        </w:pBdr>
      </w:pPr>
      <w:r>
        <w:t xml:space="preserve">11. Post-incident review</w:t>
      </w:r>
    </w:p>
    <w:tbl>
      <w:tblPr>
        <w:tblW w:type="pct" w:w="100%"/>
        <w:tblBorders>
          <w:top w:val="single" w:color="EEF2F7" w:sz="4"/>
          <w:left w:val="single" w:color="EEF2F7" w:sz="4"/>
          <w:bottom w:val="single" w:color="EEF2F7" w:sz="4"/>
          <w:right w:val="single" w:color="EEF2F7" w:sz="4"/>
          <w:insideH w:val="single" w:color="EEF2F7" w:sz="4"/>
          <w:insideV w:val="single" w:color="EEF2F7" w:sz="4"/>
        </w:tblBorders>
      </w:tblPr>
      <w:tblGrid>
        <w:gridCol w:w="100"/>
        <w:gridCol w:w="100"/>
      </w:tblGrid>
      <w:tr>
        <w:trPr>
          <w:cantSplit/>
        </w:trPr>
        <w:tc>
          <w:tcPr>
            <w:tcW w:type="pct" w:w="38%"/>
            <w:tcBorders>
              <w:top w:val="single" w:color="EEF2F7" w:sz="4"/>
              <w:left w:val="single" w:color="EEF2F7" w:sz="4"/>
              <w:bottom w:val="single" w:color="EEF2F7" w:sz="4"/>
              <w:right w:val="single" w:color="EEF2F7" w:sz="4"/>
            </w:tcBorders>
            <w:shd w:fill="F7F9FC" w:color="auto" w:val="clear"/>
            <w:tcMar>
              <w:top w:type="dxa" w:w="100"/>
              <w:left w:type="dxa" w:w="140"/>
              <w:bottom w:type="dxa" w:w="100"/>
              <w:right w:type="dxa" w:w="140"/>
            </w:tcMar>
          </w:tcPr>
          <w:p>
            <w:pPr>
              <w:spacing/>
            </w:pPr>
            <w:r>
              <w:rPr>
                <w:rFonts w:ascii="IBM Plex Sans" w:cs="IBM Plex Sans" w:eastAsia="IBM Plex Sans" w:hAnsi="IBM Plex Sans"/>
                <w:b/>
                <w:bCs/>
                <w:color w:val="13315C"/>
                <w:sz w:val="18"/>
                <w:szCs w:val="18"/>
              </w:rPr>
              <w:t xml:space="preserve">Review lead</w:t>
            </w:r>
          </w:p>
        </w:tc>
        <w:tc>
          <w:tcPr>
            <w:tcW w:type="pct" w:w="62%"/>
            <w:tcBorders>
              <w:top w:val="single" w:color="EEF2F7" w:sz="4"/>
              <w:left w:val="single" w:color="EEF2F7" w:sz="4"/>
              <w:bottom w:val="single" w:color="EEF2F7" w:sz="4"/>
              <w:right w:val="single" w:color="EEF2F7" w:sz="4"/>
            </w:tcBorders>
            <w:tcMar>
              <w:top w:type="dxa" w:w="100"/>
              <w:left w:type="dxa" w:w="140"/>
              <w:bottom w:type="dxa" w:w="100"/>
              <w:right w:type="dxa" w:w="140"/>
            </w:tcMar>
          </w:tcPr>
          <w:p>
            <w:pPr>
              <w:spacing/>
            </w:pPr>
            <w:r>
              <w:rPr>
                <w:rFonts w:ascii="IBM Plex Sans" w:cs="IBM Plex Sans" w:eastAsia="IBM Plex Sans" w:hAnsi="IBM Plex Sans"/>
                <w:color w:val="1F2937"/>
                <w:sz w:val="18"/>
                <w:szCs w:val="18"/>
              </w:rPr>
              <w:t xml:space="preserve">[to be completed]</w:t>
            </w:r>
          </w:p>
        </w:tc>
      </w:tr>
      <w:tr>
        <w:trPr>
          <w:cantSplit/>
        </w:trPr>
        <w:tc>
          <w:tcPr>
            <w:tcW w:type="pct" w:w="38%"/>
            <w:tcBorders>
              <w:top w:val="single" w:color="EEF2F7" w:sz="4"/>
              <w:left w:val="single" w:color="EEF2F7" w:sz="4"/>
              <w:bottom w:val="single" w:color="EEF2F7" w:sz="4"/>
              <w:right w:val="single" w:color="EEF2F7" w:sz="4"/>
            </w:tcBorders>
            <w:shd w:fill="F7F9FC" w:color="auto" w:val="clear"/>
            <w:tcMar>
              <w:top w:type="dxa" w:w="100"/>
              <w:left w:type="dxa" w:w="140"/>
              <w:bottom w:type="dxa" w:w="100"/>
              <w:right w:type="dxa" w:w="140"/>
            </w:tcMar>
          </w:tcPr>
          <w:p>
            <w:pPr>
              <w:spacing/>
            </w:pPr>
            <w:r>
              <w:rPr>
                <w:rFonts w:ascii="IBM Plex Sans" w:cs="IBM Plex Sans" w:eastAsia="IBM Plex Sans" w:hAnsi="IBM Plex Sans"/>
                <w:b/>
                <w:bCs/>
                <w:color w:val="13315C"/>
                <w:sz w:val="18"/>
                <w:szCs w:val="18"/>
              </w:rPr>
              <w:t xml:space="preserve">Review deadline after incident closure</w:t>
            </w:r>
          </w:p>
        </w:tc>
        <w:tc>
          <w:tcPr>
            <w:tcW w:type="pct" w:w="62%"/>
            <w:tcBorders>
              <w:top w:val="single" w:color="EEF2F7" w:sz="4"/>
              <w:left w:val="single" w:color="EEF2F7" w:sz="4"/>
              <w:bottom w:val="single" w:color="EEF2F7" w:sz="4"/>
              <w:right w:val="single" w:color="EEF2F7" w:sz="4"/>
            </w:tcBorders>
            <w:tcMar>
              <w:top w:type="dxa" w:w="100"/>
              <w:left w:type="dxa" w:w="140"/>
              <w:bottom w:type="dxa" w:w="100"/>
              <w:right w:type="dxa" w:w="140"/>
            </w:tcMar>
          </w:tcPr>
          <w:p>
            <w:pPr>
              <w:spacing/>
            </w:pPr>
            <w:r>
              <w:rPr>
                <w:rFonts w:ascii="IBM Plex Sans" w:cs="IBM Plex Sans" w:eastAsia="IBM Plex Sans" w:hAnsi="IBM Plex Sans"/>
                <w:color w:val="1F2937"/>
                <w:sz w:val="18"/>
                <w:szCs w:val="18"/>
              </w:rPr>
              <w:t xml:space="preserve">Within 4 weeks of incident closure</w:t>
            </w:r>
          </w:p>
        </w:tc>
      </w:tr>
      <w:tr>
        <w:trPr>
          <w:cantSplit/>
        </w:trPr>
        <w:tc>
          <w:tcPr>
            <w:tcW w:type="pct" w:w="38%"/>
            <w:tcBorders>
              <w:top w:val="single" w:color="EEF2F7" w:sz="4"/>
              <w:left w:val="single" w:color="EEF2F7" w:sz="4"/>
              <w:bottom w:val="single" w:color="EEF2F7" w:sz="4"/>
              <w:right w:val="single" w:color="EEF2F7" w:sz="4"/>
            </w:tcBorders>
            <w:shd w:fill="F7F9FC" w:color="auto" w:val="clear"/>
            <w:tcMar>
              <w:top w:type="dxa" w:w="100"/>
              <w:left w:type="dxa" w:w="140"/>
              <w:bottom w:type="dxa" w:w="100"/>
              <w:right w:type="dxa" w:w="140"/>
            </w:tcMar>
          </w:tcPr>
          <w:p>
            <w:pPr>
              <w:spacing/>
            </w:pPr>
            <w:r>
              <w:rPr>
                <w:rFonts w:ascii="IBM Plex Sans" w:cs="IBM Plex Sans" w:eastAsia="IBM Plex Sans" w:hAnsi="IBM Plex Sans"/>
                <w:b/>
                <w:bCs/>
                <w:color w:val="13315C"/>
                <w:sz w:val="18"/>
                <w:szCs w:val="18"/>
              </w:rPr>
              <w:t xml:space="preserve">Form / template location</w:t>
            </w:r>
          </w:p>
        </w:tc>
        <w:tc>
          <w:tcPr>
            <w:tcW w:type="pct" w:w="62%"/>
            <w:tcBorders>
              <w:top w:val="single" w:color="EEF2F7" w:sz="4"/>
              <w:left w:val="single" w:color="EEF2F7" w:sz="4"/>
              <w:bottom w:val="single" w:color="EEF2F7" w:sz="4"/>
              <w:right w:val="single" w:color="EEF2F7" w:sz="4"/>
            </w:tcBorders>
            <w:tcMar>
              <w:top w:type="dxa" w:w="100"/>
              <w:left w:type="dxa" w:w="140"/>
              <w:bottom w:type="dxa" w:w="100"/>
              <w:right w:type="dxa" w:w="140"/>
            </w:tcMar>
          </w:tcPr>
          <w:p>
            <w:pPr>
              <w:spacing/>
            </w:pPr>
            <w:r>
              <w:rPr>
                <w:rFonts w:ascii="IBM Plex Sans" w:cs="IBM Plex Sans" w:eastAsia="IBM Plex Sans" w:hAnsi="IBM Plex Sans"/>
                <w:color w:val="1F2937"/>
                <w:sz w:val="18"/>
                <w:szCs w:val="18"/>
              </w:rPr>
              <w:t xml:space="preserve">[to be completed]</w:t>
            </w:r>
          </w:p>
        </w:tc>
      </w:tr>
      <w:tr>
        <w:trPr>
          <w:cantSplit/>
        </w:trPr>
        <w:tc>
          <w:tcPr>
            <w:tcW w:type="pct" w:w="38%"/>
            <w:tcBorders>
              <w:top w:val="single" w:color="EEF2F7" w:sz="4"/>
              <w:left w:val="single" w:color="EEF2F7" w:sz="4"/>
              <w:bottom w:val="single" w:color="EEF2F7" w:sz="4"/>
              <w:right w:val="single" w:color="EEF2F7" w:sz="4"/>
            </w:tcBorders>
            <w:shd w:fill="F7F9FC" w:color="auto" w:val="clear"/>
            <w:tcMar>
              <w:top w:type="dxa" w:w="100"/>
              <w:left w:type="dxa" w:w="140"/>
              <w:bottom w:type="dxa" w:w="100"/>
              <w:right w:type="dxa" w:w="140"/>
            </w:tcMar>
          </w:tcPr>
          <w:p>
            <w:pPr>
              <w:spacing/>
            </w:pPr>
            <w:r>
              <w:rPr>
                <w:rFonts w:ascii="IBM Plex Sans" w:cs="IBM Plex Sans" w:eastAsia="IBM Plex Sans" w:hAnsi="IBM Plex Sans"/>
                <w:b/>
                <w:bCs/>
                <w:color w:val="13315C"/>
                <w:sz w:val="18"/>
                <w:szCs w:val="18"/>
              </w:rPr>
              <w:t xml:space="preserve">Lessons-learned process</w:t>
            </w:r>
          </w:p>
        </w:tc>
        <w:tc>
          <w:tcPr>
            <w:tcW w:type="pct" w:w="62%"/>
            <w:tcBorders>
              <w:top w:val="single" w:color="EEF2F7" w:sz="4"/>
              <w:left w:val="single" w:color="EEF2F7" w:sz="4"/>
              <w:bottom w:val="single" w:color="EEF2F7" w:sz="4"/>
              <w:right w:val="single" w:color="EEF2F7" w:sz="4"/>
            </w:tcBorders>
            <w:tcMar>
              <w:top w:type="dxa" w:w="100"/>
              <w:left w:type="dxa" w:w="140"/>
              <w:bottom w:type="dxa" w:w="100"/>
              <w:right w:type="dxa" w:w="140"/>
            </w:tcMar>
          </w:tcPr>
          <w:p>
            <w:pPr>
              <w:spacing/>
            </w:pPr>
            <w:r>
              <w:rPr>
                <w:rFonts w:ascii="IBM Plex Sans" w:cs="IBM Plex Sans" w:eastAsia="IBM Plex Sans" w:hAnsi="IBM Plex Sans"/>
                <w:color w:val="1F2937"/>
                <w:sz w:val="18"/>
                <w:szCs w:val="18"/>
              </w:rPr>
              <w:t xml:space="preserve">[to be completed]</w:t>
            </w:r>
          </w:p>
        </w:tc>
      </w:tr>
    </w:tbl>
    <w:p>
      <w:pPr>
        <w:pStyle w:val="Heading2"/>
        <w:pBdr>
          <w:bottom w:val="single" w:color="0B2545" w:sz="12" w:space="6"/>
        </w:pBdr>
      </w:pPr>
      <w:r>
        <w:t xml:space="preserve">12. Plan maintenance</w:t>
      </w:r>
    </w:p>
    <w:tbl>
      <w:tblPr>
        <w:tblW w:type="pct" w:w="100%"/>
        <w:tblBorders>
          <w:top w:val="single" w:color="EEF2F7" w:sz="4"/>
          <w:left w:val="single" w:color="EEF2F7" w:sz="4"/>
          <w:bottom w:val="single" w:color="EEF2F7" w:sz="4"/>
          <w:right w:val="single" w:color="EEF2F7" w:sz="4"/>
          <w:insideH w:val="single" w:color="EEF2F7" w:sz="4"/>
          <w:insideV w:val="single" w:color="EEF2F7" w:sz="4"/>
        </w:tblBorders>
      </w:tblPr>
      <w:tblGrid>
        <w:gridCol w:w="100"/>
        <w:gridCol w:w="100"/>
      </w:tblGrid>
      <w:tr>
        <w:trPr>
          <w:cantSplit/>
        </w:trPr>
        <w:tc>
          <w:tcPr>
            <w:tcW w:type="pct" w:w="38%"/>
            <w:tcBorders>
              <w:top w:val="single" w:color="EEF2F7" w:sz="4"/>
              <w:left w:val="single" w:color="EEF2F7" w:sz="4"/>
              <w:bottom w:val="single" w:color="EEF2F7" w:sz="4"/>
              <w:right w:val="single" w:color="EEF2F7" w:sz="4"/>
            </w:tcBorders>
            <w:shd w:fill="F7F9FC" w:color="auto" w:val="clear"/>
            <w:tcMar>
              <w:top w:type="dxa" w:w="100"/>
              <w:left w:type="dxa" w:w="140"/>
              <w:bottom w:type="dxa" w:w="100"/>
              <w:right w:type="dxa" w:w="140"/>
            </w:tcMar>
          </w:tcPr>
          <w:p>
            <w:pPr>
              <w:spacing/>
            </w:pPr>
            <w:r>
              <w:rPr>
                <w:rFonts w:ascii="IBM Plex Sans" w:cs="IBM Plex Sans" w:eastAsia="IBM Plex Sans" w:hAnsi="IBM Plex Sans"/>
                <w:b/>
                <w:bCs/>
                <w:color w:val="13315C"/>
                <w:sz w:val="18"/>
                <w:szCs w:val="18"/>
              </w:rPr>
              <w:t xml:space="preserve">Owner</w:t>
            </w:r>
          </w:p>
        </w:tc>
        <w:tc>
          <w:tcPr>
            <w:tcW w:type="pct" w:w="62%"/>
            <w:tcBorders>
              <w:top w:val="single" w:color="EEF2F7" w:sz="4"/>
              <w:left w:val="single" w:color="EEF2F7" w:sz="4"/>
              <w:bottom w:val="single" w:color="EEF2F7" w:sz="4"/>
              <w:right w:val="single" w:color="EEF2F7" w:sz="4"/>
            </w:tcBorders>
            <w:tcMar>
              <w:top w:type="dxa" w:w="100"/>
              <w:left w:type="dxa" w:w="140"/>
              <w:bottom w:type="dxa" w:w="100"/>
              <w:right w:type="dxa" w:w="140"/>
            </w:tcMar>
          </w:tcPr>
          <w:p>
            <w:pPr>
              <w:spacing/>
            </w:pPr>
            <w:r>
              <w:rPr>
                <w:rFonts w:ascii="IBM Plex Sans" w:cs="IBM Plex Sans" w:eastAsia="IBM Plex Sans" w:hAnsi="IBM Plex Sans"/>
                <w:color w:val="1F2937"/>
                <w:sz w:val="18"/>
                <w:szCs w:val="18"/>
              </w:rPr>
              <w:t xml:space="preserve">[to be completed]</w:t>
            </w:r>
          </w:p>
        </w:tc>
      </w:tr>
      <w:tr>
        <w:trPr>
          <w:cantSplit/>
        </w:trPr>
        <w:tc>
          <w:tcPr>
            <w:tcW w:type="pct" w:w="38%"/>
            <w:tcBorders>
              <w:top w:val="single" w:color="EEF2F7" w:sz="4"/>
              <w:left w:val="single" w:color="EEF2F7" w:sz="4"/>
              <w:bottom w:val="single" w:color="EEF2F7" w:sz="4"/>
              <w:right w:val="single" w:color="EEF2F7" w:sz="4"/>
            </w:tcBorders>
            <w:shd w:fill="F7F9FC" w:color="auto" w:val="clear"/>
            <w:tcMar>
              <w:top w:type="dxa" w:w="100"/>
              <w:left w:type="dxa" w:w="140"/>
              <w:bottom w:type="dxa" w:w="100"/>
              <w:right w:type="dxa" w:w="140"/>
            </w:tcMar>
          </w:tcPr>
          <w:p>
            <w:pPr>
              <w:spacing/>
            </w:pPr>
            <w:r>
              <w:rPr>
                <w:rFonts w:ascii="IBM Plex Sans" w:cs="IBM Plex Sans" w:eastAsia="IBM Plex Sans" w:hAnsi="IBM Plex Sans"/>
                <w:b/>
                <w:bCs/>
                <w:color w:val="13315C"/>
                <w:sz w:val="18"/>
                <w:szCs w:val="18"/>
              </w:rPr>
              <w:t xml:space="preserve">Review frequency</w:t>
            </w:r>
          </w:p>
        </w:tc>
        <w:tc>
          <w:tcPr>
            <w:tcW w:type="pct" w:w="62%"/>
            <w:tcBorders>
              <w:top w:val="single" w:color="EEF2F7" w:sz="4"/>
              <w:left w:val="single" w:color="EEF2F7" w:sz="4"/>
              <w:bottom w:val="single" w:color="EEF2F7" w:sz="4"/>
              <w:right w:val="single" w:color="EEF2F7" w:sz="4"/>
            </w:tcBorders>
            <w:tcMar>
              <w:top w:type="dxa" w:w="100"/>
              <w:left w:type="dxa" w:w="140"/>
              <w:bottom w:type="dxa" w:w="100"/>
              <w:right w:type="dxa" w:w="140"/>
            </w:tcMar>
          </w:tcPr>
          <w:p>
            <w:pPr>
              <w:spacing/>
            </w:pPr>
            <w:r>
              <w:rPr>
                <w:rFonts w:ascii="IBM Plex Sans" w:cs="IBM Plex Sans" w:eastAsia="IBM Plex Sans" w:hAnsi="IBM Plex Sans"/>
                <w:color w:val="1F2937"/>
                <w:sz w:val="18"/>
                <w:szCs w:val="18"/>
              </w:rPr>
              <w:t xml:space="preserve">Annual, plus after any incident or significant change</w:t>
            </w:r>
          </w:p>
        </w:tc>
      </w:tr>
      <w:tr>
        <w:trPr>
          <w:cantSplit/>
        </w:trPr>
        <w:tc>
          <w:tcPr>
            <w:tcW w:type="pct" w:w="38%"/>
            <w:tcBorders>
              <w:top w:val="single" w:color="EEF2F7" w:sz="4"/>
              <w:left w:val="single" w:color="EEF2F7" w:sz="4"/>
              <w:bottom w:val="single" w:color="EEF2F7" w:sz="4"/>
              <w:right w:val="single" w:color="EEF2F7" w:sz="4"/>
            </w:tcBorders>
            <w:shd w:fill="F7F9FC" w:color="auto" w:val="clear"/>
            <w:tcMar>
              <w:top w:type="dxa" w:w="100"/>
              <w:left w:type="dxa" w:w="140"/>
              <w:bottom w:type="dxa" w:w="100"/>
              <w:right w:type="dxa" w:w="140"/>
            </w:tcMar>
          </w:tcPr>
          <w:p>
            <w:pPr>
              <w:spacing/>
            </w:pPr>
            <w:r>
              <w:rPr>
                <w:rFonts w:ascii="IBM Plex Sans" w:cs="IBM Plex Sans" w:eastAsia="IBM Plex Sans" w:hAnsi="IBM Plex Sans"/>
                <w:b/>
                <w:bCs/>
                <w:color w:val="13315C"/>
                <w:sz w:val="18"/>
                <w:szCs w:val="18"/>
              </w:rPr>
              <w:t xml:space="preserve">Last reviewed</w:t>
            </w:r>
          </w:p>
        </w:tc>
        <w:tc>
          <w:tcPr>
            <w:tcW w:type="pct" w:w="62%"/>
            <w:tcBorders>
              <w:top w:val="single" w:color="EEF2F7" w:sz="4"/>
              <w:left w:val="single" w:color="EEF2F7" w:sz="4"/>
              <w:bottom w:val="single" w:color="EEF2F7" w:sz="4"/>
              <w:right w:val="single" w:color="EEF2F7" w:sz="4"/>
            </w:tcBorders>
            <w:tcMar>
              <w:top w:type="dxa" w:w="100"/>
              <w:left w:type="dxa" w:w="140"/>
              <w:bottom w:type="dxa" w:w="100"/>
              <w:right w:type="dxa" w:w="140"/>
            </w:tcMar>
          </w:tcPr>
          <w:p>
            <w:pPr>
              <w:spacing/>
            </w:pPr>
            <w:r>
              <w:rPr>
                <w:rFonts w:ascii="IBM Plex Sans" w:cs="IBM Plex Sans" w:eastAsia="IBM Plex Sans" w:hAnsi="IBM Plex Sans"/>
                <w:color w:val="1F2937"/>
                <w:sz w:val="18"/>
                <w:szCs w:val="18"/>
              </w:rPr>
              <w:t xml:space="preserve">[to be completed]</w:t>
            </w:r>
          </w:p>
        </w:tc>
      </w:tr>
      <w:tr>
        <w:trPr>
          <w:cantSplit/>
        </w:trPr>
        <w:tc>
          <w:tcPr>
            <w:tcW w:type="pct" w:w="38%"/>
            <w:tcBorders>
              <w:top w:val="single" w:color="EEF2F7" w:sz="4"/>
              <w:left w:val="single" w:color="EEF2F7" w:sz="4"/>
              <w:bottom w:val="single" w:color="EEF2F7" w:sz="4"/>
              <w:right w:val="single" w:color="EEF2F7" w:sz="4"/>
            </w:tcBorders>
            <w:shd w:fill="F7F9FC" w:color="auto" w:val="clear"/>
            <w:tcMar>
              <w:top w:type="dxa" w:w="100"/>
              <w:left w:type="dxa" w:w="140"/>
              <w:bottom w:type="dxa" w:w="100"/>
              <w:right w:type="dxa" w:w="140"/>
            </w:tcMar>
          </w:tcPr>
          <w:p>
            <w:pPr>
              <w:spacing/>
            </w:pPr>
            <w:r>
              <w:rPr>
                <w:rFonts w:ascii="IBM Plex Sans" w:cs="IBM Plex Sans" w:eastAsia="IBM Plex Sans" w:hAnsi="IBM Plex Sans"/>
                <w:b/>
                <w:bCs/>
                <w:color w:val="13315C"/>
                <w:sz w:val="18"/>
                <w:szCs w:val="18"/>
              </w:rPr>
              <w:t xml:space="preserve">Next review</w:t>
            </w:r>
          </w:p>
        </w:tc>
        <w:tc>
          <w:tcPr>
            <w:tcW w:type="pct" w:w="62%"/>
            <w:tcBorders>
              <w:top w:val="single" w:color="EEF2F7" w:sz="4"/>
              <w:left w:val="single" w:color="EEF2F7" w:sz="4"/>
              <w:bottom w:val="single" w:color="EEF2F7" w:sz="4"/>
              <w:right w:val="single" w:color="EEF2F7" w:sz="4"/>
            </w:tcBorders>
            <w:tcMar>
              <w:top w:type="dxa" w:w="100"/>
              <w:left w:type="dxa" w:w="140"/>
              <w:bottom w:type="dxa" w:w="100"/>
              <w:right w:type="dxa" w:w="140"/>
            </w:tcMar>
          </w:tcPr>
          <w:p>
            <w:pPr>
              <w:spacing/>
            </w:pPr>
            <w:r>
              <w:rPr>
                <w:rFonts w:ascii="IBM Plex Sans" w:cs="IBM Plex Sans" w:eastAsia="IBM Plex Sans" w:hAnsi="IBM Plex Sans"/>
                <w:color w:val="1F2937"/>
                <w:sz w:val="18"/>
                <w:szCs w:val="18"/>
              </w:rPr>
              <w:t xml:space="preserve">[to be completed]</w:t>
            </w:r>
          </w:p>
        </w:tc>
      </w:tr>
      <w:tr>
        <w:trPr>
          <w:cantSplit/>
        </w:trPr>
        <w:tc>
          <w:tcPr>
            <w:tcW w:type="pct" w:w="38%"/>
            <w:tcBorders>
              <w:top w:val="single" w:color="EEF2F7" w:sz="4"/>
              <w:left w:val="single" w:color="EEF2F7" w:sz="4"/>
              <w:bottom w:val="single" w:color="EEF2F7" w:sz="4"/>
              <w:right w:val="single" w:color="EEF2F7" w:sz="4"/>
            </w:tcBorders>
            <w:shd w:fill="F7F9FC" w:color="auto" w:val="clear"/>
            <w:tcMar>
              <w:top w:type="dxa" w:w="100"/>
              <w:left w:type="dxa" w:w="140"/>
              <w:bottom w:type="dxa" w:w="100"/>
              <w:right w:type="dxa" w:w="140"/>
            </w:tcMar>
          </w:tcPr>
          <w:p>
            <w:pPr>
              <w:spacing/>
            </w:pPr>
            <w:r>
              <w:rPr>
                <w:rFonts w:ascii="IBM Plex Sans" w:cs="IBM Plex Sans" w:eastAsia="IBM Plex Sans" w:hAnsi="IBM Plex Sans"/>
                <w:b/>
                <w:bCs/>
                <w:color w:val="13315C"/>
                <w:sz w:val="18"/>
                <w:szCs w:val="18"/>
              </w:rPr>
              <w:t xml:space="preserve">Distribution list</w:t>
            </w:r>
          </w:p>
        </w:tc>
        <w:tc>
          <w:tcPr>
            <w:tcW w:type="pct" w:w="62%"/>
            <w:tcBorders>
              <w:top w:val="single" w:color="EEF2F7" w:sz="4"/>
              <w:left w:val="single" w:color="EEF2F7" w:sz="4"/>
              <w:bottom w:val="single" w:color="EEF2F7" w:sz="4"/>
              <w:right w:val="single" w:color="EEF2F7" w:sz="4"/>
            </w:tcBorders>
            <w:tcMar>
              <w:top w:type="dxa" w:w="100"/>
              <w:left w:type="dxa" w:w="140"/>
              <w:bottom w:type="dxa" w:w="100"/>
              <w:right w:type="dxa" w:w="140"/>
            </w:tcMar>
          </w:tcPr>
          <w:p>
            <w:pPr>
              <w:spacing/>
            </w:pPr>
            <w:r>
              <w:rPr>
                <w:rFonts w:ascii="IBM Plex Sans" w:cs="IBM Plex Sans" w:eastAsia="IBM Plex Sans" w:hAnsi="IBM Plex Sans"/>
                <w:color w:val="1F2937"/>
                <w:sz w:val="18"/>
                <w:szCs w:val="18"/>
              </w:rPr>
              <w:t xml:space="preserve">[to be completed]</w:t>
            </w:r>
          </w:p>
        </w:tc>
      </w:tr>
      <w:tr>
        <w:trPr>
          <w:cantSplit/>
        </w:trPr>
        <w:tc>
          <w:tcPr>
            <w:tcW w:type="pct" w:w="38%"/>
            <w:tcBorders>
              <w:top w:val="single" w:color="EEF2F7" w:sz="4"/>
              <w:left w:val="single" w:color="EEF2F7" w:sz="4"/>
              <w:bottom w:val="single" w:color="EEF2F7" w:sz="4"/>
              <w:right w:val="single" w:color="EEF2F7" w:sz="4"/>
            </w:tcBorders>
            <w:shd w:fill="F7F9FC" w:color="auto" w:val="clear"/>
            <w:tcMar>
              <w:top w:type="dxa" w:w="100"/>
              <w:left w:type="dxa" w:w="140"/>
              <w:bottom w:type="dxa" w:w="100"/>
              <w:right w:type="dxa" w:w="140"/>
            </w:tcMar>
          </w:tcPr>
          <w:p>
            <w:pPr>
              <w:spacing/>
            </w:pPr>
            <w:r>
              <w:rPr>
                <w:rFonts w:ascii="IBM Plex Sans" w:cs="IBM Plex Sans" w:eastAsia="IBM Plex Sans" w:hAnsi="IBM Plex Sans"/>
                <w:b/>
                <w:bCs/>
                <w:color w:val="13315C"/>
                <w:sz w:val="18"/>
                <w:szCs w:val="18"/>
              </w:rPr>
              <w:t xml:space="preserve">Offline copy location</w:t>
            </w:r>
          </w:p>
        </w:tc>
        <w:tc>
          <w:tcPr>
            <w:tcW w:type="pct" w:w="62%"/>
            <w:tcBorders>
              <w:top w:val="single" w:color="EEF2F7" w:sz="4"/>
              <w:left w:val="single" w:color="EEF2F7" w:sz="4"/>
              <w:bottom w:val="single" w:color="EEF2F7" w:sz="4"/>
              <w:right w:val="single" w:color="EEF2F7" w:sz="4"/>
            </w:tcBorders>
            <w:tcMar>
              <w:top w:type="dxa" w:w="100"/>
              <w:left w:type="dxa" w:w="140"/>
              <w:bottom w:type="dxa" w:w="100"/>
              <w:right w:type="dxa" w:w="140"/>
            </w:tcMar>
          </w:tcPr>
          <w:p>
            <w:pPr>
              <w:spacing/>
            </w:pPr>
            <w:r>
              <w:rPr>
                <w:rFonts w:ascii="IBM Plex Sans" w:cs="IBM Plex Sans" w:eastAsia="IBM Plex Sans" w:hAnsi="IBM Plex Sans"/>
                <w:color w:val="1F2937"/>
                <w:sz w:val="18"/>
                <w:szCs w:val="18"/>
              </w:rPr>
              <w:t xml:space="preserve">[to be completed]</w:t>
            </w:r>
          </w:p>
        </w:tc>
      </w:tr>
    </w:tbl>
    <w:p>
      <w:pPr>
        <w:pStyle w:val="Heading2"/>
        <w:pBdr>
          <w:bottom w:val="single" w:color="0B2545" w:sz="12" w:space="6"/>
        </w:pBdr>
      </w:pPr>
      <w:r>
        <w:t xml:space="preserve">13. Framework mapping</w:t>
      </w:r>
    </w:p>
    <w:p>
      <w:pPr>
        <w:spacing/>
      </w:pPr>
      <w:r>
        <w:rPr>
          <w:rFonts w:ascii="IBM Plex Sans" w:cs="IBM Plex Sans" w:eastAsia="IBM Plex Sans" w:hAnsi="IBM Plex Sans"/>
          <w:color w:val="1F2937"/>
          <w:sz w:val="22"/>
          <w:szCs w:val="22"/>
        </w:rPr>
        <w:t xml:space="preserve">This plan addresses the cyber incident response expectations across the following Wales-context frameworks:</w:t>
      </w:r>
    </w:p>
    <w:p>
      <w:pPr>
        <w:pStyle w:val="ListParagraph"/>
        <w:numPr>
          <w:ilvl w:val="0"/>
          <w:numId w:val="1"/>
        </w:numPr>
        <w:spacing w:after="40" w:before="40"/>
      </w:pPr>
      <w:r>
        <w:t xml:space="preserve">NCSC Incident Management collection — preparation, response, recovery and review phases.</w:t>
      </w:r>
    </w:p>
    <w:p>
      <w:pPr>
        <w:pStyle w:val="ListParagraph"/>
        <w:numPr>
          <w:ilvl w:val="0"/>
          <w:numId w:val="1"/>
        </w:numPr>
        <w:spacing w:after="40" w:before="40"/>
      </w:pPr>
      <w:r>
        <w:t xml:space="preserve">Welsh Government Cyber Resilient Wales strategy — public-sector cyber security backdrop, with the NCSC Cyber Assessment Framework (CAF) piloted across Welsh local authorities.</w:t>
      </w:r>
    </w:p>
    <w:p>
      <w:pPr>
        <w:pStyle w:val="ListParagraph"/>
        <w:numPr>
          <w:ilvl w:val="0"/>
          <w:numId w:val="1"/>
        </w:numPr>
        <w:spacing w:after="40" w:before="40"/>
      </w:pPr>
      <w:r>
        <w:t xml:space="preserve">Local authority cyber cover / insurance arrangement — annual testing and notification expectations under your LA cover terms.</w:t>
      </w:r>
    </w:p>
    <w:p>
      <w:pPr>
        <w:pStyle w:val="ListParagraph"/>
        <w:numPr>
          <w:ilvl w:val="0"/>
          <w:numId w:val="1"/>
        </w:numPr>
        <w:spacing w:after="40" w:before="40"/>
      </w:pPr>
      <w:r>
        <w:t xml:space="preserve">ICO Information &amp; Cyber Security toolkit — assurance evidence for data protection oversight.</w:t>
      </w:r>
    </w:p>
    <w:p>
      <w:pPr>
        <w:pStyle w:val="ListParagraph"/>
        <w:numPr>
          <w:ilvl w:val="0"/>
          <w:numId w:val="1"/>
        </w:numPr>
        <w:spacing w:after="40" w:before="40"/>
      </w:pPr>
      <w:r>
        <w:t xml:space="preserve">Cyber Essentials / Cyber Essentials Plus — five technical controls; CE Plus has a 3-month window after CE for the on-site audit.</w:t>
      </w:r>
    </w:p>
    <w:p>
      <w:pPr>
        <w:pStyle w:val="ListParagraph"/>
        <w:numPr>
          <w:ilvl w:val="0"/>
          <w:numId w:val="1"/>
        </w:numPr>
        <w:spacing w:after="40" w:before="40"/>
      </w:pPr>
      <w:r>
        <w:t xml:space="preserve">Estyn inspection arrangements — cyber response intersects with safeguarding and leadership and management aspects of inspection, providing governor / trustee assurance evidence.</w:t>
      </w:r>
    </w:p>
    <w:p>
      <w:pPr>
        <w:pStyle w:val="ListParagraph"/>
        <w:numPr>
          <w:ilvl w:val="0"/>
          <w:numId w:val="1"/>
        </w:numPr>
        <w:spacing w:after="40" w:before="40"/>
      </w:pPr>
      <w:r>
        <w:t xml:space="preserve">Regional ROCU Cyber PROTECT — TARIAN (South Wales, Gwent, Dyfed-Powys) or NWROCU (North Wales) — free pre-incident advice, training and exercises.</w:t>
      </w:r>
    </w:p>
    <w:sectPr>
      <w:headerReference w:type="first" r:id="rId7"/>
      <w:footerReference w:type="default" r:id="rId8"/>
      <w:pgSz w:w="11906" w:h="16838" w:orient="portrait"/>
      <w:pgMar w:top="1008" w:right="863" w:bottom="1008" w:left="863" w:header="708" w:footer="708" w:gutter="0"/>
      <w:pgNumType/>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tbl>
    <w:tblPr>
      <w:tblW w:type="pct" w:w="100%"/>
      <w:tblBorders>
        <w:top w:val="single" w:color="E3E8EF" w:sz="4"/>
        <w:left w:val="none" w:color="FFFFFF" w:sz="0"/>
        <w:bottom w:val="none" w:color="FFFFFF" w:sz="0"/>
        <w:right w:val="none" w:color="FFFFFF" w:sz="0"/>
        <w:insideH w:val="none" w:color="FFFFFF" w:sz="0"/>
        <w:insideV w:val="none" w:color="FFFFFF" w:sz="0"/>
      </w:tblBorders>
    </w:tblPr>
    <w:tblGrid>
      <w:gridCol w:w="100"/>
      <w:gridCol w:w="100"/>
    </w:tblGrid>
    <w:tr>
      <w:trPr>
        <w:cantSplit/>
      </w:trPr>
      <w:tc>
        <w:tcPr>
          <w:tcW w:type="pct" w:w="70%"/>
          <w:tcBorders>
            <w:top w:val="none" w:color="FFFFFF" w:sz="0"/>
            <w:left w:val="none" w:color="FFFFFF" w:sz="0"/>
            <w:bottom w:val="none" w:color="FFFFFF" w:sz="0"/>
            <w:right w:val="none" w:color="FFFFFF" w:sz="0"/>
          </w:tcBorders>
          <w:tcMar>
            <w:top w:type="dxa" w:w="60"/>
            <w:left w:type="dxa" w:w="0"/>
            <w:bottom w:type="dxa" w:w="60"/>
            <w:right w:type="dxa" w:w="0"/>
          </w:tcMar>
        </w:tcPr>
        <w:p>
          <w:pPr>
            <w:spacing w:after="0" w:before="0"/>
            <w:jc w:val="left"/>
          </w:pPr>
          <w:r>
            <w:rPr>
              <w:rFonts w:ascii="IBM Plex Sans" w:cs="IBM Plex Sans" w:eastAsia="IBM Plex Sans" w:hAnsi="IBM Plex Sans"/>
              <w:color w:val="5B6A82"/>
              <w:sz w:val="14"/>
              <w:szCs w:val="14"/>
            </w:rPr>
            <w:t xml:space="preserve">Anytown High &amp; Sixth Form</w:t>
          </w:r>
        </w:p>
      </w:tc>
      <w:tc>
        <w:tcPr>
          <w:tcW w:type="pct" w:w="30%"/>
          <w:tcBorders>
            <w:top w:val="none" w:color="FFFFFF" w:sz="0"/>
            <w:left w:val="none" w:color="FFFFFF" w:sz="0"/>
            <w:bottom w:val="none" w:color="FFFFFF" w:sz="0"/>
            <w:right w:val="none" w:color="FFFFFF" w:sz="0"/>
          </w:tcBorders>
          <w:tcMar>
            <w:top w:type="dxa" w:w="60"/>
            <w:left w:type="dxa" w:w="0"/>
            <w:bottom w:type="dxa" w:w="60"/>
            <w:right w:type="dxa" w:w="0"/>
          </w:tcMar>
        </w:tcPr>
        <w:p>
          <w:pPr>
            <w:spacing w:after="0" w:before="0"/>
            <w:jc w:val="right"/>
          </w:pPr>
          <w:r>
            <w:rPr>
              <w:rFonts w:ascii="IBM Plex Sans" w:cs="IBM Plex Sans" w:eastAsia="IBM Plex Sans" w:hAnsi="IBM Plex Sans"/>
              <w:color w:val="5B6A82"/>
              <w:sz w:val="14"/>
              <w:szCs w:val="14"/>
            </w:rPr>
            <w:t xml:space="preserve">Page </w:t>
          </w:r>
          <w:r>
            <w:rPr>
              <w:b/>
              <w:bCs/>
              <w:color w:val="13315C"/>
              <w:sz w:val="14"/>
              <w:szCs w:val="14"/>
            </w:rPr>
            <w:fldChar w:fldCharType="begin"/>
            <w:instrText xml:space="preserve">PAGE</w:instrText>
            <w:fldChar w:fldCharType="separate"/>
            <w:fldChar w:fldCharType="end"/>
          </w:r>
          <w:r>
            <w:rPr>
              <w:rFonts w:ascii="IBM Plex Sans" w:cs="IBM Plex Sans" w:eastAsia="IBM Plex Sans" w:hAnsi="IBM Plex Sans"/>
              <w:color w:val="5B6A82"/>
              <w:sz w:val="14"/>
              <w:szCs w:val="14"/>
            </w:rPr>
            <w:t xml:space="preserve"> of </w:t>
          </w:r>
          <w:r>
            <w:rPr>
              <w:b/>
              <w:bCs/>
              <w:color w:val="13315C"/>
              <w:sz w:val="14"/>
              <w:szCs w:val="14"/>
            </w:rPr>
            <w:fldChar w:fldCharType="begin"/>
            <w:instrText xml:space="preserve">NUMPAGES</w:instrText>
            <w:fldChar w:fldCharType="separate"/>
            <w:fldChar w:fldCharType="end"/>
          </w:r>
        </w:p>
      </w:tc>
    </w:tr>
  </w:tbl>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0" w:before="0"/>
      <w:jc w:val="left"/>
    </w:pPr>
    <w:r>
      <w:drawing>
        <wp:inline distT="0" distB="0" distL="0" distR="0">
          <wp:extent cx="304800" cy="3048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304800" cy="304800"/>
                  </a:xfrm>
                  <a:prstGeom prst="rect">
                    <a:avLst/>
                  </a:prstGeom>
                </pic:spPr>
              </pic:pic>
            </a:graphicData>
          </a:graphic>
        </wp:inline>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IBM Plex Sans" w:cs="IBM Plex Sans" w:eastAsia="IBM Plex Sans" w:hAnsi="IBM Plex Sans"/>
        <w:color w:val="1F2937"/>
        <w:sz w:val="22"/>
        <w:szCs w:val="22"/>
      </w:rPr>
    </w:rPrDefault>
    <w:pPrDefault>
      <w:pPr>
        <w:spacing w:after="100" w:before="0" w:line="320"/>
      </w:pPr>
    </w:pPrDefault>
  </w:docDefaults>
  <w:style w:type="paragraph" w:styleId="Title">
    <w:name w:val="Title"/>
    <w:basedOn w:val="Normal"/>
    <w:next w:val="Normal"/>
    <w:qFormat/>
    <w:rPr>
      <w:sz w:val="56"/>
      <w:szCs w:val="56"/>
    </w:rPr>
  </w:style>
  <w:style w:type="paragraph" w:styleId="Heading1">
    <w:name w:val="Heading 1"/>
    <w:basedOn w:val="Normal"/>
    <w:next w:val="Normal"/>
    <w:qFormat/>
    <w:pPr>
      <w:spacing w:after="120" w:before="320"/>
    </w:pPr>
    <w:rPr>
      <w:rFonts w:ascii="Fraunces" w:cs="Fraunces" w:eastAsia="Fraunces" w:hAnsi="Fraunces"/>
      <w:b/>
      <w:bCs/>
      <w:color w:val="0B2545"/>
      <w:sz w:val="36"/>
      <w:szCs w:val="36"/>
    </w:rPr>
  </w:style>
  <w:style w:type="paragraph" w:styleId="Heading2">
    <w:name w:val="Heading 2"/>
    <w:basedOn w:val="Normal"/>
    <w:next w:val="Normal"/>
    <w:qFormat/>
    <w:pPr>
      <w:spacing w:after="100" w:before="240"/>
    </w:pPr>
    <w:rPr>
      <w:rFonts w:ascii="Fraunces" w:cs="Fraunces" w:eastAsia="Fraunces" w:hAnsi="Fraunces"/>
      <w:b/>
      <w:bCs/>
      <w:color w:val="0B2545"/>
      <w:sz w:val="28"/>
      <w:szCs w:val="28"/>
    </w:rPr>
  </w:style>
  <w:style w:type="paragraph" w:styleId="Heading3">
    <w:name w:val="Heading 3"/>
    <w:basedOn w:val="Normal"/>
    <w:next w:val="Normal"/>
    <w:qFormat/>
    <w:pPr>
      <w:spacing w:after="60" w:before="180"/>
    </w:pPr>
    <w:rPr>
      <w:rFonts w:ascii="Fraunces" w:cs="Fraunces" w:eastAsia="Fraunces" w:hAnsi="Fraunces"/>
      <w:b/>
      <w:bCs/>
      <w:color w:val="13315C"/>
      <w:sz w:val="22"/>
      <w:szCs w:val="22"/>
    </w:rPr>
  </w:style>
  <w:style w:type="paragraph" w:styleId="Heading4">
    <w:name w:val="Heading 4"/>
    <w:basedOn w:val="Normal"/>
    <w:next w:val="Normal"/>
    <w:qFormat/>
    <w:pPr>
      <w:spacing w:after="40" w:before="140"/>
    </w:pPr>
    <w:rPr>
      <w:rFonts w:ascii="IBM Plex Sans" w:cs="IBM Plex Sans" w:eastAsia="IBM Plex Sans" w:hAnsi="IBM Plex Sans"/>
      <w:b/>
      <w:bCs/>
      <w:color w:val="13315C"/>
      <w:sz w:val="18"/>
      <w:szCs w:val="18"/>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customXml" Target="../customXml/item3.xml"/><Relationship Id="rId3" Type="http://schemas.openxmlformats.org/officeDocument/2006/relationships/footnotes" Target="footnotes.xml"/><Relationship Id="rId7" Type="http://schemas.openxmlformats.org/officeDocument/2006/relationships/header" Target="header1.xml"/><Relationship Id="rId12" Type="http://schemas.openxmlformats.org/officeDocument/2006/relationships/customXml" Target="../customXml/item2.xml"/><Relationship Id="rId2" Type="http://schemas.openxmlformats.org/officeDocument/2006/relationships/numbering" Target="numbering.xml"/><Relationship Id="rId1" Type="http://schemas.openxmlformats.org/officeDocument/2006/relationships/styles" Target="styles.xml"/><Relationship Id="rId6" Type="http://schemas.openxmlformats.org/officeDocument/2006/relationships/comments" Target="comments.xml"/><Relationship Id="rId11" Type="http://schemas.openxmlformats.org/officeDocument/2006/relationships/customXml" Target="../customXml/item1.xml"/><Relationship Id="rId5" Type="http://schemas.openxmlformats.org/officeDocument/2006/relationships/settings" Target="settings.xml"/><Relationship Id="rId10" Type="http://schemas.openxmlformats.org/officeDocument/2006/relationships/fontTable" Target="fontTable.xml"/><Relationship Id="rId4" Type="http://schemas.openxmlformats.org/officeDocument/2006/relationships/endnotes" Target="endnotes.xml"/><Relationship Id="rId9" Type="http://schemas.openxmlformats.org/officeDocument/2006/relationships/image" Target="media/c1986af3c26609b8b7d8933f99c51c1a89e9ea6b.png"/></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Relationship Id="rId0" Type="http://schemas.openxmlformats.org/officeDocument/2006/relationships/image" Target="media/9974062191af1c7aeae9cccd23516d8d751db275.png"/></Relationships>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C52C1726B93F374B817EB118274DC39A" ma:contentTypeVersion="13" ma:contentTypeDescription="Create a new document." ma:contentTypeScope="" ma:versionID="044dd26c0d5cec6e3107bc39d5591223">
  <xsd:schema xmlns:xsd="http://www.w3.org/2001/XMLSchema" xmlns:xs="http://www.w3.org/2001/XMLSchema" xmlns:p="http://schemas.microsoft.com/office/2006/metadata/properties" xmlns:ns2="8b0458ad-06ec-4155-b1cd-5bc84c165a82" xmlns:ns3="25146c01-61b3-4aba-8a67-df32bc159999" targetNamespace="http://schemas.microsoft.com/office/2006/metadata/properties" ma:root="true" ma:fieldsID="7e23947fcc5598d0b9e056e281726af5" ns2:_="" ns3:_="">
    <xsd:import namespace="8b0458ad-06ec-4155-b1cd-5bc84c165a82"/>
    <xsd:import namespace="25146c01-61b3-4aba-8a67-df32bc159999"/>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element ref="ns2:MediaServiceLocation"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b0458ad-06ec-4155-b1cd-5bc84c165a8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lcf76f155ced4ddcb4097134ff3c332f" ma:index="16" nillable="true" ma:taxonomy="true" ma:internalName="lcf76f155ced4ddcb4097134ff3c332f" ma:taxonomyFieldName="MediaServiceImageTags" ma:displayName="Image Tags" ma:readOnly="false" ma:fieldId="{5cf76f15-5ced-4ddc-b409-7134ff3c332f}" ma:taxonomyMulti="true" ma:sspId="5ecf3ad8-d980-41c9-86cc-b5147b12fdc6" ma:termSetId="09814cd3-568e-fe90-9814-8d621ff8fb84" ma:anchorId="fba54fb3-c3e1-fe81-a776-ca4b69148c4d" ma:open="true" ma:isKeyword="false">
      <xsd:complexType>
        <xsd:sequence>
          <xsd:element ref="pc:Terms" minOccurs="0" maxOccurs="1"/>
        </xsd:sequence>
      </xsd:complexType>
    </xsd:element>
    <xsd:element name="MediaServiceOCR" ma:index="18" nillable="true" ma:displayName="Extracted Text" ma:internalName="MediaServiceOCR" ma:readOnly="true">
      <xsd:simpleType>
        <xsd:restriction base="dms:Note">
          <xsd:maxLength value="255"/>
        </xsd:restriction>
      </xsd:simpleType>
    </xsd:element>
    <xsd:element name="MediaServiceLocation" ma:index="19" nillable="true" ma:displayName="Location" ma:description="" ma:indexed="true" ma:internalName="MediaServiceLocation" ma:readOnly="true">
      <xsd:simpleType>
        <xsd:restriction base="dms:Text"/>
      </xsd:simpleType>
    </xsd:element>
    <xsd:element name="MediaServiceBillingMetadata" ma:index="20"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25146c01-61b3-4aba-8a67-df32bc159999" elementFormDefault="qualified">
    <xsd:import namespace="http://schemas.microsoft.com/office/2006/documentManagement/types"/>
    <xsd:import namespace="http://schemas.microsoft.com/office/infopath/2007/PartnerControls"/>
    <xsd:element name="TaxCatchAll" ma:index="17" nillable="true" ma:displayName="Taxonomy Catch All Column" ma:hidden="true" ma:list="{25f7e824-b74e-4985-9e9a-8647a8d800c3}" ma:internalName="TaxCatchAll" ma:showField="CatchAllData" ma:web="25146c01-61b3-4aba-8a67-df32bc159999">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25146c01-61b3-4aba-8a67-df32bc159999" xsi:nil="true"/>
    <lcf76f155ced4ddcb4097134ff3c332f xmlns="8b0458ad-06ec-4155-b1cd-5bc84c165a82">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429C710A-06AD-4CCF-A63E-A264D415DB68}"/>
</file>

<file path=customXml/itemProps2.xml><?xml version="1.0" encoding="utf-8"?>
<ds:datastoreItem xmlns:ds="http://schemas.openxmlformats.org/officeDocument/2006/customXml" ds:itemID="{4DCB595F-657E-412E-B664-C35E4F48649B}"/>
</file>

<file path=customXml/itemProps3.xml><?xml version="1.0" encoding="utf-8"?>
<ds:datastoreItem xmlns:ds="http://schemas.openxmlformats.org/officeDocument/2006/customXml" ds:itemID="{75D57F17-7AB6-46DE-AFD1-4E200AE003F9}"/>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Cyber Incident Response Plan</dc:title>
  <dc:creator>Cyber Incident Response Planner</dc:creator>
  <dc:description>Cyber Incident Response Plan</dc:description>
  <cp:lastModifiedBy>Un-named</cp:lastModifiedBy>
  <cp:revision>1</cp:revision>
  <dcterms:created xsi:type="dcterms:W3CDTF">2026-05-19T07:55:15Z</dcterms:created>
  <dcterms:modified xsi:type="dcterms:W3CDTF">2026-05-19T07:55:15Z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0x010100C52C1726B93F374B817EB118274DC39A</vt:lpwstr>
  </property>
</Properties>
</file>