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200"/>
        <w:jc w:val="center"/>
      </w:pPr>
      <w:r>
        <w:drawing>
          <wp:inline distT="0" distB="0" distL="0" distR="0">
            <wp:extent cx="9525" cy="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 cy="9525"/>
                    </a:xfrm>
                    <a:prstGeom prst="rect">
                      <a:avLst/>
                    </a:prstGeom>
                  </pic:spPr>
                </pic:pic>
              </a:graphicData>
            </a:graphic>
          </wp:inline>
        </w:drawing>
      </w:r>
    </w:p>
    <w:p>
      <w:pPr>
        <w:spacing w:after="240" w:before="0"/>
        <w:jc w:val="center"/>
      </w:pPr>
      <w:r>
        <w:rPr>
          <w:rFonts w:ascii="Fraunces" w:cs="Fraunces" w:eastAsia="Fraunces" w:hAnsi="Fraunces"/>
          <w:b/>
          <w:bCs/>
          <w:color w:val="0B2545"/>
          <w:sz w:val="64"/>
          <w:szCs w:val="64"/>
        </w:rPr>
        <w:t xml:space="preserve">Governor / Trustee Summary</w:t>
      </w:r>
    </w:p>
    <w:p>
      <w:pPr>
        <w:spacing w:after="200" w:before="0"/>
        <w:jc w:val="center"/>
      </w:pPr>
      <w:r>
        <w:rPr>
          <w:rFonts w:ascii="IBM Plex Sans" w:cs="IBM Plex Sans" w:eastAsia="IBM Plex Sans" w:hAnsi="IBM Plex Sans"/>
          <w:color w:val="13315C"/>
          <w:sz w:val="28"/>
          <w:szCs w:val="28"/>
        </w:rPr>
        <w:t xml:space="preserve">Anytown High &amp; Sixth Form · Anytown Multi-Academy Trust</w:t>
      </w:r>
    </w:p>
    <w:p>
      <w:pPr>
        <w:spacing w:after="720" w:before="0"/>
        <w:jc w:val="center"/>
      </w:pPr>
      <w:r>
        <w:rPr>
          <w:rFonts w:ascii="IBM Plex Sans" w:cs="IBM Plex Sans" w:eastAsia="IBM Plex Sans" w:hAnsi="IBM Plex Sans"/>
          <w:color w:val="5B6A82"/>
          <w:sz w:val="18"/>
          <w:szCs w:val="18"/>
        </w:rPr>
        <w:t xml:space="preserve">Prepared for Governors &amp; Senior Leadership</w:t>
      </w:r>
    </w:p>
    <w:p>
      <w:pPr>
        <w:spacing w:after="0" w:before="0"/>
        <w:jc w:val="center"/>
      </w:pPr>
      <w:r>
        <w:rPr>
          <w:rFonts w:ascii="IBM Plex Sans" w:cs="IBM Plex Sans" w:eastAsia="IBM Plex Sans" w:hAnsi="IBM Plex Sans"/>
          <w:color w:val="5B6A82"/>
          <w:spacing w:val="40"/>
          <w:sz w:val="18"/>
          <w:szCs w:val="18"/>
        </w:rPr>
        <w:t xml:space="preserve">Version 2.1   •   Approved 15 May 2026   •   Next review 15 May 2027</w:t>
      </w:r>
    </w:p>
    <w:p>
      <w:pPr>
        <w:pBdr>
          <w:bottom w:val="single" w:color="E3E8EF" w:sz="4" w:space="1"/>
        </w:pBdr>
        <w:spacing w:after="200" w:before="8400"/>
        <w:ind w:left="3600" w:right="3600"/>
        <w:jc w:val="center"/>
      </w:pPr>
    </w:p>
    <w:p>
      <w:pPr>
        <w:spacing w:after="0" w:before="0"/>
        <w:jc w:val="center"/>
      </w:pPr>
      <w:r>
        <w:rPr>
          <w:rFonts w:ascii="IBM Plex Sans" w:cs="IBM Plex Sans" w:eastAsia="IBM Plex Sans" w:hAnsi="IBM Plex Sans"/>
          <w:i/>
          <w:iCs/>
          <w:color w:val="5B6A82"/>
          <w:sz w:val="14"/>
          <w:szCs w:val="14"/>
        </w:rPr>
        <w:t xml:space="preserve">Prepared by Anytown High &amp; Sixth Form</w:t>
      </w:r>
    </w:p>
    <w:p>
      <w:pPr>
        <w:pageBreakBefore/>
      </w:pPr>
    </w:p>
    <w:p>
      <w:pPr>
        <w:pStyle w:val="Heading2"/>
        <w:pBdr>
          <w:bottom w:val="single" w:color="0B2545" w:sz="12" w:space="6"/>
        </w:pBdr>
      </w:pPr>
      <w:r>
        <w:t xml:space="preserve">Executive summary</w:t>
      </w:r>
    </w:p>
    <w:p>
      <w:pPr>
        <w:spacing w:after="160" w:before="0"/>
      </w:pPr>
      <w:r>
        <w:rPr>
          <w:rFonts w:ascii="IBM Plex Sans" w:cs="IBM Plex Sans" w:eastAsia="IBM Plex Sans" w:hAnsi="IBM Plex Sans"/>
          <w:i/>
          <w:iCs/>
          <w:color w:val="5B6A82"/>
          <w:sz w:val="18"/>
          <w:szCs w:val="18"/>
        </w:rPr>
        <w:t xml:space="preserve">Headline assessment and ICO maturity band.</w:t>
      </w:r>
    </w:p>
    <w:tbl>
      <w:tblPr>
        <w:tblW w:type="pct" w:w="100%"/>
        <w:tblBorders>
          <w:top w:val="single" w:color="E3E8EF" w:sz="4"/>
          <w:left w:val="single" w:color="E3E8EF" w:sz="4"/>
          <w:bottom w:val="single" w:color="E3E8EF" w:sz="4"/>
          <w:right w:val="single" w:color="E3E8EF" w:sz="4"/>
          <w:insideH w:val="single" w:color="E3E8EF" w:sz="4"/>
          <w:insideV w:val="single" w:color="E3E8EF" w:sz="4"/>
        </w:tblBorders>
      </w:tblPr>
      <w:tblGrid>
        <w:gridCol w:w="100"/>
        <w:gridCol w:w="100"/>
        <w:gridCol w:w="100"/>
        <w:gridCol w:w="100"/>
      </w:tblGrid>
      <w:tr>
        <w:trPr>
          <w:cantSplit/>
        </w:trPr>
        <w:tc>
          <w:tcPr>
            <w:tcW w:type="pct" w:w="25%"/>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READINESS</w:t>
            </w:r>
          </w:p>
          <w:p>
            <w:pPr>
              <w:spacing w:after="40" w:before="0"/>
              <w:jc w:val="center"/>
            </w:pPr>
            <w:r>
              <w:rPr>
                <w:rFonts w:ascii="Fraunces" w:cs="Fraunces" w:eastAsia="Fraunces" w:hAnsi="Fraunces"/>
                <w:b/>
                <w:bCs/>
                <w:color w:val="8E1B12"/>
                <w:sz w:val="56"/>
                <w:szCs w:val="56"/>
              </w:rPr>
              <w:t xml:space="preserve">71%</w:t>
            </w:r>
          </w:p>
          <w:p>
            <w:pPr>
              <w:spacing w:after="60" w:before="0"/>
              <w:jc w:val="center"/>
            </w:pPr>
            <w:r>
              <w:rPr>
                <w:rFonts w:ascii="IBM Plex Sans" w:cs="IBM Plex Sans" w:eastAsia="IBM Plex Sans" w:hAnsi="IBM Plex Sans"/>
                <w:color w:val="5B6A82"/>
                <w:sz w:val="18"/>
                <w:szCs w:val="18"/>
              </w:rPr>
              <w:t xml:space="preserve">34 of 48</w:t>
            </w:r>
          </w:p>
        </w:tc>
        <w:tc>
          <w:tcPr>
            <w:tcW w:type="pct" w:w="25%"/>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RED GAPS</w:t>
            </w:r>
          </w:p>
          <w:p>
            <w:pPr>
              <w:spacing w:after="40" w:before="0"/>
              <w:jc w:val="center"/>
            </w:pPr>
            <w:r>
              <w:rPr>
                <w:rFonts w:ascii="Fraunces" w:cs="Fraunces" w:eastAsia="Fraunces" w:hAnsi="Fraunces"/>
                <w:b/>
                <w:bCs/>
                <w:color w:val="8E1B12"/>
                <w:sz w:val="56"/>
                <w:szCs w:val="56"/>
              </w:rPr>
              <w:t xml:space="preserve">3</w:t>
            </w:r>
          </w:p>
        </w:tc>
        <w:tc>
          <w:tcPr>
            <w:tcW w:type="pct" w:w="25%"/>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AMBER AREAS</w:t>
            </w:r>
          </w:p>
          <w:p>
            <w:pPr>
              <w:spacing w:after="40" w:before="0"/>
              <w:jc w:val="center"/>
            </w:pPr>
            <w:r>
              <w:rPr>
                <w:rFonts w:ascii="Fraunces" w:cs="Fraunces" w:eastAsia="Fraunces" w:hAnsi="Fraunces"/>
                <w:b/>
                <w:bCs/>
                <w:color w:val="7A3A07"/>
                <w:sz w:val="56"/>
                <w:szCs w:val="56"/>
              </w:rPr>
              <w:t xml:space="preserve">7</w:t>
            </w:r>
          </w:p>
        </w:tc>
        <w:tc>
          <w:tcPr>
            <w:tcW w:type="pct" w:w="25%"/>
            <w:tcBorders>
              <w:top w:val="single" w:color="E3E8EF" w:sz="4"/>
              <w:left w:val="single" w:color="E3E8EF" w:sz="4"/>
              <w:bottom w:val="single" w:color="E3E8EF" w:sz="4"/>
              <w:right w:val="single" w:color="E3E8EF" w:sz="4"/>
            </w:tcBorders>
            <w:shd w:fill="F7F9FC" w:color="auto" w:val="clear"/>
            <w:tcMar>
              <w:top w:type="dxa" w:w="160"/>
              <w:left w:type="dxa" w:w="100"/>
              <w:bottom w:type="dxa" w:w="160"/>
              <w:right w:type="dxa" w:w="100"/>
            </w:tcMar>
          </w:tcPr>
          <w:p>
            <w:pPr>
              <w:spacing w:after="60" w:before="60"/>
              <w:jc w:val="center"/>
            </w:pPr>
            <w:r>
              <w:rPr>
                <w:rFonts w:ascii="IBM Plex Sans" w:cs="IBM Plex Sans" w:eastAsia="IBM Plex Sans" w:hAnsi="IBM Plex Sans"/>
                <w:b/>
                <w:bCs/>
                <w:color w:val="5B6A82"/>
                <w:spacing w:val="80"/>
                <w:sz w:val="14"/>
                <w:szCs w:val="14"/>
              </w:rPr>
              <w:t xml:space="preserve">MATURITY</w:t>
            </w:r>
          </w:p>
          <w:p>
            <w:pPr>
              <w:spacing w:after="40" w:before="0"/>
              <w:jc w:val="center"/>
            </w:pPr>
            <w:r>
              <w:rPr>
                <w:rFonts w:ascii="Fraunces" w:cs="Fraunces" w:eastAsia="Fraunces" w:hAnsi="Fraunces"/>
                <w:b/>
                <w:bCs/>
                <w:color w:val="0B2545"/>
                <w:sz w:val="56"/>
                <w:szCs w:val="56"/>
              </w:rPr>
              <w:t xml:space="preserve">Established</w:t>
            </w:r>
          </w:p>
        </w:tc>
      </w:tr>
    </w:tbl>
    <w:p>
      <w:pPr>
        <w:spacing w:after="80" w:before="80"/>
      </w:pPr>
      <w:r>
        <w:rPr>
          <w:rFonts w:ascii="IBM Plex Sans" w:cs="IBM Plex Sans" w:eastAsia="IBM Plex Sans" w:hAnsi="IBM Plex Sans"/>
          <w:b/>
          <w:bCs/>
          <w:color w:val="5B6A82"/>
          <w:spacing w:val="60"/>
          <w:sz w:val="18"/>
          <w:szCs w:val="18"/>
        </w:rPr>
        <w:t xml:space="preserve">Overall readiness  </w:t>
      </w:r>
      <w:r>
        <w:rPr>
          <w:rFonts w:ascii="IBM Plex Sans" w:cs="IBM Plex Sans" w:eastAsia="IBM Plex Sans" w:hAnsi="IBM Plex Sans"/>
          <w:color w:val="8E1B12"/>
          <w:sz w:val="22"/>
          <w:szCs w:val="22"/>
        </w:rPr>
        <w:t xml:space="preserve">██████████░░░░</w:t>
      </w:r>
      <w:r>
        <w:rPr>
          <w:rFonts w:ascii="IBM Plex Sans" w:cs="IBM Plex Sans" w:eastAsia="IBM Plex Sans" w:hAnsi="IBM Plex Sans"/>
          <w:b/>
          <w:bCs/>
          <w:color w:val="0B2545"/>
          <w:sz w:val="22"/>
          <w:szCs w:val="22"/>
        </w:rPr>
        <w:t xml:space="preserve">  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1.5%"/>
            <w:tcBorders>
              <w:top w:val="none" w:color="FFFFFF" w:sz="0"/>
              <w:left w:val="none" w:color="FFFFFF" w:sz="0"/>
              <w:bottom w:val="none" w:color="FFFFFF" w:sz="0"/>
              <w:right w:val="none" w:color="FFFFFF" w:sz="0"/>
            </w:tcBorders>
            <w:shd w:fill="8E1B12" w:color="auto" w:val="clear"/>
            <w:tcMar>
              <w:top w:type="dxa" w:w="0"/>
              <w:left w:type="dxa" w:w="0"/>
              <w:bottom w:type="dxa" w:w="0"/>
              <w:right w:type="dxa" w:w="0"/>
            </w:tcMar>
          </w:tcPr>
          <w:p>
            <w:pPr>
              <w:spacing w:after="0" w:before="0"/>
            </w:pPr>
          </w:p>
        </w:tc>
        <w:tc>
          <w:tcPr>
            <w:tcW w:type="pct" w:w="98.5%"/>
            <w:tcBorders>
              <w:top w:val="none" w:color="FFFFFF" w:sz="0"/>
              <w:left w:val="none" w:color="FFFFFF" w:sz="0"/>
              <w:bottom w:val="none" w:color="FFFFFF" w:sz="0"/>
              <w:right w:val="none" w:color="FFFFFF" w:sz="0"/>
            </w:tcBorders>
            <w:shd w:fill="FBE9E7" w:color="auto" w:val="clear"/>
            <w:tcMar>
              <w:top w:type="dxa" w:w="140"/>
              <w:left w:type="dxa" w:w="200"/>
              <w:bottom w:type="dxa" w:w="140"/>
              <w:right w:type="dxa" w:w="200"/>
            </w:tcMar>
          </w:tcPr>
          <w:p>
            <w:pPr>
              <w:spacing w:after="40" w:before="0"/>
            </w:pPr>
            <w:r>
              <w:rPr>
                <w:rFonts w:ascii="IBM Plex Sans" w:cs="IBM Plex Sans" w:eastAsia="IBM Plex Sans" w:hAnsi="IBM Plex Sans"/>
                <w:b/>
                <w:bCs/>
                <w:color w:val="8E1B12"/>
                <w:spacing w:val="40"/>
                <w:sz w:val="18"/>
                <w:szCs w:val="18"/>
              </w:rPr>
              <w:t xml:space="preserve">Significant gaps in readiness</w:t>
            </w:r>
          </w:p>
          <w:p>
            <w:pPr>
              <w:spacing w:after="0" w:before="0"/>
            </w:pPr>
            <w:r>
              <w:rPr>
                <w:rFonts w:ascii="IBM Plex Sans" w:cs="IBM Plex Sans" w:eastAsia="IBM Plex Sans" w:hAnsi="IBM Plex Sans"/>
                <w:color w:val="8E1B12"/>
                <w:sz w:val="22"/>
                <w:szCs w:val="22"/>
              </w:rPr>
              <w:t xml:space="preserve">Several core elements of cyber incident response are missing or incomplete. Governors should treat this as a strategic risk requiring an urgent SLT response with a costed remediation plan presented at the next meeting.</w:t>
            </w:r>
          </w:p>
        </w:tc>
      </w:tr>
    </w:tbl>
    <w:p>
      <w:pPr>
        <w:pStyle w:val="Heading3"/>
      </w:pPr>
      <w:r>
        <w:t xml:space="preserve">ICO maturity · Established</w:t>
      </w:r>
    </w:p>
    <w:p>
      <w:pPr>
        <w:spacing/>
      </w:pPr>
      <w:r>
        <w:rPr>
          <w:rFonts w:ascii="IBM Plex Sans" w:cs="IBM Plex Sans" w:eastAsia="IBM Plex Sans" w:hAnsi="IBM Plex Sans"/>
          <w:color w:val="1F2937"/>
          <w:sz w:val="22"/>
          <w:szCs w:val="22"/>
        </w:rPr>
        <w:t xml:space="preserve">Most ICO baseline controls are in place and operating. Some areas still need embedding into routine practice and assurance.</w:t>
      </w:r>
    </w:p>
    <w:p>
      <w:pPr>
        <w:pStyle w:val="Heading2"/>
        <w:pBdr>
          <w:bottom w:val="single" w:color="0B2545" w:sz="12" w:space="6"/>
        </w:pBdr>
      </w:pPr>
      <w:r>
        <w:t xml:space="preserve">Priority areas</w:t>
      </w:r>
    </w:p>
    <w:p>
      <w:pPr>
        <w:spacing w:after="160" w:before="0"/>
      </w:pPr>
      <w:r>
        <w:rPr>
          <w:rFonts w:ascii="IBM Plex Sans" w:cs="IBM Plex Sans" w:eastAsia="IBM Plex Sans" w:hAnsi="IBM Plex Sans"/>
          <w:i/>
          <w:iCs/>
          <w:color w:val="5B6A82"/>
          <w:sz w:val="18"/>
          <w:szCs w:val="18"/>
        </w:rPr>
        <w:t xml:space="preserve">Top items where readiness is currently red or amber. Red items typically need attention within one term.</w:t>
      </w:r>
    </w:p>
    <w:tbl>
      <w:tblPr>
        <w:tblW w:type="pct" w:w="100%"/>
        <w:tblBorders>
          <w:top w:val="single" w:color="E3E8EF" w:sz="4"/>
          <w:left w:val="single" w:color="E3E8EF" w:sz="4"/>
          <w:bottom w:val="single" w:color="E3E8EF" w:sz="4"/>
          <w:right w:val="single" w:color="E3E8EF" w:sz="4"/>
          <w:insideH w:val="single" w:color="E3E8EF" w:sz="4"/>
          <w:insideV w:val="single" w:color="E3E8EF" w:sz="4"/>
        </w:tblBorders>
      </w:tblPr>
      <w:tblGrid>
        <w:gridCol w:w="100"/>
        <w:gridCol w:w="100"/>
        <w:gridCol w:w="100"/>
      </w:tblGrid>
      <w:tr>
        <w:trPr>
          <w:cantSplit/>
          <w:tblHeader/>
        </w:trPr>
        <w:tc>
          <w:tcPr>
            <w:tcW w:type="dxa" w:w="108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RAG</w:t>
            </w:r>
          </w:p>
        </w:tc>
        <w:tc>
          <w:tcPr>
            <w:tcW w:type="dxa" w:w="252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AREA</w:t>
            </w:r>
          </w:p>
        </w:tc>
        <w:tc>
          <w:tcPr>
            <w:tcW w:type="dxa" w:w="5400"/>
            <w:tcBorders>
              <w:top w:val="single" w:color="0B2545" w:sz="4"/>
              <w:left w:val="single" w:color="0B2545" w:sz="4"/>
              <w:bottom w:val="single" w:color="0B2545" w:sz="4"/>
              <w:right w:val="single" w:color="0B2545" w:sz="4"/>
            </w:tcBorders>
            <w:shd w:fill="0B2545" w:color="auto" w:val="clear"/>
            <w:tcMar>
              <w:top w:type="dxa" w:w="90"/>
              <w:left w:type="dxa" w:w="140"/>
              <w:bottom w:type="dxa" w:w="90"/>
              <w:right w:type="dxa" w:w="140"/>
            </w:tcMar>
          </w:tcPr>
          <w:p>
            <w:pPr>
              <w:spacing w:after="0" w:before="0"/>
            </w:pPr>
            <w:r>
              <w:rPr>
                <w:rFonts w:ascii="IBM Plex Sans" w:cs="IBM Plex Sans" w:eastAsia="IBM Plex Sans" w:hAnsi="IBM Plex Sans"/>
                <w:b/>
                <w:bCs/>
                <w:color w:val="FFFFFF"/>
                <w:spacing w:val="20"/>
                <w:sz w:val="14"/>
                <w:szCs w:val="14"/>
              </w:rPr>
              <w:t xml:space="preserve">WHAT THIS MEANS</w:t>
            </w:r>
          </w:p>
        </w:tc>
      </w:tr>
      <w:tr>
        <w:trPr>
          <w:cantSplit/>
        </w:trPr>
        <w:tc>
          <w:tcPr>
            <w:tcW w:type="dxa" w:w="10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RED</w:t>
            </w:r>
          </w:p>
        </w:tc>
        <w:tc>
          <w:tcPr>
            <w:tcW w:type="dxa" w:w="25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Decision authority</w:t>
            </w:r>
          </w:p>
        </w:tc>
        <w:tc>
          <w:tcPr>
            <w:tcW w:type="dxa" w:w="540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Whether it is documented who has authority to take systems offline, engage external help, contact the press and notify the regulator — including named deputies.</w:t>
            </w:r>
          </w:p>
        </w:tc>
      </w:tr>
      <w:tr>
        <w:trPr>
          <w:cantSplit/>
        </w:trPr>
        <w:tc>
          <w:tcPr>
            <w:tcW w:type="dxa" w:w="10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RED</w:t>
            </w:r>
          </w:p>
        </w:tc>
        <w:tc>
          <w:tcPr>
            <w:tcW w:type="dxa" w:w="25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Reporting routes</w:t>
            </w:r>
          </w:p>
        </w:tc>
        <w:tc>
          <w:tcPr>
            <w:tcW w:type="dxa" w:w="540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Whether the school knows how and when to report incidents to NCSC, Report Fraud, the ICO (within 72 hours if personal data is involved), and your local authority / insurer.</w:t>
            </w:r>
          </w:p>
        </w:tc>
      </w:tr>
      <w:tr>
        <w:trPr>
          <w:cantSplit/>
        </w:trPr>
        <w:tc>
          <w:tcPr>
            <w:tcW w:type="dxa" w:w="108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8E1B12"/>
                <w:sz w:val="18"/>
                <w:szCs w:val="18"/>
              </w:rPr>
              <w:t xml:space="preserve">RED</w:t>
            </w:r>
          </w:p>
        </w:tc>
        <w:tc>
          <w:tcPr>
            <w:tcW w:type="dxa" w:w="252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DPIA + security risk linkage</w:t>
            </w:r>
          </w:p>
        </w:tc>
        <w:tc>
          <w:tcPr>
            <w:tcW w:type="dxa" w:w="5400"/>
            <w:tcBorders>
              <w:top w:val="single" w:color="EEF2F7" w:sz="4"/>
              <w:left w:val="single" w:color="EEF2F7" w:sz="4"/>
              <w:bottom w:val="single" w:color="EEF2F7" w:sz="4"/>
              <w:right w:val="single" w:color="EEF2F7" w:sz="4"/>
            </w:tcBorders>
            <w:shd w:fill="FDF2F0"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Whether the school links Data Protection Impact Assessments to security risk assessments when introducing new systems or suppliers.</w:t>
            </w:r>
          </w:p>
        </w:tc>
      </w:tr>
      <w:tr>
        <w:trPr>
          <w:cantSplit/>
        </w:trPr>
        <w:tc>
          <w:tcPr>
            <w:tcW w:type="dxa" w:w="1080"/>
            <w:tcBorders>
              <w:top w:val="single" w:color="EEF2F7" w:sz="4"/>
              <w:left w:val="single" w:color="EEF2F7" w:sz="4"/>
              <w:bottom w:val="single" w:color="EEF2F7" w:sz="4"/>
              <w:right w:val="single" w:color="EEF2F7" w:sz="4"/>
            </w:tcBorders>
            <w:shd w:fill="FDF7EB"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7A3A07"/>
                <w:sz w:val="18"/>
                <w:szCs w:val="18"/>
              </w:rPr>
              <w:t xml:space="preserve">AMBER</w:t>
            </w:r>
          </w:p>
        </w:tc>
        <w:tc>
          <w:tcPr>
            <w:tcW w:type="dxa" w:w="2520"/>
            <w:tcBorders>
              <w:top w:val="single" w:color="EEF2F7" w:sz="4"/>
              <w:left w:val="single" w:color="EEF2F7" w:sz="4"/>
              <w:bottom w:val="single" w:color="EEF2F7" w:sz="4"/>
              <w:right w:val="single" w:color="EEF2F7" w:sz="4"/>
            </w:tcBorders>
            <w:shd w:fill="FDF7EB"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Up-to-date contact list</w:t>
            </w:r>
          </w:p>
        </w:tc>
        <w:tc>
          <w:tcPr>
            <w:tcW w:type="dxa" w:w="5400"/>
            <w:tcBorders>
              <w:top w:val="single" w:color="EEF2F7" w:sz="4"/>
              <w:left w:val="single" w:color="EEF2F7" w:sz="4"/>
              <w:bottom w:val="single" w:color="EEF2F7" w:sz="4"/>
              <w:right w:val="single" w:color="EEF2F7" w:sz="4"/>
            </w:tcBorders>
            <w:shd w:fill="FDF7EB"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Whether the school has named contacts for incident response, with multiple ways to reach each person if email is down.</w:t>
            </w:r>
          </w:p>
        </w:tc>
      </w:tr>
      <w:tr>
        <w:trPr>
          <w:cantSplit/>
        </w:trPr>
        <w:tc>
          <w:tcPr>
            <w:tcW w:type="dxa" w:w="1080"/>
            <w:tcBorders>
              <w:top w:val="single" w:color="EEF2F7" w:sz="4"/>
              <w:left w:val="single" w:color="EEF2F7" w:sz="4"/>
              <w:bottom w:val="single" w:color="EEF2F7" w:sz="4"/>
              <w:right w:val="single" w:color="EEF2F7" w:sz="4"/>
            </w:tcBorders>
            <w:shd w:fill="FDF7EB" w:color="auto" w:val="clear"/>
            <w:tcMar>
              <w:top w:type="dxa" w:w="100"/>
              <w:left w:type="dxa" w:w="140"/>
              <w:bottom w:type="dxa" w:w="100"/>
              <w:right w:type="dxa" w:w="140"/>
            </w:tcMar>
          </w:tcPr>
          <w:p>
            <w:pPr>
              <w:spacing w:after="0" w:before="0"/>
            </w:pPr>
            <w:r>
              <w:rPr>
                <w:rFonts w:ascii="IBM Plex Sans" w:cs="IBM Plex Sans" w:eastAsia="IBM Plex Sans" w:hAnsi="IBM Plex Sans"/>
                <w:b/>
                <w:bCs/>
                <w:color w:val="7A3A07"/>
                <w:sz w:val="18"/>
                <w:szCs w:val="18"/>
              </w:rPr>
              <w:t xml:space="preserve">AMBER</w:t>
            </w:r>
          </w:p>
        </w:tc>
        <w:tc>
          <w:tcPr>
            <w:tcW w:type="dxa" w:w="2520"/>
            <w:tcBorders>
              <w:top w:val="single" w:color="EEF2F7" w:sz="4"/>
              <w:left w:val="single" w:color="EEF2F7" w:sz="4"/>
              <w:bottom w:val="single" w:color="EEF2F7" w:sz="4"/>
              <w:right w:val="single" w:color="EEF2F7" w:sz="4"/>
            </w:tcBorders>
            <w:shd w:fill="FDF7EB"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Severity grading</w:t>
            </w:r>
          </w:p>
        </w:tc>
        <w:tc>
          <w:tcPr>
            <w:tcW w:type="dxa" w:w="5400"/>
            <w:tcBorders>
              <w:top w:val="single" w:color="EEF2F7" w:sz="4"/>
              <w:left w:val="single" w:color="EEF2F7" w:sz="4"/>
              <w:bottom w:val="single" w:color="EEF2F7" w:sz="4"/>
              <w:right w:val="single" w:color="EEF2F7" w:sz="4"/>
            </w:tcBorders>
            <w:shd w:fill="FDF7EB" w:color="auto" w:val="clear"/>
            <w:tcMar>
              <w:top w:type="dxa" w:w="100"/>
              <w:left w:type="dxa" w:w="140"/>
              <w:bottom w:type="dxa" w:w="100"/>
              <w:right w:type="dxa" w:w="140"/>
            </w:tcMar>
          </w:tcPr>
          <w:p>
            <w:pPr>
              <w:spacing w:after="0" w:before="0"/>
            </w:pPr>
            <w:r>
              <w:rPr>
                <w:rFonts w:ascii="IBM Plex Sans" w:cs="IBM Plex Sans" w:eastAsia="IBM Plex Sans" w:hAnsi="IBM Plex Sans"/>
                <w:b w:val="false"/>
                <w:bCs w:val="false"/>
                <w:color w:val="1F2937"/>
                <w:sz w:val="18"/>
                <w:szCs w:val="18"/>
              </w:rPr>
              <w:t xml:space="preserve">Whether the school has agreed in advance how it will judge how serious an incident is — so the right people get involved at the right time.</w:t>
            </w:r>
          </w:p>
        </w:tc>
      </w:tr>
    </w:tbl>
    <w:p>
      <w:pPr>
        <w:pStyle w:val="Heading2"/>
        <w:pBdr>
          <w:bottom w:val="single" w:color="0B2545" w:sz="12" w:space="6"/>
        </w:pBdr>
      </w:pPr>
      <w:r>
        <w:t xml:space="preserve">Questions for governors to ask</w:t>
      </w:r>
    </w:p>
    <w:p>
      <w:pPr>
        <w:spacing w:after="160" w:before="0"/>
      </w:pPr>
      <w:r>
        <w:rPr>
          <w:rFonts w:ascii="IBM Plex Sans" w:cs="IBM Plex Sans" w:eastAsia="IBM Plex Sans" w:hAnsi="IBM Plex Sans"/>
          <w:i/>
          <w:iCs/>
          <w:color w:val="5B6A82"/>
          <w:sz w:val="18"/>
          <w:szCs w:val="18"/>
        </w:rPr>
        <w:t xml:space="preserve">Use these at the next meeting to seek assurance from SLT against the red and amber items above.</w:t>
      </w:r>
    </w:p>
    <w:p>
      <w:pPr>
        <w:pStyle w:val="ListParagraph"/>
        <w:numPr>
          <w:ilvl w:val="0"/>
          <w:numId w:val="1"/>
        </w:numPr>
        <w:spacing w:after="40" w:before="40"/>
      </w:pPr>
      <w:r>
        <w:t xml:space="preserve">How do you assure yourselves that critical incident decisions — including taking systems offline, engaging external responders and ICO notification — have named decision-makers and named deputies?</w:t>
      </w:r>
    </w:p>
    <w:p>
      <w:pPr>
        <w:pStyle w:val="ListParagraph"/>
        <w:numPr>
          <w:ilvl w:val="0"/>
          <w:numId w:val="1"/>
        </w:numPr>
        <w:spacing w:after="40" w:before="40"/>
      </w:pPr>
      <w:r>
        <w:t xml:space="preserve">How do you assure yourselves that the school knows the four UK reporting routes, including the 72-hour ICO notification deadline for personal data breaches?</w:t>
      </w:r>
    </w:p>
    <w:p>
      <w:pPr>
        <w:pStyle w:val="ListParagraph"/>
        <w:numPr>
          <w:ilvl w:val="0"/>
          <w:numId w:val="1"/>
        </w:numPr>
        <w:spacing w:after="40" w:before="40"/>
      </w:pPr>
      <w:r>
        <w:t xml:space="preserve">How do you assure yourselves that when a new system or supplier is introduced, the Data Protection Impact Assessment and the security risk assessment are completed together and feed into the asset and risk registers?</w:t>
      </w:r>
    </w:p>
    <w:p>
      <w:pPr>
        <w:pStyle w:val="ListParagraph"/>
        <w:numPr>
          <w:ilvl w:val="0"/>
          <w:numId w:val="1"/>
        </w:numPr>
        <w:spacing w:after="40" w:before="40"/>
      </w:pPr>
      <w:r>
        <w:t xml:space="preserve">How do you assure yourselves that the incident contact list is current, with at least two contact methods per key role, and stored where it can be reached if the network is unavailable?</w:t>
      </w:r>
    </w:p>
    <w:p>
      <w:pPr>
        <w:pStyle w:val="ListParagraph"/>
        <w:numPr>
          <w:ilvl w:val="0"/>
          <w:numId w:val="1"/>
        </w:numPr>
        <w:spacing w:after="40" w:before="40"/>
      </w:pPr>
      <w:r>
        <w:t xml:space="preserve">How do you assure yourselves that there are clear criteria for grading the severity of a cyber incident, and that staff know how to apply them?</w:t>
      </w:r>
    </w:p>
    <w:p>
      <w:pPr>
        <w:pStyle w:val="ListParagraph"/>
        <w:numPr>
          <w:ilvl w:val="0"/>
          <w:numId w:val="1"/>
        </w:numPr>
        <w:spacing w:after="40" w:before="40"/>
      </w:pPr>
      <w:r>
        <w:t xml:space="preserve">How do you assure yourselves that the school has tested playbooks for at least the top three most likely incident types, including ransomware and personal data breach?</w:t>
      </w:r>
    </w:p>
    <w:p>
      <w:pPr>
        <w:pStyle w:val="ListParagraph"/>
        <w:numPr>
          <w:ilvl w:val="0"/>
          <w:numId w:val="1"/>
        </w:numPr>
        <w:spacing w:after="40" w:before="40"/>
      </w:pPr>
      <w:r>
        <w:t xml:space="preserve">How do you assure yourselves that pre-approved communication templates exist for parents, staff, the ICO and governors, and that they are reviewed at least annually?</w:t>
      </w:r>
    </w:p>
    <w:p>
      <w:pPr>
        <w:pStyle w:val="ListParagraph"/>
        <w:numPr>
          <w:ilvl w:val="0"/>
          <w:numId w:val="1"/>
        </w:numPr>
        <w:spacing w:after="40" w:before="40"/>
      </w:pPr>
      <w:r>
        <w:t xml:space="preserve">How do you assure yourselves that every incident — major or minor — triggers a documented review and that lessons learned are incorporated into the next version of the plan?</w:t>
      </w:r>
    </w:p>
    <w:p>
      <w:pPr>
        <w:pStyle w:val="ListParagraph"/>
        <w:numPr>
          <w:ilvl w:val="0"/>
          <w:numId w:val="1"/>
        </w:numPr>
        <w:spacing w:after="40" w:before="40"/>
      </w:pPr>
      <w:r>
        <w:t xml:space="preserve">How do you assure yourselves that the school's incident response procedures explicitly cover remote and home-working scenarios — device isolation, account suspension and access to cloud-hosted data?</w:t>
      </w:r>
    </w:p>
    <w:p>
      <w:pPr>
        <w:pStyle w:val="ListParagraph"/>
        <w:numPr>
          <w:ilvl w:val="0"/>
          <w:numId w:val="1"/>
        </w:numPr>
        <w:spacing w:after="40" w:before="40"/>
      </w:pPr>
      <w:r>
        <w:t xml:space="preserve">How do you assure yourselves that cyber risks are recorded on the school's risk register as discrete entries with owners, mitigations and review dates — not just as a single generic line?</w:t>
      </w:r>
    </w:p>
    <w:sectPr>
      <w:headerReference w:type="first" r:id="rId7"/>
      <w:footerReference w:type="default" r:id="rId8"/>
      <w:pgSz w:w="11906" w:h="16838" w:orient="portrait"/>
      <w:pgMar w:top="1008" w:right="863" w:bottom="1008" w:left="863"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E3E8EF" w:sz="4"/>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7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IBM Plex Sans" w:cs="IBM Plex Sans" w:eastAsia="IBM Plex Sans" w:hAnsi="IBM Plex Sans"/>
              <w:color w:val="5B6A82"/>
              <w:sz w:val="14"/>
              <w:szCs w:val="14"/>
            </w:rPr>
            <w:t xml:space="preserve">Anytown High &amp; Sixth Form</w:t>
          </w:r>
        </w:p>
      </w:tc>
      <w:tc>
        <w:tcPr>
          <w:tcW w:type="pct" w:w="3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IBM Plex Sans" w:cs="IBM Plex Sans" w:eastAsia="IBM Plex Sans" w:hAnsi="IBM Plex Sans"/>
              <w:color w:val="5B6A82"/>
              <w:sz w:val="14"/>
              <w:szCs w:val="14"/>
            </w:rPr>
            <w:t xml:space="preserve">Page </w:t>
          </w:r>
          <w:r>
            <w:rPr>
              <w:b/>
              <w:bCs/>
              <w:color w:val="13315C"/>
              <w:sz w:val="14"/>
              <w:szCs w:val="14"/>
            </w:rPr>
            <w:fldChar w:fldCharType="begin"/>
            <w:instrText xml:space="preserve">PAGE</w:instrText>
            <w:fldChar w:fldCharType="separate"/>
            <w:fldChar w:fldCharType="end"/>
          </w:r>
          <w:r>
            <w:rPr>
              <w:rFonts w:ascii="IBM Plex Sans" w:cs="IBM Plex Sans" w:eastAsia="IBM Plex Sans" w:hAnsi="IBM Plex Sans"/>
              <w:color w:val="5B6A82"/>
              <w:sz w:val="14"/>
              <w:szCs w:val="14"/>
            </w:rPr>
            <w:t xml:space="preserve"> of </w:t>
          </w:r>
          <w:r>
            <w:rPr>
              <w:b/>
              <w:bCs/>
              <w:color w:val="13315C"/>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drawing>
        <wp:inline distT="0" distB="0" distL="0" distR="0">
          <wp:extent cx="3048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4800" cy="304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F2937"/>
        <w:sz w:val="22"/>
        <w:szCs w:val="22"/>
      </w:rPr>
    </w:rPrDefault>
    <w:pPrDefault>
      <w:pPr>
        <w:spacing w:after="100" w:before="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20"/>
    </w:pPr>
    <w:rPr>
      <w:rFonts w:ascii="Fraunces" w:cs="Fraunces" w:eastAsia="Fraunces" w:hAnsi="Fraunces"/>
      <w:b/>
      <w:bCs/>
      <w:color w:val="0B2545"/>
      <w:sz w:val="36"/>
      <w:szCs w:val="36"/>
    </w:rPr>
  </w:style>
  <w:style w:type="paragraph" w:styleId="Heading2">
    <w:name w:val="Heading 2"/>
    <w:basedOn w:val="Normal"/>
    <w:next w:val="Normal"/>
    <w:qFormat/>
    <w:pPr>
      <w:spacing w:after="100" w:before="240"/>
    </w:pPr>
    <w:rPr>
      <w:rFonts w:ascii="Fraunces" w:cs="Fraunces" w:eastAsia="Fraunces" w:hAnsi="Fraunces"/>
      <w:b/>
      <w:bCs/>
      <w:color w:val="0B2545"/>
      <w:sz w:val="28"/>
      <w:szCs w:val="28"/>
    </w:rPr>
  </w:style>
  <w:style w:type="paragraph" w:styleId="Heading3">
    <w:name w:val="Heading 3"/>
    <w:basedOn w:val="Normal"/>
    <w:next w:val="Normal"/>
    <w:qFormat/>
    <w:pPr>
      <w:spacing w:after="60" w:before="180"/>
    </w:pPr>
    <w:rPr>
      <w:rFonts w:ascii="Fraunces" w:cs="Fraunces" w:eastAsia="Fraunces" w:hAnsi="Fraunces"/>
      <w:b/>
      <w:bCs/>
      <w:color w:val="13315C"/>
      <w:sz w:val="22"/>
      <w:szCs w:val="22"/>
    </w:rPr>
  </w:style>
  <w:style w:type="paragraph" w:styleId="Heading4">
    <w:name w:val="Heading 4"/>
    <w:basedOn w:val="Normal"/>
    <w:next w:val="Normal"/>
    <w:qFormat/>
    <w:pPr>
      <w:spacing w:after="40" w:before="140"/>
    </w:pPr>
    <w:rPr>
      <w:rFonts w:ascii="IBM Plex Sans" w:cs="IBM Plex Sans" w:eastAsia="IBM Plex Sans" w:hAnsi="IBM Plex Sans"/>
      <w:b/>
      <w:bCs/>
      <w:color w:val="13315C"/>
      <w:sz w:val="18"/>
      <w:szCs w:val="18"/>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c1986af3c26609b8b7d8933f99c51c1a89e9ea6b.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974062191af1c7aeae9cccd23516d8d751db275.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2C1726B93F374B817EB118274DC39A" ma:contentTypeVersion="13" ma:contentTypeDescription="Create a new document." ma:contentTypeScope="" ma:versionID="044dd26c0d5cec6e3107bc39d5591223">
  <xsd:schema xmlns:xsd="http://www.w3.org/2001/XMLSchema" xmlns:xs="http://www.w3.org/2001/XMLSchema" xmlns:p="http://schemas.microsoft.com/office/2006/metadata/properties" xmlns:ns2="8b0458ad-06ec-4155-b1cd-5bc84c165a82" xmlns:ns3="25146c01-61b3-4aba-8a67-df32bc159999" targetNamespace="http://schemas.microsoft.com/office/2006/metadata/properties" ma:root="true" ma:fieldsID="7e23947fcc5598d0b9e056e281726af5" ns2:_="" ns3:_="">
    <xsd:import namespace="8b0458ad-06ec-4155-b1cd-5bc84c165a82"/>
    <xsd:import namespace="25146c01-61b3-4aba-8a67-df32bc1599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58ad-06ec-4155-b1cd-5bc84c165a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ecf3ad8-d980-41c9-86cc-b5147b12fdc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146c01-61b3-4aba-8a67-df32bc15999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5f7e824-b74e-4985-9e9a-8647a8d800c3}" ma:internalName="TaxCatchAll" ma:showField="CatchAllData" ma:web="25146c01-61b3-4aba-8a67-df32bc1599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5146c01-61b3-4aba-8a67-df32bc159999" xsi:nil="true"/>
    <lcf76f155ced4ddcb4097134ff3c332f xmlns="8b0458ad-06ec-4155-b1cd-5bc84c165a8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57115EC-2772-4F7A-BE3E-1B255C22D727}"/>
</file>

<file path=customXml/itemProps2.xml><?xml version="1.0" encoding="utf-8"?>
<ds:datastoreItem xmlns:ds="http://schemas.openxmlformats.org/officeDocument/2006/customXml" ds:itemID="{326CE40A-803C-4666-A09C-81C7C640B3CB}"/>
</file>

<file path=customXml/itemProps3.xml><?xml version="1.0" encoding="utf-8"?>
<ds:datastoreItem xmlns:ds="http://schemas.openxmlformats.org/officeDocument/2006/customXml" ds:itemID="{888E05ED-C4AA-4555-8241-3D5DBD22B50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Governor Summary</dc:title>
  <dc:creator>Cyber Incident Response Planner</dc:creator>
  <dc:description>Governor Summary</dc:description>
  <cp:lastModifiedBy>Un-named</cp:lastModifiedBy>
  <cp:revision>1</cp:revision>
  <dcterms:created xsi:type="dcterms:W3CDTF">2026-05-19T07:55:15Z</dcterms:created>
  <dcterms:modified xsi:type="dcterms:W3CDTF">2026-05-19T07:55:15Z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0x010100C52C1726B93F374B817EB118274DC39A</vt:lpwstr>
  </property>
</Properties>
</file>