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20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 cy="9525"/>
                    </a:xfrm>
                    <a:prstGeom prst="rect">
                      <a:avLst/>
                    </a:prstGeom>
                  </pic:spPr>
                </pic:pic>
              </a:graphicData>
            </a:graphic>
          </wp:inline>
        </w:drawing>
      </w:r>
    </w:p>
    <w:p>
      <w:pPr>
        <w:spacing w:after="240" w:before="0"/>
        <w:jc w:val="center"/>
      </w:pPr>
      <w:r>
        <w:rPr>
          <w:rFonts w:ascii="Fraunces" w:cs="Fraunces" w:eastAsia="Fraunces" w:hAnsi="Fraunces"/>
          <w:b/>
          <w:bCs/>
          <w:color w:val="0B2545"/>
          <w:sz w:val="64"/>
          <w:szCs w:val="64"/>
        </w:rPr>
        <w:t xml:space="preserve">Example A: Trust-wide ransomware</w:t>
      </w:r>
    </w:p>
    <w:p>
      <w:pPr>
        <w:spacing w:after="200" w:before="0"/>
        <w:jc w:val="center"/>
      </w:pPr>
      <w:r>
        <w:rPr>
          <w:rFonts w:ascii="IBM Plex Sans" w:cs="IBM Plex Sans" w:eastAsia="IBM Plex Sans" w:hAnsi="IBM Plex Sans"/>
          <w:color w:val="13315C"/>
          <w:sz w:val="28"/>
          <w:szCs w:val="28"/>
        </w:rPr>
        <w:t xml:space="preserve">Anytown High &amp; Sixth Form · Anytown Multi-Academy Trust</w:t>
      </w:r>
    </w:p>
    <w:p>
      <w:pPr>
        <w:spacing w:after="720" w:before="0"/>
        <w:jc w:val="center"/>
      </w:pPr>
      <w:r>
        <w:rPr>
          <w:rFonts w:ascii="IBM Plex Sans" w:cs="IBM Plex Sans" w:eastAsia="IBM Plex Sans" w:hAnsi="IBM Plex Sans"/>
          <w:color w:val="5B6A82"/>
          <w:sz w:val="18"/>
          <w:szCs w:val="18"/>
        </w:rPr>
        <w:t xml:space="preserve">Prepared for Governors &amp; Senior Leadership</w:t>
      </w:r>
    </w:p>
    <w:p>
      <w:pPr>
        <w:spacing w:after="0" w:before="0"/>
        <w:jc w:val="center"/>
      </w:pPr>
      <w:r>
        <w:rPr>
          <w:rFonts w:ascii="IBM Plex Sans" w:cs="IBM Plex Sans" w:eastAsia="IBM Plex Sans" w:hAnsi="IBM Plex Sans"/>
          <w:color w:val="5B6A82"/>
          <w:spacing w:val="40"/>
          <w:sz w:val="18"/>
          <w:szCs w:val="18"/>
        </w:rPr>
        <w:t xml:space="preserve">Plan version 2.1   •   Conducted 20 April 2026   •   Sector context: anonymised UK school case studies</w:t>
      </w:r>
    </w:p>
    <w:p>
      <w:pPr>
        <w:pBdr>
          <w:bottom w:val="single" w:color="E3E8EF" w:sz="4" w:space="1"/>
        </w:pBdr>
        <w:spacing w:after="200" w:before="8400"/>
        <w:ind w:left="3600" w:right="3600"/>
        <w:jc w:val="center"/>
      </w:pPr>
    </w:p>
    <w:p>
      <w:pPr>
        <w:spacing w:after="0" w:before="0"/>
        <w:jc w:val="center"/>
      </w:pPr>
      <w:r>
        <w:rPr>
          <w:rFonts w:ascii="IBM Plex Sans" w:cs="IBM Plex Sans" w:eastAsia="IBM Plex Sans" w:hAnsi="IBM Plex Sans"/>
          <w:i/>
          <w:iCs/>
          <w:color w:val="5B6A82"/>
          <w:sz w:val="14"/>
          <w:szCs w:val="14"/>
        </w:rPr>
        <w:t xml:space="preserve">Prepared by Anytown High &amp; Sixth Form</w:t>
      </w:r>
    </w:p>
    <w:p>
      <w:pPr>
        <w:pageBreakBefore/>
      </w:pPr>
    </w:p>
    <w:p>
      <w:pPr>
        <w:pStyle w:val="Heading2"/>
        <w:pBdr>
          <w:bottom w:val="single" w:color="0B2545" w:sz="12" w:space="6"/>
        </w:pBdr>
      </w:pPr>
      <w:r>
        <w:t xml:space="preserve">Exercise outcome</w:t>
      </w:r>
    </w:p>
    <w:p>
      <w:pPr>
        <w:spacing w:after="160" w:before="0"/>
      </w:pPr>
      <w:r>
        <w:rPr>
          <w:rFonts w:ascii="IBM Plex Sans" w:cs="IBM Plex Sans" w:eastAsia="IBM Plex Sans" w:hAnsi="IBM Plex Sans"/>
          <w:i/>
          <w:iCs/>
          <w:color w:val="5B6A82"/>
          <w:sz w:val="18"/>
          <w:szCs w:val="18"/>
        </w:rPr>
        <w:t xml:space="preserve">A one-page snapshot of what the scenario tested and where the plan was silent.</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gridCol w:w="100"/>
      </w:tblGrid>
      <w:tr>
        <w:trPr>
          <w:cantSplit/>
        </w:trPr>
        <w:tc>
          <w:tcPr>
            <w:tcW w:type="pct" w:w="33%"/>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STEPS COMPLETED</w:t>
            </w:r>
          </w:p>
          <w:p>
            <w:pPr>
              <w:spacing w:after="40" w:before="0"/>
              <w:jc w:val="center"/>
            </w:pPr>
            <w:r>
              <w:rPr>
                <w:rFonts w:ascii="Fraunces" w:cs="Fraunces" w:eastAsia="Fraunces" w:hAnsi="Fraunces"/>
                <w:b/>
                <w:bCs/>
                <w:color w:val="8E1B12"/>
                <w:sz w:val="56"/>
                <w:szCs w:val="56"/>
              </w:rPr>
              <w:t xml:space="preserve">0 / 7</w:t>
            </w:r>
          </w:p>
        </w:tc>
        <w:tc>
          <w:tcPr>
            <w:tcW w:type="pct" w:w="33%"/>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PLAN GAPS SURFACED</w:t>
            </w:r>
          </w:p>
          <w:p>
            <w:pPr>
              <w:spacing w:after="40" w:before="0"/>
              <w:jc w:val="center"/>
            </w:pPr>
            <w:r>
              <w:rPr>
                <w:rFonts w:ascii="Fraunces" w:cs="Fraunces" w:eastAsia="Fraunces" w:hAnsi="Fraunces"/>
                <w:b/>
                <w:bCs/>
                <w:color w:val="7A3A07"/>
                <w:sz w:val="56"/>
                <w:szCs w:val="56"/>
              </w:rPr>
              <w:t xml:space="preserve">12</w:t>
            </w:r>
          </w:p>
        </w:tc>
        <w:tc>
          <w:tcPr>
            <w:tcW w:type="pct" w:w="33%"/>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SCENARIO</w:t>
            </w:r>
          </w:p>
          <w:p>
            <w:pPr>
              <w:spacing w:after="40" w:before="0"/>
              <w:jc w:val="center"/>
            </w:pPr>
            <w:r>
              <w:rPr>
                <w:rFonts w:ascii="Fraunces" w:cs="Fraunces" w:eastAsia="Fraunces" w:hAnsi="Fraunces"/>
                <w:b/>
                <w:bCs/>
                <w:color w:val="0B2545"/>
                <w:sz w:val="56"/>
                <w:szCs w:val="56"/>
              </w:rPr>
              <w:t xml:space="preserve">Sector context: anonymised UK school case studies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5%"/>
            <w:tcBorders>
              <w:top w:val="none" w:color="FFFFFF" w:sz="0"/>
              <w:left w:val="none" w:color="FFFFFF" w:sz="0"/>
              <w:bottom w:val="none" w:color="FFFFFF" w:sz="0"/>
              <w:right w:val="none" w:color="FFFFFF" w:sz="0"/>
            </w:tcBorders>
            <w:shd w:fill="7A3A07" w:color="auto" w:val="clear"/>
            <w:tcMar>
              <w:top w:type="dxa" w:w="0"/>
              <w:left w:type="dxa" w:w="0"/>
              <w:bottom w:type="dxa" w:w="0"/>
              <w:right w:type="dxa" w:w="0"/>
            </w:tcMar>
          </w:tcPr>
          <w:p>
            <w:pPr>
              <w:spacing w:after="0" w:before="0"/>
            </w:pPr>
          </w:p>
        </w:tc>
        <w:tc>
          <w:tcPr>
            <w:tcW w:type="pct" w:w="98.5%"/>
            <w:tcBorders>
              <w:top w:val="none" w:color="FFFFFF" w:sz="0"/>
              <w:left w:val="none" w:color="FFFFFF" w:sz="0"/>
              <w:bottom w:val="none" w:color="FFFFFF" w:sz="0"/>
              <w:right w:val="none" w:color="FFFFFF" w:sz="0"/>
            </w:tcBorders>
            <w:shd w:fill="FDF3E2" w:color="auto" w:val="clear"/>
            <w:tcMar>
              <w:top w:type="dxa" w:w="140"/>
              <w:left w:type="dxa" w:w="200"/>
              <w:bottom w:type="dxa" w:w="140"/>
              <w:right w:type="dxa" w:w="200"/>
            </w:tcMar>
          </w:tcPr>
          <w:p>
            <w:pPr>
              <w:spacing w:after="40" w:before="0"/>
            </w:pPr>
            <w:r>
              <w:rPr>
                <w:rFonts w:ascii="IBM Plex Sans" w:cs="IBM Plex Sans" w:eastAsia="IBM Plex Sans" w:hAnsi="IBM Plex Sans"/>
                <w:b/>
                <w:bCs/>
                <w:color w:val="7A3A07"/>
                <w:spacing w:val="40"/>
                <w:sz w:val="18"/>
                <w:szCs w:val="18"/>
              </w:rPr>
              <w:t xml:space="preserve">12 plan gaps surfaced</w:t>
            </w:r>
          </w:p>
          <w:p>
            <w:pPr>
              <w:spacing w:after="0" w:before="0"/>
            </w:pPr>
            <w:r>
              <w:rPr>
                <w:rFonts w:ascii="IBM Plex Sans" w:cs="IBM Plex Sans" w:eastAsia="IBM Plex Sans" w:hAnsi="IBM Plex Sans"/>
                <w:color w:val="7A3A07"/>
                <w:sz w:val="22"/>
                <w:szCs w:val="22"/>
              </w:rPr>
              <w:t xml:space="preserve">The scenario surfaced fields in your plan that are currently blank. These are gaps where, if this scenario happened to your school, your plan would be silent. Close them in the plan builder before the next test.</w:t>
            </w:r>
          </w:p>
        </w:tc>
      </w:tr>
    </w:tbl>
    <w:p>
      <w:pPr>
        <w:pStyle w:val="Heading2"/>
        <w:pBdr>
          <w:bottom w:val="single" w:color="0B2545" w:sz="12" w:space="6"/>
        </w:pBdr>
      </w:pPr>
      <w:r>
        <w:t xml:space="preserve">Step-by-step record</w:t>
      </w:r>
    </w:p>
    <w:p>
      <w:pPr>
        <w:spacing w:after="160" w:before="0"/>
      </w:pPr>
      <w:r>
        <w:rPr>
          <w:rFonts w:ascii="IBM Plex Sans" w:cs="IBM Plex Sans" w:eastAsia="IBM Plex Sans" w:hAnsi="IBM Plex Sans"/>
          <w:i/>
          <w:iCs/>
          <w:color w:val="5B6A82"/>
          <w:sz w:val="18"/>
          <w:szCs w:val="18"/>
        </w:rPr>
        <w:t xml:space="preserve">Each step the team worked through, with the question and the response captured at the time.</w:t>
      </w:r>
    </w:p>
    <w:tbl>
      <w:tblPr>
        <w:tblW w:type="pct" w:w="100%"/>
        <w:tblBorders>
          <w:top w:val="single" w:color="EEF2F7" w:sz="4"/>
          <w:left w:val="single" w:color="EEF2F7" w:sz="4"/>
          <w:bottom w:val="single" w:color="EEF2F7" w:sz="4"/>
          <w:right w:val="single" w:color="EEF2F7" w:sz="4"/>
          <w:insideH w:val="single" w:color="EEF2F7" w:sz="4"/>
          <w:insideV w:val="single" w:color="EEF2F7" w:sz="4"/>
        </w:tblBorders>
      </w:tblPr>
      <w:tblGrid>
        <w:gridCol w:w="100"/>
        <w:gridCol w:w="100"/>
      </w:tblGrid>
      <w:tr>
        <w:trPr>
          <w:cantSplit/>
        </w:trPr>
        <w:tc>
          <w:tcPr>
            <w:tcW w:type="pct" w:w="16%"/>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5B6A82"/>
                <w:spacing w:val="40"/>
                <w:sz w:val="18"/>
                <w:szCs w:val="18"/>
              </w:rPr>
              <w:t xml:space="preserve">Day 1, 06:30</w:t>
            </w:r>
          </w:p>
        </w:tc>
        <w:tc>
          <w:tcPr>
            <w:tcW w:type="pct" w:w="84%"/>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40" w:before="0"/>
            </w:pPr>
            <w:r>
              <w:rPr>
                <w:rFonts w:ascii="IBM Plex Sans" w:cs="IBM Plex Sans" w:eastAsia="IBM Plex Sans" w:hAnsi="IBM Plex Sans"/>
                <w:b/>
                <w:bCs/>
                <w:color w:val="5B6A82"/>
                <w:sz w:val="22"/>
                <w:szCs w:val="22"/>
              </w:rPr>
              <w:t xml:space="preserve">○  </w:t>
            </w:r>
            <w:r>
              <w:rPr>
                <w:rFonts w:ascii="IBM Plex Sans" w:cs="IBM Plex Sans" w:eastAsia="IBM Plex Sans" w:hAnsi="IBM Plex Sans"/>
                <w:b/>
                <w:bCs/>
                <w:color w:val="0B2545"/>
                <w:sz w:val="22"/>
                <w:szCs w:val="22"/>
              </w:rPr>
              <w:t xml:space="preserve">Step 1 · Detection</w:t>
            </w:r>
          </w:p>
          <w:p>
            <w:pPr>
              <w:spacing w:after="0" w:before="0"/>
            </w:pPr>
            <w:r>
              <w:rPr>
                <w:rFonts w:ascii="IBM Plex Sans" w:cs="IBM Plex Sans" w:eastAsia="IBM Plex Sans" w:hAnsi="IBM Plex Sans"/>
                <w:color w:val="374151"/>
                <w:sz w:val="18"/>
                <w:szCs w:val="18"/>
              </w:rPr>
              <w:t xml:space="preserve">Q: Per your plan, who is the first responder at this point? What do they do BEFORE calling SLT? Do they have multiple ways to contact your incident lead if email is down?
Response: (no response captured)</w:t>
            </w:r>
          </w:p>
        </w:tc>
      </w:tr>
      <w:tr>
        <w:trPr>
          <w:cantSplit/>
        </w:trPr>
        <w:tc>
          <w:tcPr>
            <w:tcW w:type="pct" w:w="16%"/>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5B6A82"/>
                <w:spacing w:val="40"/>
                <w:sz w:val="18"/>
                <w:szCs w:val="18"/>
              </w:rPr>
              <w:t xml:space="preserve">Day 1, 07:30</w:t>
            </w:r>
          </w:p>
        </w:tc>
        <w:tc>
          <w:tcPr>
            <w:tcW w:type="pct" w:w="84%"/>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40" w:before="0"/>
            </w:pPr>
            <w:r>
              <w:rPr>
                <w:rFonts w:ascii="IBM Plex Sans" w:cs="IBM Plex Sans" w:eastAsia="IBM Plex Sans" w:hAnsi="IBM Plex Sans"/>
                <w:b/>
                <w:bCs/>
                <w:color w:val="7A3A07"/>
                <w:sz w:val="22"/>
                <w:szCs w:val="22"/>
              </w:rPr>
              <w:t xml:space="preserve">●  </w:t>
            </w:r>
            <w:r>
              <w:rPr>
                <w:rFonts w:ascii="IBM Plex Sans" w:cs="IBM Plex Sans" w:eastAsia="IBM Plex Sans" w:hAnsi="IBM Plex Sans"/>
                <w:b/>
                <w:bCs/>
                <w:color w:val="0B2545"/>
                <w:sz w:val="22"/>
                <w:szCs w:val="22"/>
              </w:rPr>
              <w:t xml:space="preserve">Step 2 · Triage and severity</w:t>
            </w:r>
          </w:p>
          <w:p>
            <w:pPr>
              <w:spacing w:after="0" w:before="0"/>
            </w:pPr>
            <w:r>
              <w:rPr>
                <w:rFonts w:ascii="IBM Plex Sans" w:cs="IBM Plex Sans" w:eastAsia="IBM Plex Sans" w:hAnsi="IBM Plex Sans"/>
                <w:color w:val="374151"/>
                <w:sz w:val="18"/>
                <w:szCs w:val="18"/>
              </w:rPr>
              <w:t xml:space="preserve">Q: What severity does this match in your matrix? Who has the authority to take all 10 sites' systems offline? Who is their named deputy if they're unreachable?
Response: (no response captured)
Gaps: Authority to take systems offline · Authority to take systems offline (deputy)</w:t>
            </w:r>
          </w:p>
        </w:tc>
      </w:tr>
      <w:tr>
        <w:trPr>
          <w:cantSplit/>
        </w:trPr>
        <w:tc>
          <w:tcPr>
            <w:tcW w:type="pct" w:w="16%"/>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5B6A82"/>
                <w:spacing w:val="40"/>
                <w:sz w:val="18"/>
                <w:szCs w:val="18"/>
              </w:rPr>
              <w:t xml:space="preserve">Day 1, 09:00</w:t>
            </w:r>
          </w:p>
        </w:tc>
        <w:tc>
          <w:tcPr>
            <w:tcW w:type="pct" w:w="84%"/>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40" w:before="0"/>
            </w:pPr>
            <w:r>
              <w:rPr>
                <w:rFonts w:ascii="IBM Plex Sans" w:cs="IBM Plex Sans" w:eastAsia="IBM Plex Sans" w:hAnsi="IBM Plex Sans"/>
                <w:b/>
                <w:bCs/>
                <w:color w:val="7A3A07"/>
                <w:sz w:val="22"/>
                <w:szCs w:val="22"/>
              </w:rPr>
              <w:t xml:space="preserve">●  </w:t>
            </w:r>
            <w:r>
              <w:rPr>
                <w:rFonts w:ascii="IBM Plex Sans" w:cs="IBM Plex Sans" w:eastAsia="IBM Plex Sans" w:hAnsi="IBM Plex Sans"/>
                <w:b/>
                <w:bCs/>
                <w:color w:val="0B2545"/>
                <w:sz w:val="22"/>
                <w:szCs w:val="22"/>
              </w:rPr>
              <w:t xml:space="preserve">Step 3 · External notification</w:t>
            </w:r>
          </w:p>
          <w:p>
            <w:pPr>
              <w:spacing w:after="0" w:before="0"/>
            </w:pPr>
            <w:r>
              <w:rPr>
                <w:rFonts w:ascii="IBM Plex Sans" w:cs="IBM Plex Sans" w:eastAsia="IBM Plex Sans" w:hAnsi="IBM Plex Sans"/>
                <w:color w:val="374151"/>
                <w:sz w:val="18"/>
                <w:szCs w:val="18"/>
              </w:rPr>
              <w:t xml:space="preserve">Q: Who calls your local authority cyber lead / insurer? Who calls NCSC? Who has authority to notify the ICO?
Response: (no response captured)
Gaps: Authority to notify the ICO · Authority to notify the ICO (deputy)</w:t>
            </w:r>
          </w:p>
        </w:tc>
      </w:tr>
      <w:tr>
        <w:trPr>
          <w:cantSplit/>
        </w:trPr>
        <w:tc>
          <w:tcPr>
            <w:tcW w:type="pct" w:w="16%"/>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5B6A82"/>
                <w:spacing w:val="40"/>
                <w:sz w:val="18"/>
                <w:szCs w:val="18"/>
              </w:rPr>
              <w:t xml:space="preserve">Day 1, midday</w:t>
            </w:r>
          </w:p>
        </w:tc>
        <w:tc>
          <w:tcPr>
            <w:tcW w:type="pct" w:w="84%"/>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40" w:before="0"/>
            </w:pPr>
            <w:r>
              <w:rPr>
                <w:rFonts w:ascii="IBM Plex Sans" w:cs="IBM Plex Sans" w:eastAsia="IBM Plex Sans" w:hAnsi="IBM Plex Sans"/>
                <w:b/>
                <w:bCs/>
                <w:color w:val="7A3A07"/>
                <w:sz w:val="22"/>
                <w:szCs w:val="22"/>
              </w:rPr>
              <w:t xml:space="preserve">●  </w:t>
            </w:r>
            <w:r>
              <w:rPr>
                <w:rFonts w:ascii="IBM Plex Sans" w:cs="IBM Plex Sans" w:eastAsia="IBM Plex Sans" w:hAnsi="IBM Plex Sans"/>
                <w:b/>
                <w:bCs/>
                <w:color w:val="0B2545"/>
                <w:sz w:val="22"/>
                <w:szCs w:val="22"/>
              </w:rPr>
              <w:t xml:space="preserve">Step 4 · Communications</w:t>
            </w:r>
          </w:p>
          <w:p>
            <w:pPr>
              <w:spacing w:after="0" w:before="0"/>
            </w:pPr>
            <w:r>
              <w:rPr>
                <w:rFonts w:ascii="IBM Plex Sans" w:cs="IBM Plex Sans" w:eastAsia="IBM Plex Sans" w:hAnsi="IBM Plex Sans"/>
                <w:color w:val="374151"/>
                <w:sz w:val="18"/>
                <w:szCs w:val="18"/>
              </w:rPr>
              <w:t xml:space="preserve">Q: Who drafts the parent letter? Is the template pre-approved by SLT and DPO? Who handles press enquiries?
Response: (no response captured)
Gaps: Parent / carer letter template · Authority to communicate with press</w:t>
            </w:r>
          </w:p>
        </w:tc>
      </w:tr>
      <w:tr>
        <w:trPr>
          <w:cantSplit/>
        </w:trPr>
        <w:tc>
          <w:tcPr>
            <w:tcW w:type="pct" w:w="16%"/>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5B6A82"/>
                <w:spacing w:val="40"/>
                <w:sz w:val="18"/>
                <w:szCs w:val="18"/>
              </w:rPr>
              <w:t xml:space="preserve">Day 2-3</w:t>
            </w:r>
          </w:p>
        </w:tc>
        <w:tc>
          <w:tcPr>
            <w:tcW w:type="pct" w:w="84%"/>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40" w:before="0"/>
            </w:pPr>
            <w:r>
              <w:rPr>
                <w:rFonts w:ascii="IBM Plex Sans" w:cs="IBM Plex Sans" w:eastAsia="IBM Plex Sans" w:hAnsi="IBM Plex Sans"/>
                <w:b/>
                <w:bCs/>
                <w:color w:val="7A3A07"/>
                <w:sz w:val="22"/>
                <w:szCs w:val="22"/>
              </w:rPr>
              <w:t xml:space="preserve">●  </w:t>
            </w:r>
            <w:r>
              <w:rPr>
                <w:rFonts w:ascii="IBM Plex Sans" w:cs="IBM Plex Sans" w:eastAsia="IBM Plex Sans" w:hAnsi="IBM Plex Sans"/>
                <w:b/>
                <w:bCs/>
                <w:color w:val="0B2545"/>
                <w:sz w:val="22"/>
                <w:szCs w:val="22"/>
              </w:rPr>
              <w:t xml:space="preserve">Step 5 · Containment and backups</w:t>
            </w:r>
          </w:p>
          <w:p>
            <w:pPr>
              <w:spacing w:after="0" w:before="0"/>
            </w:pPr>
            <w:r>
              <w:rPr>
                <w:rFonts w:ascii="IBM Plex Sans" w:cs="IBM Plex Sans" w:eastAsia="IBM Plex Sans" w:hAnsi="IBM Plex Sans"/>
                <w:color w:val="374151"/>
                <w:sz w:val="18"/>
                <w:szCs w:val="18"/>
              </w:rPr>
              <w:t xml:space="preserve">Q: Where are your immutable / off-site backups? Who confirms they're unaffected? When were they last tested?
Response: (no response captured)
Gaps: Backup locations and types · Backup owner</w:t>
            </w:r>
          </w:p>
        </w:tc>
      </w:tr>
      <w:tr>
        <w:trPr>
          <w:cantSplit/>
        </w:trPr>
        <w:tc>
          <w:tcPr>
            <w:tcW w:type="pct" w:w="16%"/>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5B6A82"/>
                <w:spacing w:val="40"/>
                <w:sz w:val="18"/>
                <w:szCs w:val="18"/>
              </w:rPr>
              <w:t xml:space="preserve">Day 4-7</w:t>
            </w:r>
          </w:p>
        </w:tc>
        <w:tc>
          <w:tcPr>
            <w:tcW w:type="pct" w:w="84%"/>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40" w:before="0"/>
            </w:pPr>
            <w:r>
              <w:rPr>
                <w:rFonts w:ascii="IBM Plex Sans" w:cs="IBM Plex Sans" w:eastAsia="IBM Plex Sans" w:hAnsi="IBM Plex Sans"/>
                <w:b/>
                <w:bCs/>
                <w:color w:val="7A3A07"/>
                <w:sz w:val="22"/>
                <w:szCs w:val="22"/>
              </w:rPr>
              <w:t xml:space="preserve">●  </w:t>
            </w:r>
            <w:r>
              <w:rPr>
                <w:rFonts w:ascii="IBM Plex Sans" w:cs="IBM Plex Sans" w:eastAsia="IBM Plex Sans" w:hAnsi="IBM Plex Sans"/>
                <w:b/>
                <w:bCs/>
                <w:color w:val="0B2545"/>
                <w:sz w:val="22"/>
                <w:szCs w:val="22"/>
              </w:rPr>
              <w:t xml:space="preserve">Step 6 · Recovery</w:t>
            </w:r>
          </w:p>
          <w:p>
            <w:pPr>
              <w:spacing w:after="0" w:before="0"/>
            </w:pPr>
            <w:r>
              <w:rPr>
                <w:rFonts w:ascii="IBM Plex Sans" w:cs="IBM Plex Sans" w:eastAsia="IBM Plex Sans" w:hAnsi="IBM Plex Sans"/>
                <w:color w:val="374151"/>
                <w:sz w:val="18"/>
                <w:szCs w:val="18"/>
              </w:rPr>
              <w:t xml:space="preserve">Q: What's your priority order for restoration? Are your RTO/RPO targets realistic for an estate this size?
Response: (no response captured)
Gaps: Recovery Time Objective (RTO) · Recovery Point Objective (RPO)</w:t>
            </w:r>
          </w:p>
        </w:tc>
      </w:tr>
      <w:tr>
        <w:trPr>
          <w:cantSplit/>
        </w:trPr>
        <w:tc>
          <w:tcPr>
            <w:tcW w:type="pct" w:w="16%"/>
            <w:tcBorders>
              <w:top w:val="single" w:color="EEF2F7" w:sz="4"/>
              <w:left w:val="single" w:color="EEF2F7" w:sz="4"/>
              <w:bottom w:val="single" w:color="EEF2F7" w:sz="4"/>
              <w:right w:val="single" w:color="EEF2F7" w:sz="4"/>
            </w:tcBorders>
            <w:shd w:fill="F7F9FC"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5B6A82"/>
                <w:spacing w:val="40"/>
                <w:sz w:val="18"/>
                <w:szCs w:val="18"/>
              </w:rPr>
              <w:t xml:space="preserve">Day 8-9</w:t>
            </w:r>
          </w:p>
        </w:tc>
        <w:tc>
          <w:tcPr>
            <w:tcW w:type="pct" w:w="84%"/>
            <w:tcBorders>
              <w:top w:val="single" w:color="EEF2F7" w:sz="4"/>
              <w:left w:val="single" w:color="EEF2F7" w:sz="4"/>
              <w:bottom w:val="single" w:color="EEF2F7" w:sz="4"/>
              <w:right w:val="single" w:color="EEF2F7" w:sz="4"/>
            </w:tcBorders>
            <w:tcMar>
              <w:top w:type="dxa" w:w="100"/>
              <w:left w:type="dxa" w:w="140"/>
              <w:bottom w:type="dxa" w:w="100"/>
              <w:right w:type="dxa" w:w="140"/>
            </w:tcMar>
          </w:tcPr>
          <w:p>
            <w:pPr>
              <w:spacing w:after="40" w:before="0"/>
            </w:pPr>
            <w:r>
              <w:rPr>
                <w:rFonts w:ascii="IBM Plex Sans" w:cs="IBM Plex Sans" w:eastAsia="IBM Plex Sans" w:hAnsi="IBM Plex Sans"/>
                <w:b/>
                <w:bCs/>
                <w:color w:val="7A3A07"/>
                <w:sz w:val="22"/>
                <w:szCs w:val="22"/>
              </w:rPr>
              <w:t xml:space="preserve">●  </w:t>
            </w:r>
            <w:r>
              <w:rPr>
                <w:rFonts w:ascii="IBM Plex Sans" w:cs="IBM Plex Sans" w:eastAsia="IBM Plex Sans" w:hAnsi="IBM Plex Sans"/>
                <w:b/>
                <w:bCs/>
                <w:color w:val="0B2545"/>
                <w:sz w:val="22"/>
                <w:szCs w:val="22"/>
              </w:rPr>
              <w:t xml:space="preserve">Step 7 · Closure and lessons</w:t>
            </w:r>
          </w:p>
          <w:p>
            <w:pPr>
              <w:spacing w:after="0" w:before="0"/>
            </w:pPr>
            <w:r>
              <w:rPr>
                <w:rFonts w:ascii="IBM Plex Sans" w:cs="IBM Plex Sans" w:eastAsia="IBM Plex Sans" w:hAnsi="IBM Plex Sans"/>
                <w:color w:val="374151"/>
                <w:sz w:val="18"/>
                <w:szCs w:val="18"/>
              </w:rPr>
              <w:t xml:space="preserve">Q: Who runs the post-incident review? When and how do lessons feed back into the plan?
Response: (no response captured)
Gaps: Post-incident review lead · Lessons-learned feedback process</w:t>
            </w:r>
          </w:p>
        </w:tc>
      </w:tr>
    </w:tbl>
    <w:p>
      <w:pPr>
        <w:pStyle w:val="Heading2"/>
        <w:pBdr>
          <w:bottom w:val="single" w:color="0B2545" w:sz="12" w:space="6"/>
        </w:pBdr>
      </w:pPr>
      <w:r>
        <w:t xml:space="preserve">All plan gaps identified</w:t>
      </w:r>
    </w:p>
    <w:p>
      <w:pPr>
        <w:spacing w:after="160" w:before="0"/>
      </w:pPr>
      <w:r>
        <w:rPr>
          <w:rFonts w:ascii="IBM Plex Sans" w:cs="IBM Plex Sans" w:eastAsia="IBM Plex Sans" w:hAnsi="IBM Plex Sans"/>
          <w:i/>
          <w:iCs/>
          <w:color w:val="5B6A82"/>
          <w:sz w:val="18"/>
          <w:szCs w:val="18"/>
        </w:rPr>
        <w:t xml:space="preserve">Every blank field this scenario referenced, de-duplicated across steps.</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tblGrid>
      <w:tr>
        <w:trPr>
          <w:cantSplit/>
          <w:tblHeader/>
        </w:trPr>
        <w:tc>
          <w:tcPr>
            <w:tcW w:type="dxa" w:w="72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w:t>
            </w:r>
          </w:p>
        </w:tc>
        <w:tc>
          <w:tcPr>
            <w:tcW w:type="dxa" w:w="828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PLAN FIELD</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1</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Authority to take systems offline</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2</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Authority to take systems offline (deputy)</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3</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Authority to notify the ICO</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4</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Authority to notify the ICO (deputy)</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5</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Parent / carer letter template</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6</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Authority to communicate with press</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7</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Backup locations and types</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8</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Backup owner</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9</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Recovery Time Objective (RTO)</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10</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Recovery Point Objective (RPO)</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11</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Post-incident review lead</w:t>
            </w:r>
          </w:p>
        </w:tc>
      </w:tr>
      <w:tr>
        <w:trPr>
          <w:cantSplit/>
        </w:trPr>
        <w:tc>
          <w:tcPr>
            <w:tcW w:type="dxa" w:w="7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12</w:t>
            </w:r>
          </w:p>
        </w:tc>
        <w:tc>
          <w:tcPr>
            <w:tcW w:type="dxa" w:w="82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Lessons-learned feedback process</w:t>
            </w:r>
          </w:p>
        </w:tc>
      </w:tr>
    </w:tbl>
    <w:sectPr>
      <w:headerReference w:type="first" r:id="rId7"/>
      <w:footerReference w:type="default" r:id="rId8"/>
      <w:pgSz w:w="11906" w:h="16838" w:orient="portrait"/>
      <w:pgMar w:top="1008" w:right="863" w:bottom="1008" w:left="86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E3E8EF" w:sz="4"/>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7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IBM Plex Sans" w:cs="IBM Plex Sans" w:eastAsia="IBM Plex Sans" w:hAnsi="IBM Plex Sans"/>
              <w:color w:val="5B6A82"/>
              <w:sz w:val="14"/>
              <w:szCs w:val="14"/>
            </w:rPr>
            <w:t xml:space="preserve">Anytown High &amp; Sixth Form · Evidence of cyber plan testing for local authority cyber cover.</w:t>
          </w:r>
        </w:p>
      </w:tc>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IBM Plex Sans" w:cs="IBM Plex Sans" w:eastAsia="IBM Plex Sans" w:hAnsi="IBM Plex Sans"/>
              <w:color w:val="5B6A82"/>
              <w:sz w:val="14"/>
              <w:szCs w:val="14"/>
            </w:rPr>
            <w:t xml:space="preserve">Page </w:t>
          </w:r>
          <w:r>
            <w:rPr>
              <w:b/>
              <w:bCs/>
              <w:color w:val="13315C"/>
              <w:sz w:val="14"/>
              <w:szCs w:val="14"/>
            </w:rPr>
            <w:fldChar w:fldCharType="begin"/>
            <w:instrText xml:space="preserve">PAGE</w:instrText>
            <w:fldChar w:fldCharType="separate"/>
            <w:fldChar w:fldCharType="end"/>
          </w:r>
          <w:r>
            <w:rPr>
              <w:rFonts w:ascii="IBM Plex Sans" w:cs="IBM Plex Sans" w:eastAsia="IBM Plex Sans" w:hAnsi="IBM Plex Sans"/>
              <w:color w:val="5B6A82"/>
              <w:sz w:val="14"/>
              <w:szCs w:val="14"/>
            </w:rPr>
            <w:t xml:space="preserve"> of </w:t>
          </w:r>
          <w:r>
            <w:rPr>
              <w:b/>
              <w:bCs/>
              <w:color w:val="13315C"/>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F2937"/>
        <w:sz w:val="22"/>
        <w:szCs w:val="22"/>
      </w:rPr>
    </w:rPrDefault>
    <w:pPrDefault>
      <w:pPr>
        <w:spacing w:after="100" w:before="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20"/>
    </w:pPr>
    <w:rPr>
      <w:rFonts w:ascii="Fraunces" w:cs="Fraunces" w:eastAsia="Fraunces" w:hAnsi="Fraunces"/>
      <w:b/>
      <w:bCs/>
      <w:color w:val="0B2545"/>
      <w:sz w:val="36"/>
      <w:szCs w:val="36"/>
    </w:rPr>
  </w:style>
  <w:style w:type="paragraph" w:styleId="Heading2">
    <w:name w:val="Heading 2"/>
    <w:basedOn w:val="Normal"/>
    <w:next w:val="Normal"/>
    <w:qFormat/>
    <w:pPr>
      <w:spacing w:after="100" w:before="240"/>
    </w:pPr>
    <w:rPr>
      <w:rFonts w:ascii="Fraunces" w:cs="Fraunces" w:eastAsia="Fraunces" w:hAnsi="Fraunces"/>
      <w:b/>
      <w:bCs/>
      <w:color w:val="0B2545"/>
      <w:sz w:val="28"/>
      <w:szCs w:val="28"/>
    </w:rPr>
  </w:style>
  <w:style w:type="paragraph" w:styleId="Heading3">
    <w:name w:val="Heading 3"/>
    <w:basedOn w:val="Normal"/>
    <w:next w:val="Normal"/>
    <w:qFormat/>
    <w:pPr>
      <w:spacing w:after="60" w:before="180"/>
    </w:pPr>
    <w:rPr>
      <w:rFonts w:ascii="Fraunces" w:cs="Fraunces" w:eastAsia="Fraunces" w:hAnsi="Fraunces"/>
      <w:b/>
      <w:bCs/>
      <w:color w:val="13315C"/>
      <w:sz w:val="22"/>
      <w:szCs w:val="22"/>
    </w:rPr>
  </w:style>
  <w:style w:type="paragraph" w:styleId="Heading4">
    <w:name w:val="Heading 4"/>
    <w:basedOn w:val="Normal"/>
    <w:next w:val="Normal"/>
    <w:qFormat/>
    <w:pPr>
      <w:spacing w:after="40" w:before="140"/>
    </w:pPr>
    <w:rPr>
      <w:rFonts w:ascii="IBM Plex Sans" w:cs="IBM Plex Sans" w:eastAsia="IBM Plex Sans" w:hAnsi="IBM Plex Sans"/>
      <w:b/>
      <w:bCs/>
      <w:color w:val="13315C"/>
      <w:sz w:val="18"/>
      <w:szCs w:val="1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c1986af3c26609b8b7d8933f99c51c1a89e9ea6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974062191af1c7aeae9cccd23516d8d751db275.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2C1726B93F374B817EB118274DC39A" ma:contentTypeVersion="13" ma:contentTypeDescription="Create a new document." ma:contentTypeScope="" ma:versionID="044dd26c0d5cec6e3107bc39d5591223">
  <xsd:schema xmlns:xsd="http://www.w3.org/2001/XMLSchema" xmlns:xs="http://www.w3.org/2001/XMLSchema" xmlns:p="http://schemas.microsoft.com/office/2006/metadata/properties" xmlns:ns2="8b0458ad-06ec-4155-b1cd-5bc84c165a82" xmlns:ns3="25146c01-61b3-4aba-8a67-df32bc159999" targetNamespace="http://schemas.microsoft.com/office/2006/metadata/properties" ma:root="true" ma:fieldsID="7e23947fcc5598d0b9e056e281726af5" ns2:_="" ns3:_="">
    <xsd:import namespace="8b0458ad-06ec-4155-b1cd-5bc84c165a82"/>
    <xsd:import namespace="25146c01-61b3-4aba-8a67-df32bc1599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58ad-06ec-4155-b1cd-5bc84c165a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cf3ad8-d980-41c9-86cc-b5147b12fdc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146c01-61b3-4aba-8a67-df32bc15999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5f7e824-b74e-4985-9e9a-8647a8d800c3}" ma:internalName="TaxCatchAll" ma:showField="CatchAllData" ma:web="25146c01-61b3-4aba-8a67-df32bc1599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5146c01-61b3-4aba-8a67-df32bc159999" xsi:nil="true"/>
    <lcf76f155ced4ddcb4097134ff3c332f xmlns="8b0458ad-06ec-4155-b1cd-5bc84c165a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37C4F7-2D36-4482-BD17-EABD53CBE4CF}"/>
</file>

<file path=customXml/itemProps2.xml><?xml version="1.0" encoding="utf-8"?>
<ds:datastoreItem xmlns:ds="http://schemas.openxmlformats.org/officeDocument/2006/customXml" ds:itemID="{8A0DB493-D88C-4E92-AD8E-6309E33A8A40}"/>
</file>

<file path=customXml/itemProps3.xml><?xml version="1.0" encoding="utf-8"?>
<ds:datastoreItem xmlns:ds="http://schemas.openxmlformats.org/officeDocument/2006/customXml" ds:itemID="{BEAC65C3-1D63-480E-B553-27A0E42B26F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Tabletop Exercise Summary</dc:title>
  <dc:creator>Cyber Incident Response Planner</dc:creator>
  <dc:description>Tabletop Exercise Summary</dc:description>
  <cp:lastModifiedBy>Un-named</cp:lastModifiedBy>
  <cp:revision>1</cp:revision>
  <dcterms:created xsi:type="dcterms:W3CDTF">2026-05-19T07:55:15Z</dcterms:created>
  <dcterms:modified xsi:type="dcterms:W3CDTF">2026-05-19T07:55:15Z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0x010100C52C1726B93F374B817EB118274DC39A</vt:lpwstr>
  </property>
</Properties>
</file>