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2022-03-26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Assessing learning is both a critical component of the work of teaching in higher education and also a major factor in learners’ experiences of higher education</w:t>
      </w:r>
      <w:r>
        <w:t xml:space="preserve"> </w:t>
      </w:r>
      <w:r>
        <w:t xml:space="preserve">(</w:t>
      </w:r>
      <w:hyperlink w:anchor="ref-biggsWhatStudentDoes1999">
        <w:r>
          <w:rPr>
            <w:rStyle w:val="Hyperlink"/>
          </w:rPr>
          <w:t xml:space="preserve">Biggs, 1999</w:t>
        </w:r>
      </w:hyperlink>
      <w:r>
        <w:t xml:space="preserve">;</w:t>
      </w:r>
      <w:r>
        <w:t xml:space="preserve"> </w:t>
      </w:r>
      <w:hyperlink w:anchor="ref-woldeab21stCenturyAssessment2019">
        <w:r>
          <w:rPr>
            <w:rStyle w:val="Hyperlink"/>
          </w:rPr>
          <w:t xml:space="preserve">Woldeab &amp; Brothen, 2019</w:t>
        </w:r>
      </w:hyperlink>
      <w:r>
        <w:t xml:space="preserve">)</w:t>
      </w:r>
      <w:r>
        <w:t xml:space="preserve">. Faculty and instructors’ approaches to assessment in higher education are shaped by a variety of factors, including the approaches to assessment that they experienced as learners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 pressure from our increasingly technological society to integrate digital tools into the teaching and learning process</w:t>
      </w:r>
      <w:r>
        <w:t xml:space="preserve"> </w:t>
      </w:r>
      <w:r>
        <w:t xml:space="preserve">(</w:t>
      </w:r>
      <w:hyperlink w:anchor="Xd3220b3c4c74762840488f1ab7714e7e895bc2e">
        <w:r>
          <w:rPr>
            <w:rStyle w:val="Hyperlink"/>
          </w:rPr>
          <w:t xml:space="preserve">Pellegrino &amp; Quellmalz, 2010</w:t>
        </w:r>
      </w:hyperlink>
      <w:r>
        <w:t xml:space="preserve">)</w:t>
      </w:r>
      <w:r>
        <w:t xml:space="preserve">, and the changing needs of 21st-century employers and objectives of higher education institutions, who seek employees and graduates with demonstrated ability in collaboration, creative problem-solving, analytical thinking, and the ability to learn</w:t>
      </w:r>
      <w:r>
        <w:t xml:space="preserve"> </w:t>
      </w:r>
      <w:r>
        <w:t xml:space="preserve">(</w:t>
      </w:r>
      <w:hyperlink w:anchor="Xaf0f34faf6db1662e8da0b9850d3b9cfe5dbeed">
        <w:r>
          <w:rPr>
            <w:rStyle w:val="Hyperlink"/>
          </w:rPr>
          <w:t xml:space="preserve">Forum, 2020</w:t>
        </w:r>
      </w:hyperlink>
      <w:r>
        <w:t xml:space="preserve">;</w:t>
      </w:r>
      <w:r>
        <w:t xml:space="preserve"> </w:t>
      </w:r>
      <w:hyperlink w:anchor="ref-shute21stCenturyAssessment2010">
        <w:r>
          <w:rPr>
            <w:rStyle w:val="Hyperlink"/>
          </w:rPr>
          <w:t xml:space="preserve">Shute et al., 2010</w:t>
        </w:r>
      </w:hyperlink>
      <w:r>
        <w:t xml:space="preserve">)</w:t>
      </w:r>
      <w:r>
        <w:t xml:space="preserve">, competencies not easily measured in traditional testing formats.</w:t>
      </w:r>
    </w:p>
    <w:p>
      <w:pPr>
        <w:pStyle w:val="BodyText"/>
      </w:pPr>
      <w:r>
        <w:t xml:space="preserve">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contend that instructors in higher education typically have few opportunities to engage in formal preparation for the task of assessing learning, and consequently there is high variability in how instructors assess learning in their courses. This is congruent with Coombs et al.’s</w:t>
      </w:r>
      <w:r>
        <w:t xml:space="preserve"> </w:t>
      </w:r>
      <w:r>
        <w:t xml:space="preserve">(</w:t>
      </w:r>
      <w:hyperlink w:anchor="ref-coombsSeaSeaCanadian2020">
        <w:r>
          <w:rPr>
            <w:rStyle w:val="Hyperlink"/>
          </w:rPr>
          <w:t xml:space="preserve">2020</w:t>
        </w:r>
      </w:hyperlink>
      <w:r>
        <w:t xml:space="preserve">)</w:t>
      </w:r>
      <w:r>
        <w:t xml:space="preserve"> </w:t>
      </w:r>
      <w:r>
        <w:t xml:space="preserve">findings that even preservice teachers in teacher preparation programs are often unprepared for the challenge of assessing learning. If pre-service teachers, who complete a program of formal academic preparation for teaching, are under-prepared, it follows that those who exit doctoral programs with no formal preparation for teaching or assessment</w:t>
      </w:r>
      <w:r>
        <w:t xml:space="preserve"> </w:t>
      </w:r>
      <w:r>
        <w:t xml:space="preserve">(</w:t>
      </w:r>
      <w:hyperlink w:anchor="ref-lipnevichWhatGradesMean2020">
        <w:r>
          <w:rPr>
            <w:rStyle w:val="Hyperlink"/>
          </w:rPr>
          <w:t xml:space="preserve">Lipnevich et al., 2020</w:t>
        </w:r>
      </w:hyperlink>
      <w:r>
        <w:t xml:space="preserve">)</w:t>
      </w:r>
      <w:r>
        <w:t xml:space="preserve"> </w:t>
      </w:r>
      <w:r>
        <w:t xml:space="preserve">will be even less adequately prepared. This lack of formal preparation generally means that higher education instructors assess learning in the only way they know how, which is to follow the example of their supervisors and professors from graduate school.</w:t>
      </w:r>
    </w:p>
    <w:p>
      <w:pPr>
        <w:pStyle w:val="BodyText"/>
      </w:pPr>
      <w:r>
        <w:t xml:space="preserve">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argues that traditional assessment structures originated in past models of curriculum and instruction which were popular in the early 1900s. These curricular models emphasized the work of psychologists like Thorndike</w:t>
      </w:r>
      <w:r>
        <w:t xml:space="preserve"> </w:t>
      </w:r>
      <w:r>
        <w:t xml:space="preserve">(</w:t>
      </w:r>
      <w:hyperlink w:anchor="ref-thorndikeElementsPsychology1905">
        <w:r>
          <w:rPr>
            <w:rStyle w:val="Hyperlink"/>
          </w:rPr>
          <w:t xml:space="preserve">Thorndike, 1905</w:t>
        </w:r>
      </w:hyperlink>
      <w:r>
        <w:t xml:space="preserve">)</w:t>
      </w:r>
      <w:r>
        <w:t xml:space="preserve"> </w:t>
      </w:r>
      <w:r>
        <w:t xml:space="preserve">and Skinner</w:t>
      </w:r>
      <w:r>
        <w:t xml:space="preserve"> </w:t>
      </w:r>
      <w:r>
        <w:t xml:space="preserve">(</w:t>
      </w:r>
      <w:hyperlink w:anchor="ref-skinnerBehaviourOrganisms1938">
        <w:r>
          <w:rPr>
            <w:rStyle w:val="Hyperlink"/>
          </w:rPr>
          <w:t xml:space="preserve">Skinner, 1938</w:t>
        </w:r>
      </w:hyperlink>
      <w:r>
        <w:t xml:space="preserve">)</w:t>
      </w:r>
      <w:r>
        <w:t xml:space="preserve"> </w:t>
      </w:r>
      <w:r>
        <w:t xml:space="preserve">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w:t>
      </w:r>
      <w:r>
        <w:t xml:space="preserve"> </w:t>
      </w:r>
      <w:r>
        <w:t xml:space="preserve">(</w:t>
      </w:r>
      <w:hyperlink w:anchor="ref-vygotskyMindSociety1978">
        <w:r>
          <w:rPr>
            <w:rStyle w:val="Hyperlink"/>
          </w:rPr>
          <w:t xml:space="preserve">Vygotsky, 1978</w:t>
        </w:r>
      </w:hyperlink>
      <w:r>
        <w:t xml:space="preserve">)</w:t>
      </w:r>
      <w:r>
        <w:t xml:space="preserve">, curricula began to take a more social-constructivist approach that emphasized higher-order thinking, problem-solving in social contexts, and metacognitive skills over rote memorization.</w:t>
      </w:r>
    </w:p>
    <w:p>
      <w:pPr>
        <w:pStyle w:val="BodyText"/>
      </w:pPr>
      <w:r>
        <w:t xml:space="preserve">Unfortunately, it seemed that the efficiencies of testing memory, recognition, and recall through selected-response tests were too deeply embedded in the practices of higher education instructors who resisted changing their assessments to match the new curricular goals</w:t>
      </w:r>
      <w:r>
        <w:t xml:space="preserve"> </w:t>
      </w:r>
      <w:r>
        <w:t xml:space="preserve">(</w:t>
      </w:r>
      <w:hyperlink w:anchor="ref-shepardRoleAssessmentLearning2000">
        <w:r>
          <w:rPr>
            <w:rStyle w:val="Hyperlink"/>
          </w:rPr>
          <w:t xml:space="preserve">Shepard, 2000</w:t>
        </w:r>
      </w:hyperlink>
      <w:r>
        <w:t xml:space="preserve">)</w:t>
      </w:r>
      <w:r>
        <w:t xml:space="preserve">. Shepard argues for the need to integrate assessment and instruction in such a way as to engage learners in authentic performance tasks more suited to modern understandings of cognition. It appears now that, in the twenty years since Shepard wrote her paper, the goals of early 21st century curricula have continued to diverge from those of the 20th century with the World Economic Forum identifying competencies in collaboration, analytical thinking, creative problem-solving, and the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Models of assessment which mimic and re-inscribe traditional assessment practices and prioritize testing skills in a manner aligned with 20th century curricular models are no longer adequate because they no longer align with the priorities of modern higher education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crooksImpactClassroomEvaluation1988">
        <w:r>
          <w:rPr>
            <w:rStyle w:val="Hyperlink"/>
          </w:rPr>
          <w:t xml:space="preserve">Crooks, 1988</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X9783eef1c37e492f1192ce9092108eb526b7f44">
        <w:r>
          <w:rPr>
            <w:rStyle w:val="Hyperlink"/>
          </w:rPr>
          <w:t xml:space="preserve">Timmis et al., 2016</w:t>
        </w:r>
      </w:hyperlink>
      <w:r>
        <w:t xml:space="preserve">)</w:t>
      </w:r>
      <w:r>
        <w:t xml:space="preserve">.</w:t>
      </w:r>
    </w:p>
    <w:p>
      <w:pPr>
        <w:pStyle w:val="BodyText"/>
      </w:pPr>
      <w:r>
        <w:t xml:space="preserve">Furthermore, pressures from our increasingly technological society have also impacted instructors’ approaches to their assessment practice. O’Donnell</w:t>
      </w:r>
      <w:r>
        <w:t xml:space="preserve"> </w:t>
      </w:r>
      <w:r>
        <w:t xml:space="preserve">(</w:t>
      </w:r>
      <w:hyperlink w:anchor="Xb8ef97dcd64a46920c7df0026dc0b714b2ee92d">
        <w:r>
          <w:rPr>
            <w:rStyle w:val="Hyperlink"/>
          </w:rPr>
          <w:t xml:space="preserve">2020</w:t>
        </w:r>
      </w:hyperlink>
      <w:r>
        <w:t xml:space="preserve">)</w:t>
      </w:r>
      <w:r>
        <w:t xml:space="preserve"> </w:t>
      </w:r>
      <w:r>
        <w:t xml:space="preserve">argues that</w:t>
      </w:r>
      <w:r>
        <w:t xml:space="preserve"> </w:t>
      </w:r>
      <w:r>
        <w:rPr>
          <w:iCs/>
          <w:i/>
        </w:rPr>
        <w:t xml:space="preserve">all</w:t>
      </w:r>
      <w:r>
        <w:t xml:space="preserve"> </w:t>
      </w:r>
      <w:r>
        <w:t xml:space="preserve">learning in higher education is now mediated in some way by technology, even if it is the superficial use of a word processor an instructor uses to create course materials or a learner uses to compose an essay. Even so, he claims that the use of technology often does little more than increase the efficiency (a term which he declines to define) of existing practices (an example might be reducing the time it takes to score a selected-response exam by using bubble sheets for examinee responses). This critique echoes Timmis et al.</w:t>
      </w:r>
      <w:r>
        <w:t xml:space="preserve"> </w:t>
      </w:r>
      <w:r>
        <w:t xml:space="preserve">(</w:t>
      </w:r>
      <w:hyperlink w:anchor="X9783eef1c37e492f1192ce9092108eb526b7f44">
        <w:r>
          <w:rPr>
            <w:rStyle w:val="Hyperlink"/>
          </w:rPr>
          <w:t xml:space="preserve">2016</w:t>
        </w:r>
      </w:hyperlink>
      <w:r>
        <w:t xml:space="preserve">)</w:t>
      </w:r>
      <w:r>
        <w:t xml:space="preserve"> </w:t>
      </w:r>
      <w:r>
        <w:t xml:space="preserve">who argue that prioritizing superficial characteristics of technology, like</w:t>
      </w:r>
      <w:r>
        <w:t xml:space="preserve"> </w:t>
      </w:r>
      <w:r>
        <w:t xml:space="preserve">‘</w:t>
      </w:r>
      <w:r>
        <w:t xml:space="preserve">efficiency,</w:t>
      </w:r>
      <w:r>
        <w:t xml:space="preserve">’</w:t>
      </w:r>
      <w:r>
        <w:t xml:space="preserve"> </w:t>
      </w:r>
      <w:r>
        <w:t xml:space="preserve">comes at the cost of more innovative applications.</w:t>
      </w:r>
    </w:p>
    <w:p>
      <w:pPr>
        <w:pStyle w:val="BodyText"/>
      </w:pPr>
      <w:r>
        <w:t xml:space="preserve">Additionally, the datafication of higher education has made very large data sets available to individual instructors as well as to learning technology administrators. This is often in the form of log data from learning management systems (LMS) which has been used to explore relationships between learner behaviours in the LMS and achievement</w:t>
      </w:r>
      <w:r>
        <w:t xml:space="preserve"> </w:t>
      </w:r>
      <w:r>
        <w:t xml:space="preserve">(</w:t>
      </w:r>
      <w:hyperlink w:anchor="ref-pardoBidirectionalEffectData2020">
        <w:r>
          <w:rPr>
            <w:rStyle w:val="Hyperlink"/>
          </w:rPr>
          <w:t xml:space="preserve">Pardo &amp; Reimann, 2020</w:t>
        </w:r>
      </w:hyperlink>
      <w:r>
        <w:t xml:space="preserve">;</w:t>
      </w:r>
      <w:r>
        <w:t xml:space="preserve"> </w:t>
      </w:r>
      <w:hyperlink w:anchor="ref-stadlerFirstEqualsLog2020">
        <w:r>
          <w:rPr>
            <w:rStyle w:val="Hyperlink"/>
          </w:rPr>
          <w:t xml:space="preserve">Stadler et al., 2020</w:t>
        </w:r>
      </w:hyperlink>
      <w:r>
        <w:t xml:space="preserve">)</w:t>
      </w:r>
      <w:r>
        <w:t xml:space="preserve">. Shute and Rahimi reported on their exploration of what they call</w:t>
      </w:r>
      <w:r>
        <w:t xml:space="preserve"> </w:t>
      </w:r>
      <w:r>
        <w:t xml:space="preserve">“</w:t>
      </w:r>
      <w:r>
        <w:t xml:space="preserve">stealth assessments</w:t>
      </w:r>
      <w:r>
        <w:t xml:space="preserve">”</w:t>
      </w:r>
      <w:r>
        <w:t xml:space="preserve"> </w:t>
      </w:r>
      <w:r>
        <w:t xml:space="preserve">(</w:t>
      </w:r>
      <w:hyperlink w:anchor="ref-shuteStealthAssessmentCreativity2021">
        <w:r>
          <w:rPr>
            <w:rStyle w:val="Hyperlink"/>
          </w:rPr>
          <w:t xml:space="preserve">2021, p. 4</w:t>
        </w:r>
      </w:hyperlink>
      <w:r>
        <w:t xml:space="preserve">)</w:t>
      </w:r>
      <w:r>
        <w:t xml:space="preserve"> </w:t>
      </w:r>
      <w:r>
        <w:t xml:space="preserve">where large amounts of data are collected as learners interact in game-based learning environments. They argue that stealth assessments, which learners do not notice because they are woven seamlessly into the learning materials and automatically scored based help to alleviate test anxiety for learners, leading to greater achievement</w:t>
      </w:r>
      <w:r>
        <w:t xml:space="preserve"> </w:t>
      </w:r>
      <w:r>
        <w:t xml:space="preserve">(</w:t>
      </w:r>
      <w:hyperlink w:anchor="ref-shute21stCenturyAssessment2010">
        <w:r>
          <w:rPr>
            <w:rStyle w:val="Hyperlink"/>
          </w:rPr>
          <w:t xml:space="preserve">Shute et al., 2010</w:t>
        </w:r>
      </w:hyperlink>
      <w:r>
        <w:t xml:space="preserve">)</w:t>
      </w:r>
      <w:r>
        <w:t xml:space="preserve">. Milligan writes about the optimism with which early learning analytics researchers advocated for using big data that</w:t>
      </w:r>
      <w:r>
        <w:t xml:space="preserve"> </w:t>
      </w:r>
      <w:r>
        <w:t xml:space="preserve">(</w:t>
      </w:r>
      <w:hyperlink w:anchor="X176a232588f05c4bc332011296c94f6bd1d0211">
        <w:r>
          <w:rPr>
            <w:rStyle w:val="Hyperlink"/>
          </w:rPr>
          <w:t xml:space="preserve">2020</w:t>
        </w:r>
      </w:hyperlink>
      <w:r>
        <w:t xml:space="preserve">)</w:t>
      </w:r>
    </w:p>
    <w:bookmarkEnd w:id="20"/>
    <w:bookmarkStart w:id="80" w:name="X54e1fb3cc3c88863a47e81a3913584c288682be"/>
    <w:p>
      <w:pPr>
        <w:pStyle w:val="Heading1"/>
      </w:pPr>
      <w:r>
        <w:t xml:space="preserve">A Review of the Literature on Assessment in Technology-mediated Higher Education</w:t>
      </w:r>
    </w:p>
    <w:bookmarkStart w:id="21" w:name="topic"/>
    <w:p>
      <w:pPr>
        <w:pStyle w:val="Heading2"/>
      </w:pPr>
      <w:r>
        <w:t xml:space="preserve">Topic</w:t>
      </w:r>
    </w:p>
    <w:p>
      <w:pPr>
        <w:numPr>
          <w:ilvl w:val="0"/>
          <w:numId w:val="1001"/>
        </w:numPr>
        <w:pStyle w:val="Compact"/>
      </w:pPr>
      <w:r>
        <w:t xml:space="preserve">Approaches to assessment in technology-mediated higher education</w:t>
      </w:r>
    </w:p>
    <w:bookmarkEnd w:id="21"/>
    <w:bookmarkStart w:id="22" w:name="problem"/>
    <w:p>
      <w:pPr>
        <w:pStyle w:val="Heading2"/>
      </w:pPr>
      <w:r>
        <w:t xml:space="preserve">Problem</w:t>
      </w:r>
    </w:p>
    <w:p>
      <w:pPr>
        <w:numPr>
          <w:ilvl w:val="0"/>
          <w:numId w:val="1002"/>
        </w:numPr>
        <w:pStyle w:val="Compact"/>
      </w:pPr>
      <w:r>
        <w:t xml:space="preserve">We don’t know how the increased use of technology in higher education has impacted higher education instructors’ approaches to assessment.</w:t>
      </w:r>
    </w:p>
    <w:bookmarkEnd w:id="22"/>
    <w:bookmarkStart w:id="23" w:name="purpose"/>
    <w:p>
      <w:pPr>
        <w:pStyle w:val="Heading2"/>
      </w:pPr>
      <w:r>
        <w:t xml:space="preserve">Purpose</w:t>
      </w:r>
    </w:p>
    <w:p>
      <w:pPr>
        <w:numPr>
          <w:ilvl w:val="0"/>
          <w:numId w:val="1003"/>
        </w:numPr>
        <w:pStyle w:val="Compact"/>
      </w:pPr>
      <w:r>
        <w:t xml:space="preserve">the purpose of this literature review will be to analyze, synthesize and critique the literature since 2000 related to how instructors in higher education approach classroom assessment in increasingly technology-mediated environments.</w:t>
      </w:r>
    </w:p>
    <w:bookmarkEnd w:id="23"/>
    <w:bookmarkStart w:id="24" w:name="questions"/>
    <w:p>
      <w:pPr>
        <w:pStyle w:val="Heading2"/>
      </w:pPr>
      <w:r>
        <w:t xml:space="preserve">Questions</w:t>
      </w:r>
    </w:p>
    <w:p>
      <w:pPr>
        <w:numPr>
          <w:ilvl w:val="0"/>
          <w:numId w:val="1004"/>
        </w:numPr>
        <w:pStyle w:val="Compact"/>
      </w:pPr>
      <w:r>
        <w:t xml:space="preserve">What are the major themes or patterns in the literature related to assessment in technology-mediated higher education?</w:t>
      </w:r>
    </w:p>
    <w:p>
      <w:pPr>
        <w:numPr>
          <w:ilvl w:val="0"/>
          <w:numId w:val="1004"/>
        </w:numPr>
        <w:pStyle w:val="Compact"/>
      </w:pPr>
      <w:r>
        <w:t xml:space="preserve">What gaps exist in the literature related to assessment in technology-mediated higher education?</w:t>
      </w:r>
    </w:p>
    <w:bookmarkEnd w:id="24"/>
    <w:bookmarkStart w:id="27" w:name="defining-assessment"/>
    <w:p>
      <w:pPr>
        <w:pStyle w:val="Heading2"/>
      </w:pPr>
      <w:r>
        <w:t xml:space="preserve">Defining Assessment</w:t>
      </w:r>
    </w:p>
    <w:bookmarkStart w:id="25" w:name="historical-definitions"/>
    <w:p>
      <w:pPr>
        <w:pStyle w:val="Heading3"/>
      </w:pPr>
      <w:r>
        <w:t xml:space="preserve">Historical Definitions</w:t>
      </w:r>
    </w:p>
    <w:p>
      <w:pPr>
        <w:numPr>
          <w:ilvl w:val="0"/>
          <w:numId w:val="1005"/>
        </w:numPr>
        <w:pStyle w:val="Compac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w:t>
      </w:r>
      <w:r>
        <w:br/>
      </w:r>
    </w:p>
    <w:p>
      <w:pPr>
        <w:numPr>
          <w:ilvl w:val="0"/>
          <w:numId w:val="1005"/>
        </w:numPr>
        <w:pStyle w:val="Compact"/>
      </w:pPr>
      <w:r>
        <w:t xml:space="preserve">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w:t>
      </w:r>
      <w:r>
        <w:br/>
      </w:r>
    </w:p>
    <w:p>
      <w:pPr>
        <w:numPr>
          <w:ilvl w:val="0"/>
          <w:numId w:val="1005"/>
        </w:numPr>
        <w:pStyle w:val="Compact"/>
      </w:pPr>
      <w:r>
        <w:t xml:space="preserve">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thorough review of the literature,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pp. 7–8</w:t>
        </w:r>
      </w:hyperlink>
      <w:r>
        <w:t xml:space="preserve">)</w:t>
      </w:r>
      <w:r>
        <w:t xml:space="preserve">.</w:t>
      </w:r>
    </w:p>
    <w:p>
      <w:pPr>
        <w:numPr>
          <w:ilvl w:val="0"/>
          <w:numId w:val="1005"/>
        </w:numPr>
        <w:pStyle w:val="Compact"/>
      </w:pPr>
      <w:r>
        <w:t xml:space="preserve">The National Research Council’s (NRC) 2001 report</w:t>
      </w:r>
      <w:r>
        <w:t xml:space="preserve"> </w:t>
      </w:r>
      <w:r>
        <w:rPr>
          <w:iCs/>
          <w:i/>
        </w:rPr>
        <w:t xml:space="preserve">Knowing what students know</w:t>
      </w:r>
      <w:r>
        <w:t xml:space="preserve">, 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et al., 2001, p.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et al., 2001, p. 43</w:t>
        </w:r>
      </w:hyperlink>
      <w:r>
        <w:t xml:space="preserve">)</w:t>
      </w:r>
      <w:r>
        <w:t xml:space="preserve">, based on Mislevy’s 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w:t>
      </w:r>
      <w:hyperlink w:anchor="ref-mislevyTestTheoryReconcieved1994">
        <w:r>
          <w:rPr>
            <w:rStyle w:val="Hyperlink"/>
          </w:rPr>
          <w:t xml:space="preserve">1994, p. 4</w:t>
        </w:r>
      </w:hyperlink>
      <w:r>
        <w:t xml:space="preserve">)</w:t>
      </w:r>
      <w:r>
        <w:t xml:space="preserve">.</w:t>
      </w:r>
      <w:r>
        <w:br/>
      </w:r>
    </w:p>
    <w:p>
      <w:pPr>
        <w:numPr>
          <w:ilvl w:val="0"/>
          <w:numId w:val="1005"/>
        </w:numPr>
        <w:pStyle w:val="Compact"/>
      </w:pPr>
      <w:r>
        <w:t xml:space="preserve">The NRC models assessment as a triangle composed of three interdependent components of any assessment (Figure 1):</w:t>
      </w:r>
      <w:r>
        <w:t xml:space="preserve"> </w:t>
      </w:r>
      <w:r>
        <w:rPr>
          <w:iCs/>
          <w:i/>
        </w:rPr>
        <w:t xml:space="preserve">cognition</w:t>
      </w:r>
      <w:r>
        <w:t xml:space="preserve">, or a model of the domain to be learned;</w:t>
      </w:r>
      <w:r>
        <w:t xml:space="preserve"> </w:t>
      </w:r>
      <w:r>
        <w:rPr>
          <w:iCs/>
          <w:i/>
        </w:rPr>
        <w:t xml:space="preserve">observation</w:t>
      </w:r>
      <w:r>
        <w:t xml:space="preserve">, or the performance task learners will complete to demonstrate their competence; and an</w:t>
      </w:r>
      <w:r>
        <w:t xml:space="preserve"> </w:t>
      </w:r>
      <w:r>
        <w:rPr>
          <w:iCs/>
          <w:i/>
        </w:rPr>
        <w:t xml:space="preserve">inference</w:t>
      </w:r>
      <w:r>
        <w:t xml:space="preserve"> </w:t>
      </w:r>
      <w:r>
        <w:t xml:space="preserve">or</w:t>
      </w:r>
      <w:r>
        <w:t xml:space="preserve"> </w:t>
      </w:r>
      <w:r>
        <w:rPr>
          <w:iCs/>
          <w:i/>
        </w:rPr>
        <w:t xml:space="preserve">interpretation</w:t>
      </w:r>
      <w:r>
        <w:t xml:space="preserve"> </w:t>
      </w:r>
      <w:r>
        <w:t xml:space="preserve">of the data produced by the observation. The interdependent nature of the three components requires that both the observation and interpretation components be grounded in the nature of the cognitive model of the domain.</w:t>
      </w:r>
    </w:p>
    <w:bookmarkEnd w:id="25"/>
    <w:bookmarkStart w:id="26" w:name="modern-conceptions-of-assessment"/>
    <w:p>
      <w:pPr>
        <w:pStyle w:val="Heading3"/>
      </w:pPr>
      <w:r>
        <w:t xml:space="preserve">Modern Conceptions of Assessment</w:t>
      </w:r>
    </w:p>
    <w:p>
      <w:pPr>
        <w:numPr>
          <w:ilvl w:val="0"/>
          <w:numId w:val="1006"/>
        </w:numPr>
        <w:pStyle w:val="Compact"/>
      </w:pPr>
      <w:r>
        <w:t xml:space="preserve">More recently, Earl</w:t>
      </w:r>
      <w:r>
        <w:t xml:space="preserve"> </w:t>
      </w:r>
      <w:r>
        <w:t xml:space="preserve">(</w:t>
      </w:r>
      <w:hyperlink w:anchor="ref-earlAssessmentLearningUsing2013">
        <w:r>
          <w:rPr>
            <w:rStyle w:val="Hyperlink"/>
          </w:rPr>
          <w:t xml:space="preserve">2013</w:t>
        </w:r>
      </w:hyperlink>
      <w:r>
        <w:t xml:space="preserve">)</w:t>
      </w:r>
      <w:r>
        <w:t xml:space="preserve"> </w:t>
      </w:r>
      <w:r>
        <w:t xml:space="preserve">further clarified the role assessment can play in learning by highlighting a distinction between assessment</w:t>
      </w:r>
      <w:r>
        <w:t xml:space="preserve"> </w:t>
      </w:r>
      <w:r>
        <w:rPr>
          <w:iCs/>
          <w:i/>
        </w:rPr>
        <w:t xml:space="preserve">of</w:t>
      </w:r>
      <w:r>
        <w:t xml:space="preserve"> </w:t>
      </w:r>
      <w:r>
        <w:t xml:space="preserve">learning (summative assessment) and assessment</w:t>
      </w:r>
      <w:r>
        <w:t xml:space="preserve"> </w:t>
      </w:r>
      <w:r>
        <w:rPr>
          <w:iCs/>
          <w:i/>
        </w:rPr>
        <w:t xml:space="preserve">for</w:t>
      </w:r>
      <w:r>
        <w:t xml:space="preserve"> </w:t>
      </w:r>
      <w:r>
        <w:t xml:space="preserve">learning (formative assessment by way of feedback) and also distinguishing both of those from assessment</w:t>
      </w:r>
      <w:r>
        <w:t xml:space="preserve"> </w:t>
      </w:r>
      <w:r>
        <w:rPr>
          <w:iCs/>
          <w:i/>
        </w:rPr>
        <w:t xml:space="preserve">as</w:t>
      </w:r>
      <w:r>
        <w:t xml:space="preserve"> </w:t>
      </w:r>
      <w:r>
        <w:t xml:space="preserve">learning (a subset of assessment</w:t>
      </w:r>
      <w:r>
        <w:t xml:space="preserve"> </w:t>
      </w:r>
      <w:r>
        <w:rPr>
          <w:iCs/>
          <w:i/>
        </w:rPr>
        <w:t xml:space="preserve">for</w:t>
      </w:r>
      <w:r>
        <w:t xml:space="preserve"> </w:t>
      </w:r>
      <w:r>
        <w:t xml:space="preserve">learning in which learners employ metacognitive skills to regulate their own learning tasks).</w:t>
      </w:r>
      <w:r>
        <w:br/>
      </w:r>
    </w:p>
    <w:p>
      <w:pPr>
        <w:numPr>
          <w:ilvl w:val="0"/>
          <w:numId w:val="1006"/>
        </w:numPr>
        <w:pStyle w:val="Compact"/>
      </w:pPr>
      <w:r>
        <w:t xml:space="preserve">The definitions of assessment above are typically understood as being</w:t>
      </w:r>
      <w:r>
        <w:t xml:space="preserve"> </w:t>
      </w:r>
      <w:r>
        <w:rPr>
          <w:iCs/>
          <w:i/>
        </w:rPr>
        <w:t xml:space="preserve">classroom assessment</w:t>
      </w:r>
      <w:r>
        <w:t xml:space="preserve">, language which is more readily applied to face-to-face K-12 learning environments as opposed to higher education environments mediated by technology. For the purposes of this paper, I will consider assessment</w:t>
      </w:r>
      <w:r>
        <w:t xml:space="preserve"> </w:t>
      </w:r>
      <w:r>
        <w:rPr>
          <w:iCs/>
          <w:i/>
        </w:rPr>
        <w:t xml:space="preserve">of</w:t>
      </w:r>
      <w:r>
        <w:t xml:space="preserve"> </w:t>
      </w:r>
      <w:r>
        <w:t xml:space="preserve">learning and summative assessment to be essentially synonymous, and I will differentiate between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I will use the term</w:t>
      </w:r>
      <w:r>
        <w:t xml:space="preserve"> </w:t>
      </w:r>
      <w:r>
        <w:rPr>
          <w:iCs/>
          <w:i/>
        </w:rPr>
        <w:t xml:space="preserve">classroom assessment</w:t>
      </w:r>
      <w:r>
        <w:t xml:space="preserve"> </w:t>
      </w:r>
      <w:r>
        <w:t xml:space="preserve">to differentiate from</w:t>
      </w:r>
      <w:r>
        <w:t xml:space="preserve"> </w:t>
      </w:r>
      <w:r>
        <w:rPr>
          <w:iCs/>
          <w:i/>
        </w:rPr>
        <w:t xml:space="preserve">large-scale assessment</w:t>
      </w:r>
      <w:r>
        <w:t xml:space="preserve">, understood to be assessments deployed at levels above individual classrooms, such as school-, system-, or provincial/federal-levels. The focus of this paper will be on classroom assessment in higher education.</w:t>
      </w:r>
    </w:p>
    <w:bookmarkEnd w:id="26"/>
    <w:bookmarkEnd w:id="27"/>
    <w:bookmarkStart w:id="31" w:name="assessment-and-measurement"/>
    <w:p>
      <w:pPr>
        <w:pStyle w:val="Heading2"/>
      </w:pPr>
      <w:r>
        <w:t xml:space="preserve">Assessment and Measurement</w:t>
      </w:r>
    </w:p>
    <w:bookmarkStart w:id="28" w:name="validity"/>
    <w:p>
      <w:pPr>
        <w:pStyle w:val="Heading3"/>
      </w:pPr>
      <w:r>
        <w:t xml:space="preserve">Validity</w:t>
      </w:r>
    </w:p>
    <w:bookmarkEnd w:id="28"/>
    <w:bookmarkStart w:id="29" w:name="reliability"/>
    <w:p>
      <w:pPr>
        <w:pStyle w:val="Heading3"/>
      </w:pPr>
      <w:r>
        <w:t xml:space="preserve">Reliability</w:t>
      </w:r>
    </w:p>
    <w:bookmarkEnd w:id="29"/>
    <w:bookmarkStart w:id="30" w:name="fairness"/>
    <w:p>
      <w:pPr>
        <w:pStyle w:val="Heading3"/>
      </w:pPr>
      <w:r>
        <w:t xml:space="preserve">Fairness</w:t>
      </w:r>
    </w:p>
    <w:bookmarkEnd w:id="30"/>
    <w:bookmarkEnd w:id="31"/>
    <w:bookmarkStart w:id="32" w:name="assessment-literacy"/>
    <w:p>
      <w:pPr>
        <w:pStyle w:val="Heading2"/>
      </w:pPr>
      <w:r>
        <w:t xml:space="preserve">Assessment Literacy</w:t>
      </w:r>
    </w:p>
    <w:bookmarkEnd w:id="32"/>
    <w:bookmarkStart w:id="33" w:name="approaches-to-assessment"/>
    <w:p>
      <w:pPr>
        <w:pStyle w:val="Heading2"/>
      </w:pPr>
      <w:r>
        <w:t xml:space="preserve">Approaches to Assessment</w:t>
      </w:r>
    </w:p>
    <w:bookmarkEnd w:id="33"/>
    <w:bookmarkStart w:id="34" w:name="assessment-in-higher-education"/>
    <w:p>
      <w:pPr>
        <w:pStyle w:val="Heading2"/>
      </w:pPr>
      <w:r>
        <w:t xml:space="preserve">Assessment in Higher Education</w:t>
      </w:r>
    </w:p>
    <w:bookmarkEnd w:id="34"/>
    <w:bookmarkStart w:id="79" w:name="X75a8b472663a39abd3a828597d17e0304bfe7e4"/>
    <w:p>
      <w:pPr>
        <w:pStyle w:val="Heading2"/>
      </w:pPr>
      <w:r>
        <w:t xml:space="preserve">Impact of Technology on Assessment in Higher Education</w:t>
      </w:r>
    </w:p>
    <w:bookmarkStart w:id="78" w:name="refs"/>
    <w:bookmarkStart w:id="36" w:name="ref-biggsWhatStudentDoes1999"/>
    <w:p>
      <w:pPr>
        <w:pStyle w:val="Bibliography"/>
      </w:pPr>
      <w:r>
        <w:t xml:space="preserve">Biggs, J. (1999). What the</w:t>
      </w:r>
      <w:r>
        <w:t xml:space="preserve"> </w:t>
      </w:r>
      <w:r>
        <w:t xml:space="preserve">Student Does</w:t>
      </w:r>
      <w:r>
        <w:t xml:space="preserve">: Teaching for enhanced learning.</w:t>
      </w:r>
      <w:r>
        <w:t xml:space="preserve"> </w:t>
      </w:r>
      <w:r>
        <w:rPr>
          <w:iCs/>
          <w:i/>
        </w:rPr>
        <w:t xml:space="preserve">Higher Education Research &amp; Development</w:t>
      </w:r>
      <w:r>
        <w:t xml:space="preserve">,</w:t>
      </w:r>
      <w:r>
        <w:t xml:space="preserve"> </w:t>
      </w:r>
      <w:r>
        <w:rPr>
          <w:iCs/>
          <w:i/>
        </w:rPr>
        <w:t xml:space="preserve">18</w:t>
      </w:r>
      <w:r>
        <w:t xml:space="preserve">(1), 57–75.</w:t>
      </w:r>
      <w:r>
        <w:t xml:space="preserve"> </w:t>
      </w:r>
      <w:hyperlink r:id="rId35">
        <w:r>
          <w:rPr>
            <w:rStyle w:val="Hyperlink"/>
          </w:rPr>
          <w:t xml:space="preserve">https://doi.org/drgphk</w:t>
        </w:r>
      </w:hyperlink>
    </w:p>
    <w:bookmarkEnd w:id="36"/>
    <w:bookmarkStart w:id="38" w:name="ref-blackAssessmentClassroomLearning1998"/>
    <w:p>
      <w:pPr>
        <w:pStyle w:val="Bibliography"/>
      </w:pPr>
      <w:r>
        <w:t xml:space="preserve">Black, P., &amp; Wiliam, D. (1998). Assessment and</w:t>
      </w:r>
      <w:r>
        <w:t xml:space="preserve"> </w:t>
      </w:r>
      <w:r>
        <w:t xml:space="preserve">Classroom Learning</w:t>
      </w:r>
      <w:r>
        <w:t xml:space="preserve">.</w:t>
      </w:r>
      <w:r>
        <w:t xml:space="preserve"> </w:t>
      </w:r>
      <w:r>
        <w:rPr>
          <w:iCs/>
          <w:i/>
        </w:rPr>
        <w:t xml:space="preserve">Assessment in Education: Principles, Policy &amp; Practice</w:t>
      </w:r>
      <w:r>
        <w:t xml:space="preserve">,</w:t>
      </w:r>
      <w:r>
        <w:t xml:space="preserve"> </w:t>
      </w:r>
      <w:r>
        <w:rPr>
          <w:iCs/>
          <w:i/>
        </w:rPr>
        <w:t xml:space="preserve">5</w:t>
      </w:r>
      <w:r>
        <w:t xml:space="preserve">(1), 7–74.</w:t>
      </w:r>
      <w:r>
        <w:t xml:space="preserve"> </w:t>
      </w:r>
      <w:hyperlink r:id="rId37">
        <w:r>
          <w:rPr>
            <w:rStyle w:val="Hyperlink"/>
          </w:rPr>
          <w:t xml:space="preserve">https://doi.org/fpnss4</w:t>
        </w:r>
      </w:hyperlink>
    </w:p>
    <w:bookmarkEnd w:id="38"/>
    <w:bookmarkStart w:id="39" w:name="ref-bloomLearningMasteryInstruction1968"/>
    <w:p>
      <w:pPr>
        <w:pStyle w:val="Bibliography"/>
      </w:pPr>
      <w:r>
        <w:t xml:space="preserve">Bloom, B. (1968). 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w:t>
      </w:r>
      <w:r>
        <w:t xml:space="preserve"> </w:t>
      </w:r>
      <w:r>
        <w:rPr>
          <w:iCs/>
          <w:i/>
        </w:rPr>
        <w:t xml:space="preserve">1</w:t>
      </w:r>
      <w:r>
        <w:t xml:space="preserve">(2), 12.</w:t>
      </w:r>
    </w:p>
    <w:bookmarkEnd w:id="39"/>
    <w:bookmarkStart w:id="41" w:name="X51a879b1b801bbc5ad6e7fc588f4456f2973b2d"/>
    <w:p>
      <w:pPr>
        <w:pStyle w:val="Bibliography"/>
      </w:pPr>
      <w:r>
        <w:t xml:space="preserve">Broadfoot, P. (2016). Assessment for</w:t>
      </w:r>
      <w:r>
        <w:t xml:space="preserve"> </w:t>
      </w:r>
      <w:r>
        <w:t xml:space="preserve">Twenty-First-Century Learning</w:t>
      </w:r>
      <w:r>
        <w:t xml:space="preserve">:</w:t>
      </w:r>
      <w:r>
        <w:t xml:space="preserve"> </w:t>
      </w:r>
      <w:r>
        <w:t xml:space="preserve">The Challenges Ahead</w:t>
      </w:r>
      <w:r>
        <w:t xml:space="preserve">. In M. J. Spector, B. B. Lockee, &amp; M. D. Childress (Eds.),</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w:t>
      </w:r>
      <w:r>
        <w:t xml:space="preserve">(pp. 1–23).</w:t>
      </w:r>
      <w:r>
        <w:t xml:space="preserve"> </w:t>
      </w:r>
      <w:r>
        <w:t xml:space="preserve">Springer International Publishing</w:t>
      </w:r>
      <w:r>
        <w:t xml:space="preserve">.</w:t>
      </w:r>
      <w:r>
        <w:t xml:space="preserve"> </w:t>
      </w:r>
      <w:hyperlink r:id="rId40">
        <w:r>
          <w:rPr>
            <w:rStyle w:val="Hyperlink"/>
          </w:rPr>
          <w:t xml:space="preserve">https://doi.org/10.1007/978-3-319-17727-4_64-1</w:t>
        </w:r>
      </w:hyperlink>
    </w:p>
    <w:bookmarkEnd w:id="41"/>
    <w:bookmarkStart w:id="43" w:name="ref-coombsSeaSeaCanadian2020"/>
    <w:p>
      <w:pPr>
        <w:pStyle w:val="Bibliography"/>
      </w:pPr>
      <w:r>
        <w:t xml:space="preserve">Coombs, A., Ge, J., &amp; DeLuca, C. (2020). From sea to sea:</w:t>
      </w:r>
      <w:r>
        <w:t xml:space="preserve"> </w:t>
      </w:r>
      <w:r>
        <w:t xml:space="preserve">The Canadian</w:t>
      </w:r>
      <w:r>
        <w:t xml:space="preserve"> </w:t>
      </w:r>
      <w:r>
        <w:t xml:space="preserve">landscape of assessment education.</w:t>
      </w:r>
      <w:r>
        <w:t xml:space="preserve"> </w:t>
      </w:r>
      <w:r>
        <w:rPr>
          <w:iCs/>
          <w:i/>
        </w:rPr>
        <w:t xml:space="preserve">Educational Research</w:t>
      </w:r>
      <w:r>
        <w:t xml:space="preserve">, 1–17.</w:t>
      </w:r>
      <w:r>
        <w:t xml:space="preserve"> </w:t>
      </w:r>
      <w:hyperlink r:id="rId42">
        <w:r>
          <w:rPr>
            <w:rStyle w:val="Hyperlink"/>
          </w:rPr>
          <w:t xml:space="preserve">https://doi.org/gh5k4z</w:t>
        </w:r>
      </w:hyperlink>
    </w:p>
    <w:bookmarkEnd w:id="43"/>
    <w:bookmarkStart w:id="45" w:name="ref-crooksImpactClassroomEvaluation1988"/>
    <w:p>
      <w:pPr>
        <w:pStyle w:val="Bibliography"/>
      </w:pPr>
      <w:r>
        <w:t xml:space="preserve">Crooks, T. J. (1988). 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w:t>
      </w:r>
      <w:r>
        <w:t xml:space="preserve"> </w:t>
      </w:r>
      <w:r>
        <w:rPr>
          <w:iCs/>
          <w:i/>
        </w:rPr>
        <w:t xml:space="preserve">58</w:t>
      </w:r>
      <w:r>
        <w:t xml:space="preserve">(4), 438–481.</w:t>
      </w:r>
      <w:r>
        <w:t xml:space="preserve"> </w:t>
      </w:r>
      <w:hyperlink r:id="rId44">
        <w:r>
          <w:rPr>
            <w:rStyle w:val="Hyperlink"/>
          </w:rPr>
          <w:t xml:space="preserve">https://doi.org/dvd8nf</w:t>
        </w:r>
      </w:hyperlink>
    </w:p>
    <w:bookmarkEnd w:id="45"/>
    <w:bookmarkStart w:id="46" w:name="ref-earlAssessmentLearningUsing2013"/>
    <w:p>
      <w:pPr>
        <w:pStyle w:val="Bibliography"/>
      </w:pPr>
      <w:r>
        <w:t xml:space="preserve">Earl, L. M. (2013).</w:t>
      </w:r>
      <w:r>
        <w:t xml:space="preserve"> </w:t>
      </w:r>
      <w:r>
        <w:rPr>
          <w:iCs/>
          <w:i/>
        </w:rPr>
        <w:t xml:space="preserve">Assessment as learning: Using classroom assessment to maximize student learning</w:t>
      </w:r>
      <w:r>
        <w:t xml:space="preserve"> </w:t>
      </w:r>
      <w:r>
        <w:t xml:space="preserve">(Second edition).</w:t>
      </w:r>
      <w:r>
        <w:t xml:space="preserve"> </w:t>
      </w:r>
      <w:r>
        <w:t xml:space="preserve">Corwin Press</w:t>
      </w:r>
      <w:r>
        <w:t xml:space="preserve">.</w:t>
      </w:r>
    </w:p>
    <w:bookmarkEnd w:id="46"/>
    <w:bookmarkStart w:id="47" w:name="Xaf0f34faf6db1662e8da0b9850d3b9cfe5dbeed"/>
    <w:p>
      <w:pPr>
        <w:pStyle w:val="Bibliography"/>
      </w:pPr>
      <w:r>
        <w:t xml:space="preserve">Forum, W. E. (2020).</w:t>
      </w:r>
      <w:r>
        <w:t xml:space="preserve"> </w:t>
      </w:r>
      <w:r>
        <w:rPr>
          <w:iCs/>
          <w:i/>
        </w:rPr>
        <w:t xml:space="preserve">The</w:t>
      </w:r>
      <w:r>
        <w:rPr>
          <w:iCs/>
          <w:i/>
        </w:rPr>
        <w:t xml:space="preserve"> </w:t>
      </w:r>
      <w:r>
        <w:rPr>
          <w:iCs/>
          <w:i/>
        </w:rPr>
        <w:t xml:space="preserve">Future</w:t>
      </w:r>
      <w:r>
        <w:rPr>
          <w:iCs/>
          <w:i/>
        </w:rPr>
        <w:t xml:space="preserve"> </w:t>
      </w:r>
      <w:r>
        <w:rPr>
          <w:iCs/>
          <w:i/>
        </w:rPr>
        <w:t xml:space="preserve">of</w:t>
      </w:r>
      <w:r>
        <w:rPr>
          <w:iCs/>
          <w:i/>
        </w:rPr>
        <w:t xml:space="preserve"> </w:t>
      </w:r>
      <w:r>
        <w:rPr>
          <w:iCs/>
          <w:i/>
        </w:rPr>
        <w:t xml:space="preserve">Jobs Report</w:t>
      </w:r>
      <w:r>
        <w:rPr>
          <w:iCs/>
          <w:i/>
        </w:rPr>
        <w:t xml:space="preserve"> </w:t>
      </w:r>
      <w:r>
        <w:rPr>
          <w:iCs/>
          <w:i/>
        </w:rPr>
        <w:t xml:space="preserve">2020</w:t>
      </w:r>
      <w:r>
        <w:t xml:space="preserve">.</w:t>
      </w:r>
      <w:r>
        <w:t xml:space="preserve"> </w:t>
      </w:r>
      <w:r>
        <w:t xml:space="preserve">World Economic Forum</w:t>
      </w:r>
      <w:r>
        <w:t xml:space="preserve">.</w:t>
      </w:r>
    </w:p>
    <w:bookmarkEnd w:id="47"/>
    <w:bookmarkStart w:id="49"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48">
        <w:r>
          <w:rPr>
            <w:rStyle w:val="Hyperlink"/>
          </w:rPr>
          <w:t xml:space="preserve">https://doi.org/ghjw3k</w:t>
        </w:r>
      </w:hyperlink>
    </w:p>
    <w:bookmarkEnd w:id="49"/>
    <w:bookmarkStart w:id="51"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50">
        <w:r>
          <w:rPr>
            <w:rStyle w:val="Hyperlink"/>
          </w:rPr>
          <w:t xml:space="preserve">https://doi.org/gj5ngz</w:t>
        </w:r>
      </w:hyperlink>
    </w:p>
    <w:bookmarkEnd w:id="51"/>
    <w:bookmarkStart w:id="53" w:name="X176a232588f05c4bc332011296c94f6bd1d0211"/>
    <w:p>
      <w:pPr>
        <w:pStyle w:val="Bibliography"/>
      </w:pPr>
      <w:r>
        <w:t xml:space="preserve">Milligan, S. (2020). Standards for</w:t>
      </w:r>
      <w:r>
        <w:t xml:space="preserve"> </w:t>
      </w:r>
      <w:r>
        <w:t xml:space="preserve">Developing Assessments</w:t>
      </w:r>
      <w:r>
        <w:t xml:space="preserve"> </w:t>
      </w:r>
      <w:r>
        <w:t xml:space="preserve">of</w:t>
      </w:r>
      <w:r>
        <w:t xml:space="preserve"> </w:t>
      </w:r>
      <w:r>
        <w:t xml:space="preserve">Learning Using Process Data</w:t>
      </w:r>
      <w:r>
        <w:t xml:space="preserve">. In M. Bearman, P. Dawson, R. Ajjawi, J. Tai, &amp; D. Boud (Eds.),</w:t>
      </w:r>
      <w:r>
        <w:t xml:space="preserve"> </w:t>
      </w:r>
      <w:r>
        <w:rPr>
          <w:iCs/>
          <w:i/>
        </w:rPr>
        <w:t xml:space="preserve">Re-imagining</w:t>
      </w:r>
      <w:r>
        <w:rPr>
          <w:iCs/>
          <w:i/>
        </w:rPr>
        <w:t xml:space="preserve"> </w:t>
      </w:r>
      <w:r>
        <w:rPr>
          <w:iCs/>
          <w:i/>
        </w:rPr>
        <w:t xml:space="preserve">University Assessment</w:t>
      </w:r>
      <w:r>
        <w:rPr>
          <w:iCs/>
          <w:i/>
        </w:rPr>
        <w:t xml:space="preserve"> </w:t>
      </w:r>
      <w:r>
        <w:rPr>
          <w:iCs/>
          <w:i/>
        </w:rPr>
        <w:t xml:space="preserve">in a</w:t>
      </w:r>
      <w:r>
        <w:rPr>
          <w:iCs/>
          <w:i/>
        </w:rPr>
        <w:t xml:space="preserve"> </w:t>
      </w:r>
      <w:r>
        <w:rPr>
          <w:iCs/>
          <w:i/>
        </w:rPr>
        <w:t xml:space="preserve">Digital World</w:t>
      </w:r>
      <w:r>
        <w:t xml:space="preserve"> </w:t>
      </w:r>
      <w:r>
        <w:t xml:space="preserve">(Vol. 7, pp. 179–192).</w:t>
      </w:r>
      <w:r>
        <w:t xml:space="preserve"> </w:t>
      </w:r>
      <w:r>
        <w:t xml:space="preserve">Springer International Publishing</w:t>
      </w:r>
      <w:r>
        <w:t xml:space="preserve">.</w:t>
      </w:r>
      <w:r>
        <w:t xml:space="preserve"> </w:t>
      </w:r>
      <w:hyperlink r:id="rId52">
        <w:r>
          <w:rPr>
            <w:rStyle w:val="Hyperlink"/>
          </w:rPr>
          <w:t xml:space="preserve">https://doi.org/10.1007/978-3-030-41956-1_13</w:t>
        </w:r>
      </w:hyperlink>
    </w:p>
    <w:bookmarkEnd w:id="53"/>
    <w:bookmarkStart w:id="55" w:name="ref-mislevyTestTheoryReconcieved1994"/>
    <w:p>
      <w:pPr>
        <w:pStyle w:val="Bibliography"/>
      </w:pPr>
      <w:r>
        <w:t xml:space="preserve">Mislevy, R. J. (1994). Test theory reconcieved.</w:t>
      </w:r>
      <w:r>
        <w:t xml:space="preserve"> </w:t>
      </w:r>
      <w:r>
        <w:rPr>
          <w:iCs/>
          <w:i/>
        </w:rPr>
        <w:t xml:space="preserve">ETS Research Report Series</w:t>
      </w:r>
      <w:r>
        <w:t xml:space="preserve">,</w:t>
      </w:r>
      <w:r>
        <w:t xml:space="preserve"> </w:t>
      </w:r>
      <w:r>
        <w:rPr>
          <w:iCs/>
          <w:i/>
        </w:rPr>
        <w:t xml:space="preserve">1994</w:t>
      </w:r>
      <w:r>
        <w:t xml:space="preserve">(1), i–38.</w:t>
      </w:r>
      <w:r>
        <w:t xml:space="preserve"> </w:t>
      </w:r>
      <w:hyperlink r:id="rId54">
        <w:r>
          <w:rPr>
            <w:rStyle w:val="Hyperlink"/>
          </w:rPr>
          <w:t xml:space="preserve">https://doi.org/gjm236</w:t>
        </w:r>
      </w:hyperlink>
    </w:p>
    <w:bookmarkEnd w:id="55"/>
    <w:bookmarkStart w:id="57" w:name="Xb8ef97dcd64a46920c7df0026dc0b714b2ee92d"/>
    <w:p>
      <w:pPr>
        <w:pStyle w:val="Bibliography"/>
      </w:pPr>
      <w:r>
        <w:t xml:space="preserve">O’Donnell, M. (2020). Assessment as and of</w:t>
      </w:r>
      <w:r>
        <w:t xml:space="preserve"> </w:t>
      </w:r>
      <w:r>
        <w:t xml:space="preserve">Digital Practice</w:t>
      </w:r>
      <w:r>
        <w:t xml:space="preserve">:</w:t>
      </w:r>
      <w:r>
        <w:t xml:space="preserve"> </w:t>
      </w:r>
      <w:r>
        <w:t xml:space="preserve">Building Productive Digital Literacies</w:t>
      </w:r>
      <w:r>
        <w:t xml:space="preserve">. In M. Bearman, P. Dawson, R. Ajjawi, J. Tai, &amp; D. Boud (Eds.),</w:t>
      </w:r>
      <w:r>
        <w:t xml:space="preserve"> </w:t>
      </w:r>
      <w:r>
        <w:rPr>
          <w:iCs/>
          <w:i/>
        </w:rPr>
        <w:t xml:space="preserve">Re-imagining</w:t>
      </w:r>
      <w:r>
        <w:rPr>
          <w:iCs/>
          <w:i/>
        </w:rPr>
        <w:t xml:space="preserve"> </w:t>
      </w:r>
      <w:r>
        <w:rPr>
          <w:iCs/>
          <w:i/>
        </w:rPr>
        <w:t xml:space="preserve">University Assessment</w:t>
      </w:r>
      <w:r>
        <w:rPr>
          <w:iCs/>
          <w:i/>
        </w:rPr>
        <w:t xml:space="preserve"> </w:t>
      </w:r>
      <w:r>
        <w:rPr>
          <w:iCs/>
          <w:i/>
        </w:rPr>
        <w:t xml:space="preserve">in a</w:t>
      </w:r>
      <w:r>
        <w:rPr>
          <w:iCs/>
          <w:i/>
        </w:rPr>
        <w:t xml:space="preserve"> </w:t>
      </w:r>
      <w:r>
        <w:rPr>
          <w:iCs/>
          <w:i/>
        </w:rPr>
        <w:t xml:space="preserve">Digital World</w:t>
      </w:r>
      <w:r>
        <w:t xml:space="preserve"> </w:t>
      </w:r>
      <w:r>
        <w:t xml:space="preserve">(Vol. 7, pp. 111–125).</w:t>
      </w:r>
      <w:r>
        <w:t xml:space="preserve"> </w:t>
      </w:r>
      <w:r>
        <w:t xml:space="preserve">Springer International Publishing</w:t>
      </w:r>
      <w:r>
        <w:t xml:space="preserve">.</w:t>
      </w:r>
      <w:r>
        <w:t xml:space="preserve"> </w:t>
      </w:r>
      <w:hyperlink r:id="rId56">
        <w:r>
          <w:rPr>
            <w:rStyle w:val="Hyperlink"/>
          </w:rPr>
          <w:t xml:space="preserve">https://doi.org/10.1007/978-3-030-41956-1_9</w:t>
        </w:r>
      </w:hyperlink>
    </w:p>
    <w:bookmarkEnd w:id="57"/>
    <w:bookmarkStart w:id="59" w:name="ref-pardoBidirectionalEffectData2020"/>
    <w:p>
      <w:pPr>
        <w:pStyle w:val="Bibliography"/>
      </w:pPr>
      <w:r>
        <w:t xml:space="preserve">Pardo, A., &amp; Reimann, P. (2020). The</w:t>
      </w:r>
      <w:r>
        <w:t xml:space="preserve"> </w:t>
      </w:r>
      <w:r>
        <w:t xml:space="preserve">Bi-directional Effect Between Data</w:t>
      </w:r>
      <w:r>
        <w:t xml:space="preserve"> </w:t>
      </w:r>
      <w:r>
        <w:t xml:space="preserve">and</w:t>
      </w:r>
      <w:r>
        <w:t xml:space="preserve"> </w:t>
      </w:r>
      <w:r>
        <w:t xml:space="preserve">Assessments</w:t>
      </w:r>
      <w:r>
        <w:t xml:space="preserve"> </w:t>
      </w:r>
      <w:r>
        <w:t xml:space="preserve">in the</w:t>
      </w:r>
      <w:r>
        <w:t xml:space="preserve"> </w:t>
      </w:r>
      <w:r>
        <w:t xml:space="preserve">Digital Age</w:t>
      </w:r>
      <w:r>
        <w:t xml:space="preserve">. In M. Bearman, P. Dawson, R. Ajjawi, J. Tai, &amp; D. Boud (Eds.),</w:t>
      </w:r>
      <w:r>
        <w:t xml:space="preserve"> </w:t>
      </w:r>
      <w:r>
        <w:rPr>
          <w:iCs/>
          <w:i/>
        </w:rPr>
        <w:t xml:space="preserve">Re-imagining</w:t>
      </w:r>
      <w:r>
        <w:rPr>
          <w:iCs/>
          <w:i/>
        </w:rPr>
        <w:t xml:space="preserve"> </w:t>
      </w:r>
      <w:r>
        <w:rPr>
          <w:iCs/>
          <w:i/>
        </w:rPr>
        <w:t xml:space="preserve">University Assessment</w:t>
      </w:r>
      <w:r>
        <w:rPr>
          <w:iCs/>
          <w:i/>
        </w:rPr>
        <w:t xml:space="preserve"> </w:t>
      </w:r>
      <w:r>
        <w:rPr>
          <w:iCs/>
          <w:i/>
        </w:rPr>
        <w:t xml:space="preserve">in a</w:t>
      </w:r>
      <w:r>
        <w:rPr>
          <w:iCs/>
          <w:i/>
        </w:rPr>
        <w:t xml:space="preserve"> </w:t>
      </w:r>
      <w:r>
        <w:rPr>
          <w:iCs/>
          <w:i/>
        </w:rPr>
        <w:t xml:space="preserve">Digital World</w:t>
      </w:r>
      <w:r>
        <w:t xml:space="preserve"> </w:t>
      </w:r>
      <w:r>
        <w:t xml:space="preserve">(Vol. 7, pp. 165–178).</w:t>
      </w:r>
      <w:r>
        <w:t xml:space="preserve"> </w:t>
      </w:r>
      <w:r>
        <w:t xml:space="preserve">Springer International Publishing</w:t>
      </w:r>
      <w:r>
        <w:t xml:space="preserve">.</w:t>
      </w:r>
      <w:r>
        <w:t xml:space="preserve"> </w:t>
      </w:r>
      <w:hyperlink r:id="rId58">
        <w:r>
          <w:rPr>
            <w:rStyle w:val="Hyperlink"/>
          </w:rPr>
          <w:t xml:space="preserve">https://doi.org/10.1007/978-3-030-41956-1_12</w:t>
        </w:r>
      </w:hyperlink>
    </w:p>
    <w:bookmarkEnd w:id="59"/>
    <w:bookmarkStart w:id="61" w:name="ref-pellegrinoKnowingWhatStudents2001"/>
    <w:p>
      <w:pPr>
        <w:pStyle w:val="Bibliography"/>
      </w:pPr>
      <w:r>
        <w:t xml:space="preserve">Pellegrino, J. W., Chudowsky, N., &amp; Glaser, 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National Academies Press</w:t>
      </w:r>
      <w:r>
        <w:t xml:space="preserve">.</w:t>
      </w:r>
      <w:r>
        <w:t xml:space="preserve"> </w:t>
      </w:r>
      <w:hyperlink r:id="rId60">
        <w:r>
          <w:rPr>
            <w:rStyle w:val="Hyperlink"/>
          </w:rPr>
          <w:t xml:space="preserve">https://doi.org/10.17226/10019</w:t>
        </w:r>
      </w:hyperlink>
    </w:p>
    <w:bookmarkEnd w:id="61"/>
    <w:bookmarkStart w:id="63" w:name="Xd3220b3c4c74762840488f1ab7714e7e895bc2e"/>
    <w:p>
      <w:pPr>
        <w:pStyle w:val="Bibliography"/>
      </w:pPr>
      <w:r>
        <w:t xml:space="preserve">Pellegrino, J. W., &amp; Quellmalz, E. S. (2010). 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w:t>
      </w:r>
      <w:r>
        <w:t xml:space="preserve"> </w:t>
      </w:r>
      <w:r>
        <w:rPr>
          <w:iCs/>
          <w:i/>
        </w:rPr>
        <w:t xml:space="preserve">43</w:t>
      </w:r>
      <w:r>
        <w:t xml:space="preserve">(2), 119–134.</w:t>
      </w:r>
      <w:r>
        <w:t xml:space="preserve"> </w:t>
      </w:r>
      <w:hyperlink r:id="rId62">
        <w:r>
          <w:rPr>
            <w:rStyle w:val="Hyperlink"/>
          </w:rPr>
          <w:t xml:space="preserve">https://doi.org/ggfh8z</w:t>
        </w:r>
      </w:hyperlink>
    </w:p>
    <w:bookmarkEnd w:id="63"/>
    <w:bookmarkStart w:id="64" w:name="ref-scrivenMethodologyEvaluation1967"/>
    <w:p>
      <w:pPr>
        <w:pStyle w:val="Bibliography"/>
      </w:pPr>
      <w:r>
        <w:t xml:space="preserve">Scriven, M. (1967). The methodology of evaluation. In B. O. Smith (Ed.),</w:t>
      </w:r>
      <w:r>
        <w:t xml:space="preserve"> </w:t>
      </w:r>
      <w:r>
        <w:rPr>
          <w:iCs/>
          <w:i/>
        </w:rPr>
        <w:t xml:space="preserve">Perspectives of curriculum evaluation</w:t>
      </w:r>
      <w:r>
        <w:t xml:space="preserve">.</w:t>
      </w:r>
      <w:r>
        <w:t xml:space="preserve"> </w:t>
      </w:r>
      <w:r>
        <w:t xml:space="preserve">Rand McNally</w:t>
      </w:r>
      <w:r>
        <w:t xml:space="preserve">.</w:t>
      </w:r>
    </w:p>
    <w:bookmarkEnd w:id="64"/>
    <w:bookmarkStart w:id="66" w:name="ref-shepardRoleAssessmentLearning2000"/>
    <w:p>
      <w:pPr>
        <w:pStyle w:val="Bibliography"/>
      </w:pPr>
      <w:r>
        <w:t xml:space="preserve">Shepard, L. A. (2000). 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w:t>
      </w:r>
      <w:r>
        <w:t xml:space="preserve"> </w:t>
      </w:r>
      <w:r>
        <w:rPr>
          <w:iCs/>
          <w:i/>
        </w:rPr>
        <w:t xml:space="preserve">29</w:t>
      </w:r>
      <w:r>
        <w:t xml:space="preserve">(7), 4–14.</w:t>
      </w:r>
      <w:r>
        <w:t xml:space="preserve"> </w:t>
      </w:r>
      <w:hyperlink r:id="rId65">
        <w:r>
          <w:rPr>
            <w:rStyle w:val="Hyperlink"/>
          </w:rPr>
          <w:t xml:space="preserve">https://doi.org/cw9jwc</w:t>
        </w:r>
      </w:hyperlink>
    </w:p>
    <w:bookmarkEnd w:id="66"/>
    <w:bookmarkStart w:id="67" w:name="ref-shute21stCenturyAssessment2010"/>
    <w:p>
      <w:pPr>
        <w:pStyle w:val="Bibliography"/>
      </w:pPr>
      <w:r>
        <w:t xml:space="preserve">Shute, V. J., Dennen, V. P., Kim, Y., Donmez, O., &amp; Wang, C. (2010).</w:t>
      </w:r>
      <w:r>
        <w:t xml:space="preserve"> </w:t>
      </w:r>
      <w:r>
        <w:rPr>
          <w:iCs/>
          <w:i/>
        </w:rPr>
        <w:t xml:space="preserve">21st century assessment to promote 21st century learning:</w:t>
      </w:r>
      <w:r>
        <w:rPr>
          <w:iCs/>
          <w:i/>
        </w:rPr>
        <w:t xml:space="preserve"> </w:t>
      </w:r>
      <w:r>
        <w:rPr>
          <w:iCs/>
          <w:i/>
        </w:rPr>
        <w:t xml:space="preserve">The</w:t>
      </w:r>
      <w:r>
        <w:rPr>
          <w:iCs/>
          <w:i/>
        </w:rPr>
        <w:t xml:space="preserve"> </w:t>
      </w:r>
      <w:r>
        <w:rPr>
          <w:iCs/>
          <w:i/>
        </w:rPr>
        <w:t xml:space="preserve">benefits of blinking</w:t>
      </w:r>
      <w:r>
        <w:t xml:space="preserve">.</w:t>
      </w:r>
    </w:p>
    <w:bookmarkEnd w:id="67"/>
    <w:bookmarkStart w:id="69" w:name="ref-shuteStealthAssessmentCreativity2021"/>
    <w:p>
      <w:pPr>
        <w:pStyle w:val="Bibliography"/>
      </w:pPr>
      <w:r>
        <w:t xml:space="preserve">Shute, V. J., &amp; Rahimi, S. (2021). Stealth assessment of creativity in a physics video game.</w:t>
      </w:r>
      <w:r>
        <w:t xml:space="preserve"> </w:t>
      </w:r>
      <w:r>
        <w:rPr>
          <w:iCs/>
          <w:i/>
        </w:rPr>
        <w:t xml:space="preserve">Computers in Human Behavior</w:t>
      </w:r>
      <w:r>
        <w:t xml:space="preserve">,</w:t>
      </w:r>
      <w:r>
        <w:t xml:space="preserve"> </w:t>
      </w:r>
      <w:r>
        <w:rPr>
          <w:iCs/>
          <w:i/>
        </w:rPr>
        <w:t xml:space="preserve">116</w:t>
      </w:r>
      <w:r>
        <w:t xml:space="preserve">, 106647.</w:t>
      </w:r>
      <w:r>
        <w:t xml:space="preserve"> </w:t>
      </w:r>
      <w:hyperlink r:id="rId68">
        <w:r>
          <w:rPr>
            <w:rStyle w:val="Hyperlink"/>
          </w:rPr>
          <w:t xml:space="preserve">https://doi.org/10.1016/j.chb.2020.106647</w:t>
        </w:r>
      </w:hyperlink>
    </w:p>
    <w:bookmarkEnd w:id="69"/>
    <w:bookmarkStart w:id="70" w:name="ref-skinnerBehaviourOrganisms1938"/>
    <w:p>
      <w:pPr>
        <w:pStyle w:val="Bibliography"/>
      </w:pPr>
      <w:r>
        <w:t xml:space="preserve">Skinner, B. (1938).</w:t>
      </w:r>
      <w:r>
        <w:t xml:space="preserve"> </w:t>
      </w:r>
      <w:r>
        <w:rPr>
          <w:iCs/>
          <w:i/>
        </w:rPr>
        <w:t xml:space="preserve">The behaviour of organisms</w:t>
      </w:r>
      <w:r>
        <w:t xml:space="preserve">.</w:t>
      </w:r>
      <w:r>
        <w:t xml:space="preserve"> </w:t>
      </w:r>
      <w:r>
        <w:t xml:space="preserve">Appleton-Century-Crofts</w:t>
      </w:r>
      <w:r>
        <w:t xml:space="preserve">.</w:t>
      </w:r>
    </w:p>
    <w:bookmarkEnd w:id="70"/>
    <w:bookmarkStart w:id="72" w:name="ref-stadlerFirstEqualsLog2020"/>
    <w:p>
      <w:pPr>
        <w:pStyle w:val="Bibliography"/>
      </w:pPr>
      <w:r>
        <w:t xml:space="preserve">Stadler, M., Hofer, S., &amp; Greiff, S. (2020). First among equals:</w:t>
      </w:r>
      <w:r>
        <w:t xml:space="preserve"> </w:t>
      </w:r>
      <w:r>
        <w:t xml:space="preserve">Log</w:t>
      </w:r>
      <w:r>
        <w:t xml:space="preserve"> </w:t>
      </w:r>
      <w:r>
        <w:t xml:space="preserve">data indicates ability differences despite equal scores.</w:t>
      </w:r>
      <w:r>
        <w:t xml:space="preserve"> </w:t>
      </w:r>
      <w:r>
        <w:rPr>
          <w:iCs/>
          <w:i/>
        </w:rPr>
        <w:t xml:space="preserve">Computers in Human Behavior</w:t>
      </w:r>
      <w:r>
        <w:t xml:space="preserve">,</w:t>
      </w:r>
      <w:r>
        <w:t xml:space="preserve"> </w:t>
      </w:r>
      <w:r>
        <w:rPr>
          <w:iCs/>
          <w:i/>
        </w:rPr>
        <w:t xml:space="preserve">111</w:t>
      </w:r>
      <w:r>
        <w:t xml:space="preserve">, 106442.</w:t>
      </w:r>
      <w:r>
        <w:t xml:space="preserve"> </w:t>
      </w:r>
      <w:hyperlink r:id="rId71">
        <w:r>
          <w:rPr>
            <w:rStyle w:val="Hyperlink"/>
          </w:rPr>
          <w:t xml:space="preserve">https://doi.org/10.1016/j.chb.2020.106442</w:t>
        </w:r>
      </w:hyperlink>
    </w:p>
    <w:bookmarkEnd w:id="72"/>
    <w:bookmarkStart w:id="73" w:name="ref-thorndikeElementsPsychology1905"/>
    <w:p>
      <w:pPr>
        <w:pStyle w:val="Bibliography"/>
      </w:pPr>
      <w:r>
        <w:t xml:space="preserve">Thorndike, E. L. (1905).</w:t>
      </w:r>
      <w:r>
        <w:t xml:space="preserve"> </w:t>
      </w:r>
      <w:r>
        <w:rPr>
          <w:iCs/>
          <w:i/>
        </w:rPr>
        <w:t xml:space="preserve">The</w:t>
      </w:r>
      <w:r>
        <w:rPr>
          <w:iCs/>
          <w:i/>
        </w:rPr>
        <w:t xml:space="preserve"> </w:t>
      </w:r>
      <w:r>
        <w:rPr>
          <w:iCs/>
          <w:i/>
        </w:rPr>
        <w:t xml:space="preserve">Elements</w:t>
      </w:r>
      <w:r>
        <w:rPr>
          <w:iCs/>
          <w:i/>
        </w:rPr>
        <w:t xml:space="preserve"> </w:t>
      </w:r>
      <w:r>
        <w:rPr>
          <w:iCs/>
          <w:i/>
        </w:rPr>
        <w:t xml:space="preserve">of psychology</w:t>
      </w:r>
      <w:r>
        <w:t xml:space="preserve">.</w:t>
      </w:r>
      <w:r>
        <w:t xml:space="preserve"> </w:t>
      </w:r>
      <w:r>
        <w:t xml:space="preserve">A.G. Seiler</w:t>
      </w:r>
      <w:r>
        <w:t xml:space="preserve">.</w:t>
      </w:r>
    </w:p>
    <w:bookmarkEnd w:id="73"/>
    <w:bookmarkStart w:id="75" w:name="X9783eef1c37e492f1192ce9092108eb526b7f44"/>
    <w:p>
      <w:pPr>
        <w:pStyle w:val="Bibliography"/>
      </w:pPr>
      <w:r>
        <w:t xml:space="preserve">Timmis, S., Broadfoot, P., Sutherland, R., &amp; Oldfield, A. (2016). Rethinking assessment in a digital age: Opportunities, challenges and risks.</w:t>
      </w:r>
      <w:r>
        <w:t xml:space="preserve"> </w:t>
      </w:r>
      <w:r>
        <w:rPr>
          <w:iCs/>
          <w:i/>
        </w:rPr>
        <w:t xml:space="preserve">British Educational Research Journal</w:t>
      </w:r>
      <w:r>
        <w:t xml:space="preserve">,</w:t>
      </w:r>
      <w:r>
        <w:t xml:space="preserve"> </w:t>
      </w:r>
      <w:r>
        <w:rPr>
          <w:iCs/>
          <w:i/>
        </w:rPr>
        <w:t xml:space="preserve">42</w:t>
      </w:r>
      <w:r>
        <w:t xml:space="preserve">(3), 454–476.</w:t>
      </w:r>
      <w:r>
        <w:t xml:space="preserve"> </w:t>
      </w:r>
      <w:hyperlink r:id="rId74">
        <w:r>
          <w:rPr>
            <w:rStyle w:val="Hyperlink"/>
          </w:rPr>
          <w:t xml:space="preserve">https://doi.org/gftz95</w:t>
        </w:r>
      </w:hyperlink>
    </w:p>
    <w:bookmarkEnd w:id="75"/>
    <w:bookmarkStart w:id="76" w:name="ref-vygotskyMindSociety1978"/>
    <w:p>
      <w:pPr>
        <w:pStyle w:val="Bibliography"/>
      </w:pPr>
      <w:r>
        <w:t xml:space="preserve">Vygotsky, L. S. (1978).</w:t>
      </w:r>
      <w:r>
        <w:t xml:space="preserve"> </w:t>
      </w:r>
      <w:r>
        <w:rPr>
          <w:iCs/>
          <w:i/>
        </w:rPr>
        <w:t xml:space="preserve">Mind in society</w:t>
      </w:r>
      <w:r>
        <w:t xml:space="preserve"> </w:t>
      </w:r>
      <w:r>
        <w:t xml:space="preserve">(M. Cole, V. John-Steiner, S. Scribner, &amp; E. Souberman, Eds.; A. R. Luria, Trans.).</w:t>
      </w:r>
      <w:r>
        <w:t xml:space="preserve"> </w:t>
      </w:r>
      <w:r>
        <w:t xml:space="preserve">Harvard University Press</w:t>
      </w:r>
      <w:r>
        <w:t xml:space="preserve">.</w:t>
      </w:r>
    </w:p>
    <w:bookmarkEnd w:id="76"/>
    <w:bookmarkStart w:id="77" w:name="ref-woldeab21stCenturyAssessment2019"/>
    <w:p>
      <w:pPr>
        <w:pStyle w:val="Bibliography"/>
      </w:pPr>
      <w:r>
        <w:t xml:space="preserve">Woldeab, D., &amp; Brothen, T. (2019). 21st</w:t>
      </w:r>
      <w:r>
        <w:t xml:space="preserve"> </w:t>
      </w:r>
      <w:r>
        <w:t xml:space="preserve">Century</w:t>
      </w:r>
      <w:r>
        <w:t xml:space="preserve"> </w:t>
      </w:r>
      <w:r>
        <w:t xml:space="preserve">assessment:</w:t>
      </w:r>
      <w:r>
        <w:t xml:space="preserve"> </w:t>
      </w:r>
      <w:r>
        <w:t xml:space="preserve">Online</w:t>
      </w:r>
      <w:r>
        <w:t xml:space="preserve"> </w:t>
      </w:r>
      <w:r>
        <w:t xml:space="preserve">proctoring, test anxiety, and student performance.</w:t>
      </w:r>
      <w:r>
        <w:t xml:space="preserve"> </w:t>
      </w:r>
      <w:r>
        <w:rPr>
          <w:iCs/>
          <w:i/>
        </w:rPr>
        <w:t xml:space="preserve">International Journal of E-Learning &amp; Distance Education</w:t>
      </w:r>
      <w:r>
        <w:t xml:space="preserve">,</w:t>
      </w:r>
      <w:r>
        <w:t xml:space="preserve"> </w:t>
      </w:r>
      <w:r>
        <w:rPr>
          <w:iCs/>
          <w:i/>
        </w:rPr>
        <w:t xml:space="preserve">34</w:t>
      </w:r>
      <w:r>
        <w:t xml:space="preserve">(1).</w:t>
      </w:r>
    </w:p>
    <w:bookmarkEnd w:id="77"/>
    <w:bookmarkEnd w:id="78"/>
    <w:bookmarkEnd w:id="79"/>
    <w:bookmarkEnd w:id="80"/>
    <w:sectPr w:rsidR="00D72BB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38D5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C464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0815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3E97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C25F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9A53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4F1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48F0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2E56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448A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088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BF67FF"/>
    <w:pPr>
      <w:keepNext/>
      <w:keepLines/>
      <w:spacing w:before="240"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autoRedefine/>
    <w:uiPriority w:val="9"/>
    <w:unhideWhenUsed/>
    <w:qFormat/>
    <w:rsid w:val="00BF67FF"/>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autoRedefine/>
    <w:uiPriority w:val="9"/>
    <w:unhideWhenUsed/>
    <w:qFormat/>
    <w:rsid w:val="00BF67FF"/>
    <w:pPr>
      <w:keepNext/>
      <w:keepLines/>
      <w:spacing w:before="200"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autoRedefine/>
    <w:uiPriority w:val="9"/>
    <w:unhideWhenUsed/>
    <w:qFormat/>
    <w:rsid w:val="00BF67FF"/>
    <w:pPr>
      <w:keepNext/>
      <w:keepLines/>
      <w:spacing w:before="200"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autoRedefine/>
    <w:uiPriority w:val="9"/>
    <w:unhideWhenUsed/>
    <w:qFormat/>
    <w:rsid w:val="00BF67FF"/>
    <w:pPr>
      <w:keepNext/>
      <w:keepLines/>
      <w:spacing w:before="200"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96503B"/>
    <w:pPr>
      <w:spacing w:after="0" w:line="480" w:lineRule="auto"/>
      <w:ind w:firstLine="720"/>
    </w:pPr>
    <w:rPr>
      <w:rFonts w:ascii="Times New Roman" w:hAnsi="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aliases w:val="H1"/>
    <w:basedOn w:val="Normal"/>
    <w:next w:val="BodyText"/>
    <w:qFormat/>
    <w:rsid w:val="002C7438"/>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autoRedefine/>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96503B"/>
    <w:rPr>
      <w:rFonts w:ascii="Times New Roman" w:hAnsi="Times New Roman"/>
      <w:color w:val="000000" w:themeColor="tex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doi.org/10.1007/978-3-030-41956-1_12" TargetMode="External" /><Relationship Type="http://schemas.openxmlformats.org/officeDocument/2006/relationships/hyperlink" Id="rId52" Target="https://doi.org/10.1007/978-3-030-41956-1_13" TargetMode="External" /><Relationship Type="http://schemas.openxmlformats.org/officeDocument/2006/relationships/hyperlink" Id="rId56" Target="https://doi.org/10.1007/978-3-030-41956-1_9" TargetMode="External" /><Relationship Type="http://schemas.openxmlformats.org/officeDocument/2006/relationships/hyperlink" Id="rId40" Target="https://doi.org/10.1007/978-3-319-17727-4_64-1" TargetMode="External" /><Relationship Type="http://schemas.openxmlformats.org/officeDocument/2006/relationships/hyperlink" Id="rId71" Target="https://doi.org/10.1016/j.chb.2020.106442" TargetMode="External" /><Relationship Type="http://schemas.openxmlformats.org/officeDocument/2006/relationships/hyperlink" Id="rId68" Target="https://doi.org/10.1016/j.chb.2020.106647" TargetMode="External" /><Relationship Type="http://schemas.openxmlformats.org/officeDocument/2006/relationships/hyperlink" Id="rId60" Target="https://doi.org/10.17226/10019" TargetMode="External" /><Relationship Type="http://schemas.openxmlformats.org/officeDocument/2006/relationships/hyperlink" Id="rId65" Target="https://doi.org/cw9jwc" TargetMode="External" /><Relationship Type="http://schemas.openxmlformats.org/officeDocument/2006/relationships/hyperlink" Id="rId35" Target="https://doi.org/drgphk" TargetMode="External" /><Relationship Type="http://schemas.openxmlformats.org/officeDocument/2006/relationships/hyperlink" Id="rId44" Target="https://doi.org/dvd8nf" TargetMode="External" /><Relationship Type="http://schemas.openxmlformats.org/officeDocument/2006/relationships/hyperlink" Id="rId37" Target="https://doi.org/fpnss4" TargetMode="External" /><Relationship Type="http://schemas.openxmlformats.org/officeDocument/2006/relationships/hyperlink" Id="rId74" Target="https://doi.org/gftz95" TargetMode="External" /><Relationship Type="http://schemas.openxmlformats.org/officeDocument/2006/relationships/hyperlink" Id="rId62" Target="https://doi.org/ggfh8z" TargetMode="External" /><Relationship Type="http://schemas.openxmlformats.org/officeDocument/2006/relationships/hyperlink" Id="rId42" Target="https://doi.org/gh5k4z" TargetMode="External" /><Relationship Type="http://schemas.openxmlformats.org/officeDocument/2006/relationships/hyperlink" Id="rId48" Target="https://doi.org/ghjw3k" TargetMode="External" /><Relationship Type="http://schemas.openxmlformats.org/officeDocument/2006/relationships/hyperlink" Id="rId50" Target="https://doi.org/gj5ngz" TargetMode="External" /><Relationship Type="http://schemas.openxmlformats.org/officeDocument/2006/relationships/hyperlink" Id="rId54" Target="https://doi.org/gjm236" TargetMode="External" /></Relationships>
</file>

<file path=word/_rels/footnotes.xml.rels><?xml version="1.0" encoding="UTF-8"?>
<Relationships xmlns="http://schemas.openxmlformats.org/package/2006/relationships"><Relationship Type="http://schemas.openxmlformats.org/officeDocument/2006/relationships/hyperlink" Id="rId58" Target="https://doi.org/10.1007/978-3-030-41956-1_12" TargetMode="External" /><Relationship Type="http://schemas.openxmlformats.org/officeDocument/2006/relationships/hyperlink" Id="rId52" Target="https://doi.org/10.1007/978-3-030-41956-1_13" TargetMode="External" /><Relationship Type="http://schemas.openxmlformats.org/officeDocument/2006/relationships/hyperlink" Id="rId56" Target="https://doi.org/10.1007/978-3-030-41956-1_9" TargetMode="External" /><Relationship Type="http://schemas.openxmlformats.org/officeDocument/2006/relationships/hyperlink" Id="rId40" Target="https://doi.org/10.1007/978-3-319-17727-4_64-1" TargetMode="External" /><Relationship Type="http://schemas.openxmlformats.org/officeDocument/2006/relationships/hyperlink" Id="rId71" Target="https://doi.org/10.1016/j.chb.2020.106442" TargetMode="External" /><Relationship Type="http://schemas.openxmlformats.org/officeDocument/2006/relationships/hyperlink" Id="rId68" Target="https://doi.org/10.1016/j.chb.2020.106647" TargetMode="External" /><Relationship Type="http://schemas.openxmlformats.org/officeDocument/2006/relationships/hyperlink" Id="rId60" Target="https://doi.org/10.17226/10019" TargetMode="External" /><Relationship Type="http://schemas.openxmlformats.org/officeDocument/2006/relationships/hyperlink" Id="rId65" Target="https://doi.org/cw9jwc" TargetMode="External" /><Relationship Type="http://schemas.openxmlformats.org/officeDocument/2006/relationships/hyperlink" Id="rId35" Target="https://doi.org/drgphk" TargetMode="External" /><Relationship Type="http://schemas.openxmlformats.org/officeDocument/2006/relationships/hyperlink" Id="rId44" Target="https://doi.org/dvd8nf" TargetMode="External" /><Relationship Type="http://schemas.openxmlformats.org/officeDocument/2006/relationships/hyperlink" Id="rId37" Target="https://doi.org/fpnss4" TargetMode="External" /><Relationship Type="http://schemas.openxmlformats.org/officeDocument/2006/relationships/hyperlink" Id="rId74" Target="https://doi.org/gftz95" TargetMode="External" /><Relationship Type="http://schemas.openxmlformats.org/officeDocument/2006/relationships/hyperlink" Id="rId62" Target="https://doi.org/ggfh8z" TargetMode="External" /><Relationship Type="http://schemas.openxmlformats.org/officeDocument/2006/relationships/hyperlink" Id="rId42" Target="https://doi.org/gh5k4z" TargetMode="External" /><Relationship Type="http://schemas.openxmlformats.org/officeDocument/2006/relationships/hyperlink" Id="rId48" Target="https://doi.org/ghjw3k" TargetMode="External" /><Relationship Type="http://schemas.openxmlformats.org/officeDocument/2006/relationships/hyperlink" Id="rId50" Target="https://doi.org/gj5ngz" TargetMode="External" /><Relationship Type="http://schemas.openxmlformats.org/officeDocument/2006/relationships/hyperlink" Id="rId54" Target="https://doi.org/gjm2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2022-03-27T06:28:56Z</dcterms:created>
  <dcterms:modified xsi:type="dcterms:W3CDTF">2022-03-27T06:28:56Z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2022-03-26</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