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Approaches</w:t>
      </w:r>
      <w:r>
        <w:t xml:space="preserve"> </w:t>
      </w:r>
      <w:r>
        <w:t xml:space="preserve">to</w:t>
      </w:r>
      <w:r>
        <w:t xml:space="preserve"> </w:t>
      </w:r>
      <w:r>
        <w:t xml:space="preserve">Assessment</w:t>
      </w:r>
      <w:r>
        <w:t xml:space="preserve"> </w:t>
      </w:r>
      <w:r>
        <w:t xml:space="preserve">in</w:t>
      </w:r>
      <w:r>
        <w:t xml:space="preserve"> </w:t>
      </w:r>
      <w:r>
        <w:t xml:space="preserve">Higher</w:t>
      </w:r>
      <w:r>
        <w:t xml:space="preserve"> </w:t>
      </w:r>
      <w:r>
        <w:t xml:space="preserve">Education</w:t>
      </w:r>
    </w:p>
    <w:p>
      <w:pPr>
        <w:pStyle w:val="Author"/>
      </w:pPr>
      <w:r>
        <w:t xml:space="preserve">Colin</w:t>
      </w:r>
      <w:r>
        <w:t xml:space="preserve"> </w:t>
      </w:r>
      <w:r>
        <w:t xml:space="preserve">Madland</w:t>
      </w:r>
    </w:p>
    <w:p>
      <w:pPr>
        <w:pStyle w:val="Date"/>
      </w:pPr>
      <w:r>
        <w:t xml:space="preserve">2022-05-26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73" w:name="X54e1fb3cc3c88863a47e81a3913584c288682be"/>
    <w:p>
      <w:pPr>
        <w:pStyle w:val="Heading1"/>
      </w:pPr>
      <w:r>
        <w:t xml:space="preserve">A Review of the Literature on Assessment in Technology-mediated Higher Education</w:t>
      </w:r>
    </w:p>
    <w:p>
      <w:pPr>
        <w:numPr>
          <w:ilvl w:val="0"/>
          <w:numId w:val="1001"/>
        </w:numPr>
        <w:pStyle w:val="Compact"/>
      </w:pPr>
      <w:hyperlink w:anchor="X7fd4517881c86d3c991248d7f81971caa6af0b4">
        <w:r>
          <w:rPr>
            <w:rStyle w:val="Hyperlink"/>
          </w:rPr>
          <w:t xml:space="preserve">A Review of the Literature on Assessment in Technology-mediated Higher Education {-}</w:t>
        </w:r>
      </w:hyperlink>
    </w:p>
    <w:p>
      <w:pPr>
        <w:numPr>
          <w:ilvl w:val="1"/>
          <w:numId w:val="1002"/>
        </w:numPr>
        <w:pStyle w:val="Compact"/>
      </w:pPr>
      <w:hyperlink w:anchor="introduction">
        <w:r>
          <w:rPr>
            <w:rStyle w:val="Hyperlink"/>
          </w:rPr>
          <w:t xml:space="preserve">Introduction</w:t>
        </w:r>
      </w:hyperlink>
    </w:p>
    <w:p>
      <w:pPr>
        <w:numPr>
          <w:ilvl w:val="1"/>
          <w:numId w:val="1002"/>
        </w:numPr>
        <w:pStyle w:val="Compact"/>
      </w:pPr>
      <w:hyperlink w:anchor="a-brief-history-of-assessment-research">
        <w:r>
          <w:rPr>
            <w:rStyle w:val="Hyperlink"/>
          </w:rPr>
          <w:t xml:space="preserve">A Brief History of Assessment Research</w:t>
        </w:r>
      </w:hyperlink>
    </w:p>
    <w:p>
      <w:pPr>
        <w:numPr>
          <w:ilvl w:val="1"/>
          <w:numId w:val="1002"/>
        </w:numPr>
        <w:pStyle w:val="Compact"/>
      </w:pPr>
      <w:hyperlink w:anchor="factors">
        <w:r>
          <w:rPr>
            <w:rStyle w:val="Hyperlink"/>
          </w:rPr>
          <w:t xml:space="preserve">Factors</w:t>
        </w:r>
      </w:hyperlink>
    </w:p>
    <w:bookmarkStart w:id="20" w:name="introduction"/>
    <w:p>
      <w:pPr>
        <w:pStyle w:val="Heading2"/>
      </w:pPr>
      <w:r>
        <w:rPr>
          <w:rStyle w:val="SectionNumber"/>
        </w:rPr>
        <w:t xml:space="preserve">0.1</w:t>
      </w:r>
      <w:r>
        <w:tab/>
      </w:r>
      <w:r>
        <w:t xml:space="preserve">Introduction</w:t>
      </w:r>
    </w:p>
    <w:p>
      <w:pPr>
        <w:pStyle w:val="FirstParagraph"/>
      </w:pPr>
      <w:r>
        <w:t xml:space="preserve">The assessment of learning is a critical component of the work of higher education instructors, yet not enough is known about how instructors plan for and make decisions about how they will assess their students’ learning. In her important article, Shepard</w:t>
      </w:r>
      <w:r>
        <w:t xml:space="preserve"> </w:t>
      </w:r>
      <w:r>
        <w:t xml:space="preserve">(</w:t>
      </w:r>
      <w:hyperlink w:anchor="ref-shepardRoleAssessmentLearning2000">
        <w:r>
          <w:rPr>
            <w:rStyle w:val="Hyperlink"/>
          </w:rPr>
          <w:t xml:space="preserve">2000</w:t>
        </w:r>
      </w:hyperlink>
      <w:r>
        <w:t xml:space="preserve">)</w:t>
      </w:r>
      <w:r>
        <w:t xml:space="preserve"> </w:t>
      </w:r>
      <w:r>
        <w:t xml:space="preserve">argues that traditional assessment structures originated in past models of curriculum and instruction which were popular in the early 1900s. These curricular models emphasized the work of psychologists like Thorndike</w:t>
      </w:r>
      <w:r>
        <w:t xml:space="preserve"> </w:t>
      </w:r>
      <w:r>
        <w:t xml:space="preserve">(</w:t>
      </w:r>
      <w:hyperlink w:anchor="ref-thorndikeElementsPsychology1905">
        <w:r>
          <w:rPr>
            <w:rStyle w:val="Hyperlink"/>
          </w:rPr>
          <w:t xml:space="preserve">Thorndike, 1905</w:t>
        </w:r>
      </w:hyperlink>
      <w:r>
        <w:t xml:space="preserve">)</w:t>
      </w:r>
      <w:r>
        <w:t xml:space="preserve"> </w:t>
      </w:r>
      <w:r>
        <w:t xml:space="preserve">and Skinner</w:t>
      </w:r>
      <w:r>
        <w:t xml:space="preserve"> </w:t>
      </w:r>
      <w:r>
        <w:t xml:space="preserve">(</w:t>
      </w:r>
      <w:hyperlink w:anchor="ref-skinnerBehaviourOrganisms1938">
        <w:r>
          <w:rPr>
            <w:rStyle w:val="Hyperlink"/>
          </w:rPr>
          <w:t xml:space="preserve">Skinner, 1938</w:t>
        </w:r>
      </w:hyperlink>
      <w:r>
        <w:t xml:space="preserve">)</w:t>
      </w:r>
      <w:r>
        <w:t xml:space="preserve"> </w:t>
      </w:r>
      <w:r>
        <w:t xml:space="preserve">who viewed the process of learning as being grounded in the mechanistic view of behaviourism where learning is the result of the precise and controlled input of</w:t>
      </w:r>
      <w:r>
        <w:t xml:space="preserve"> </w:t>
      </w:r>
      <w:r>
        <w:t xml:space="preserve">‘</w:t>
      </w:r>
      <w:r>
        <w:t xml:space="preserve">knowledge</w:t>
      </w:r>
      <w:r>
        <w:t xml:space="preserve">’</w:t>
      </w:r>
      <w:r>
        <w:t xml:space="preserve"> </w:t>
      </w:r>
      <w:r>
        <w:t xml:space="preserve">and reinforced with rewards for correct responses. As such, instructors (appropriately) designed their assessments to align with the curricular goals of the time and assessed learning by determining whether or not a learner could provide the single correct response to a given question at a time removed from the instruction. However, in the latter half of the 20th century, when western psychologists discovered the ideas of Lev Vygotsky</w:t>
      </w:r>
      <w:r>
        <w:t xml:space="preserve">(</w:t>
      </w:r>
      <w:hyperlink w:anchor="ref-vygotskyMindSociety1978">
        <w:r>
          <w:rPr>
            <w:rStyle w:val="Hyperlink"/>
          </w:rPr>
          <w:t xml:space="preserve">Vygotsky, 1978</w:t>
        </w:r>
      </w:hyperlink>
      <w:r>
        <w:t xml:space="preserve">)</w:t>
      </w:r>
      <w:r>
        <w:t xml:space="preserve">, a contemporary of the previously mentioned psychologists, curricula began to take a more social-constructivist approach that emphasized higher-order thinking, problem-solving in social contexts, and metacognitive skills over rote memorization. Unfortunately, it seemed that the efficiencies of testing memory, recognition, and recall through selected-response tests were too deeply embedded in the practices of HE instructors who resisted changing their assessments to match the new curricular goals.</w:t>
      </w:r>
    </w:p>
    <w:p>
      <w:pPr>
        <w:pStyle w:val="BodyText"/>
      </w:pPr>
      <w:r>
        <w:t xml:space="preserve">Shepard argues for the need to integrate assessment and instruction in such a way as to engage learners in authentic performance tasks more suited to modern understandings of cognition. It appears now that, in the twenty years since Shepard wrote her paper, the goals of early 21st century curricula have continued to diverge from those of the 20th century with the World Economic Forum identifying competencies in collaboration, analytical thinking, creative problem-solving, and the continual learning as being priorities for 21st century employers</w:t>
      </w:r>
      <w:r>
        <w:t xml:space="preserve"> </w:t>
      </w:r>
      <w:r>
        <w:t xml:space="preserve">(</w:t>
      </w:r>
      <w:hyperlink w:anchor="Xaf0f34faf6db1662e8da0b9850d3b9cfe5dbeed">
        <w:r>
          <w:rPr>
            <w:rStyle w:val="Hyperlink"/>
          </w:rPr>
          <w:t xml:space="preserve">Forum, 2020</w:t>
        </w:r>
      </w:hyperlink>
      <w:r>
        <w:t xml:space="preserve">)</w:t>
      </w:r>
      <w:r>
        <w:t xml:space="preserve">. Consequently, models of assessment which prioritize testing skills in a manner aligned with 20th century curricular models are no longer adequate because they no longer align with the priorities of modern HE</w:t>
      </w:r>
      <w:r>
        <w:t xml:space="preserve"> </w:t>
      </w:r>
      <w:r>
        <w:t xml:space="preserve">(</w:t>
      </w:r>
      <w:hyperlink w:anchor="X51a879b1b801bbc5ad6e7fc588f4456f2973b2d">
        <w:r>
          <w:rPr>
            <w:rStyle w:val="Hyperlink"/>
          </w:rPr>
          <w:t xml:space="preserve">Broadfoot, 2016</w:t>
        </w:r>
      </w:hyperlink>
      <w:r>
        <w:t xml:space="preserve">;</w:t>
      </w:r>
      <w:r>
        <w:t xml:space="preserve"> </w:t>
      </w:r>
      <w:hyperlink w:anchor="ref-crooksImpactClassroomEvaluation1988">
        <w:r>
          <w:rPr>
            <w:rStyle w:val="Hyperlink"/>
          </w:rPr>
          <w:t xml:space="preserve">Crooks, 1988</w:t>
        </w:r>
      </w:hyperlink>
      <w:r>
        <w:t xml:space="preserve">;</w:t>
      </w:r>
      <w:r>
        <w:t xml:space="preserve"> </w:t>
      </w:r>
      <w:hyperlink w:anchor="Xd3220b3c4c74762840488f1ab7714e7e895bc2e">
        <w:r>
          <w:rPr>
            <w:rStyle w:val="Hyperlink"/>
          </w:rPr>
          <w:t xml:space="preserve">Pellegrino &amp; Quellmalz, 2010</w:t>
        </w:r>
      </w:hyperlink>
      <w:r>
        <w:t xml:space="preserve">;</w:t>
      </w:r>
      <w:r>
        <w:t xml:space="preserve"> </w:t>
      </w:r>
      <w:hyperlink w:anchor="X9783eef1c37e492f1192ce9092108eb526b7f44">
        <w:r>
          <w:rPr>
            <w:rStyle w:val="Hyperlink"/>
          </w:rPr>
          <w:t xml:space="preserve">Timmis et al., 2016</w:t>
        </w:r>
      </w:hyperlink>
      <w:r>
        <w:t xml:space="preserve">)</w:t>
      </w:r>
      <w:r>
        <w:t xml:space="preserve">.</w:t>
      </w:r>
    </w:p>
    <w:p>
      <w:pPr>
        <w:pStyle w:val="BodyText"/>
      </w:pPr>
      <w:r>
        <w:t xml:space="preserve">Despite Shepard’s exhortation to integrate modern curricular goals with aligned assessment practices, both local and systemic change in this area has been elusive</w:t>
      </w:r>
      <w:r>
        <w:t xml:space="preserve"> </w:t>
      </w:r>
      <w:r>
        <w:t xml:space="preserve">(</w:t>
      </w:r>
      <w:hyperlink w:anchor="X51a879b1b801bbc5ad6e7fc588f4456f2973b2d">
        <w:r>
          <w:rPr>
            <w:rStyle w:val="Hyperlink"/>
          </w:rPr>
          <w:t xml:space="preserve">Broadfoot, 2016</w:t>
        </w:r>
      </w:hyperlink>
      <w:r>
        <w:t xml:space="preserve">;</w:t>
      </w:r>
      <w:r>
        <w:t xml:space="preserve"> </w:t>
      </w:r>
      <w:hyperlink w:anchor="ref-earlAssessmentLearningUsing2013">
        <w:r>
          <w:rPr>
            <w:rStyle w:val="Hyperlink"/>
          </w:rPr>
          <w:t xml:space="preserve">Earl, 2013</w:t>
        </w:r>
      </w:hyperlink>
      <w:r>
        <w:t xml:space="preserve">)</w:t>
      </w:r>
      <w:r>
        <w:t xml:space="preserve">. This is in part because the approaches that individual instructors take to assessment are driven by complex factors at the individual level as well as local and systemic levels</w:t>
      </w:r>
      <w:r>
        <w:t xml:space="preserve"> </w:t>
      </w:r>
      <w:r>
        <w:t xml:space="preserve">(</w:t>
      </w:r>
      <w:hyperlink w:anchor="ref-blackAssessmentClassroomLearning1998">
        <w:r>
          <w:rPr>
            <w:rStyle w:val="Hyperlink"/>
          </w:rPr>
          <w:t xml:space="preserve">Black &amp; Wiliam, 1998</w:t>
        </w:r>
      </w:hyperlink>
      <w:r>
        <w:t xml:space="preserve">;</w:t>
      </w:r>
      <w:r>
        <w:t xml:space="preserve"> </w:t>
      </w:r>
      <w:hyperlink w:anchor="ref-delucaDifferentialSituatedView2019">
        <w:r>
          <w:rPr>
            <w:rStyle w:val="Hyperlink"/>
          </w:rPr>
          <w:t xml:space="preserve">DeLuca et al., 2019</w:t>
        </w:r>
      </w:hyperlink>
      <w:r>
        <w:t xml:space="preserve">;</w:t>
      </w:r>
      <w:r>
        <w:t xml:space="preserve"> </w:t>
      </w:r>
      <w:hyperlink w:anchor="X731be6e2e0895c79e0f034fc829fd623ca4b0d3">
        <w:r>
          <w:rPr>
            <w:rStyle w:val="Hyperlink"/>
          </w:rPr>
          <w:t xml:space="preserve">Willis et al., 2013</w:t>
        </w:r>
      </w:hyperlink>
      <w:r>
        <w:t xml:space="preserve">)</w:t>
      </w:r>
      <w:r>
        <w:t xml:space="preserve">. The variety of factors, combined with the relative freedom instructors have to design their courses and assessments leads to approaches to assessment that are variable, idiosyncratic, and often influenced by their own past experiences rather than a deep understanding of assessment theory</w:t>
      </w:r>
      <w:r>
        <w:t xml:space="preserve"> </w:t>
      </w:r>
      <w:r>
        <w:t xml:space="preserve">(</w:t>
      </w:r>
      <w:hyperlink w:anchor="ref-lipnevichWhatGradesMean2020">
        <w:r>
          <w:rPr>
            <w:rStyle w:val="Hyperlink"/>
          </w:rPr>
          <w:t xml:space="preserve">Lipnevich et al., 2020</w:t>
        </w:r>
      </w:hyperlink>
      <w:r>
        <w:t xml:space="preserve">;</w:t>
      </w:r>
      <w:r>
        <w:t xml:space="preserve"> </w:t>
      </w:r>
      <w:hyperlink w:anchor="ref-masseyAssessmentLiteracyCollege2020">
        <w:r>
          <w:rPr>
            <w:rStyle w:val="Hyperlink"/>
          </w:rPr>
          <w:t xml:space="preserve">Massey et al., 2020</w:t>
        </w:r>
      </w:hyperlink>
      <w:r>
        <w:t xml:space="preserve">)</w:t>
      </w:r>
      <w:r>
        <w:t xml:space="preserve">.</w:t>
      </w:r>
    </w:p>
    <w:p>
      <w:pPr>
        <w:pStyle w:val="BodyText"/>
      </w:pPr>
      <w:r>
        <w:t xml:space="preserve">One prominent and under-researched factor that has become ubiquitous in society and higher education is the influence of digital technologies on instructors approaches to assessment</w:t>
      </w:r>
      <w:r>
        <w:t xml:space="preserve"> </w:t>
      </w:r>
      <w:r>
        <w:t xml:space="preserve">(</w:t>
      </w:r>
      <w:hyperlink w:anchor="X51a879b1b801bbc5ad6e7fc588f4456f2973b2d">
        <w:r>
          <w:rPr>
            <w:rStyle w:val="Hyperlink"/>
          </w:rPr>
          <w:t xml:space="preserve">Broadfoot, 2016</w:t>
        </w:r>
      </w:hyperlink>
      <w:r>
        <w:t xml:space="preserve">;</w:t>
      </w:r>
      <w:r>
        <w:t xml:space="preserve"> </w:t>
      </w:r>
      <w:hyperlink w:anchor="Xd3220b3c4c74762840488f1ab7714e7e895bc2e">
        <w:r>
          <w:rPr>
            <w:rStyle w:val="Hyperlink"/>
          </w:rPr>
          <w:t xml:space="preserve">Pellegrino &amp; Quellmalz, 2010</w:t>
        </w:r>
      </w:hyperlink>
      <w:r>
        <w:t xml:space="preserve">;</w:t>
      </w:r>
      <w:r>
        <w:t xml:space="preserve"> </w:t>
      </w:r>
      <w:hyperlink w:anchor="ref-webbAssessmentTwentyFirstCentury2018">
        <w:r>
          <w:rPr>
            <w:rStyle w:val="Hyperlink"/>
          </w:rPr>
          <w:t xml:space="preserve">Webb &amp; Ifenthaler, 2018</w:t>
        </w:r>
      </w:hyperlink>
      <w:r>
        <w:t xml:space="preserve">)</w:t>
      </w:r>
      <w:r>
        <w:t xml:space="preserve">, a factor driven, in part, by the COVID-19 pandemic and the sudden shift to emergency remote teaching for the vast majority of higher education institutions.</w:t>
      </w:r>
    </w:p>
    <w:p>
      <w:pPr>
        <w:pStyle w:val="BodyText"/>
      </w:pPr>
      <w:r>
        <w:t xml:space="preserve">Researchers are engaged in important work exploring how K12 teachers approach assessment in their classrooms, including DeLuca et al.’s</w:t>
      </w:r>
      <w:r>
        <w:t xml:space="preserve"> </w:t>
      </w:r>
      <w:r>
        <w:t xml:space="preserve">(</w:t>
      </w:r>
      <w:hyperlink w:anchor="Xedee9bc10fe7ddda531b14b05542852ae9f5f1e">
        <w:r>
          <w:rPr>
            <w:rStyle w:val="Hyperlink"/>
          </w:rPr>
          <w:t xml:space="preserve">2016</w:t>
        </w:r>
      </w:hyperlink>
      <w:r>
        <w:t xml:space="preserve">)</w:t>
      </w:r>
      <w:r>
        <w:t xml:space="preserve"> </w:t>
      </w:r>
      <w:r>
        <w:rPr>
          <w:iCs/>
          <w:i/>
        </w:rPr>
        <w:t xml:space="preserve">Approaches to Classroom Assessment Inventory</w:t>
      </w:r>
      <w:r>
        <w:t xml:space="preserve">, but there has been less work in relation to technology-mediated higher education.</w:t>
      </w:r>
    </w:p>
    <w:p>
      <w:pPr>
        <w:pStyle w:val="BodyText"/>
      </w:pPr>
      <w:r>
        <w:t xml:space="preserve">Given the confluence of the preceding factors, the purpose of this literature review will be to synthesize and analyze the literature related to approaches to assessment among higher education instructors. The review will begin with a survey of historical conceptions of assessment, followed by a deeper analysis of the literature since 2010 with a focus on assessment in technologically-mediated higher education.</w:t>
      </w:r>
    </w:p>
    <w:p>
      <w:pPr>
        <w:pStyle w:val="BodyText"/>
      </w:pPr>
      <w:r>
        <w:t xml:space="preserve">This review is guided by four research questions:</w:t>
      </w:r>
    </w:p>
    <w:p>
      <w:pPr>
        <w:numPr>
          <w:ilvl w:val="0"/>
          <w:numId w:val="1003"/>
        </w:numPr>
        <w:pStyle w:val="Compact"/>
      </w:pPr>
      <w:r>
        <w:t xml:space="preserve">What factors shape higher education instructors’ approaches to assessment?</w:t>
      </w:r>
    </w:p>
    <w:p>
      <w:pPr>
        <w:numPr>
          <w:ilvl w:val="0"/>
          <w:numId w:val="1003"/>
        </w:numPr>
        <w:pStyle w:val="Compact"/>
      </w:pPr>
      <w:r>
        <w:t xml:space="preserve">What are the major themes or patterns in the literature related to approaches to assessment in higher education?</w:t>
      </w:r>
      <w:r>
        <w:br/>
      </w:r>
    </w:p>
    <w:p>
      <w:pPr>
        <w:numPr>
          <w:ilvl w:val="0"/>
          <w:numId w:val="1003"/>
        </w:numPr>
        <w:pStyle w:val="Compact"/>
      </w:pPr>
      <w:r>
        <w:t xml:space="preserve">What are the major themes or patterns in the literature related to the impact of technology on assessment in higher education?</w:t>
      </w:r>
      <w:r>
        <w:br/>
      </w:r>
    </w:p>
    <w:p>
      <w:pPr>
        <w:numPr>
          <w:ilvl w:val="0"/>
          <w:numId w:val="1003"/>
        </w:numPr>
        <w:pStyle w:val="Compact"/>
      </w:pPr>
      <w:r>
        <w:t xml:space="preserve">What gaps exist in the literature related to approaches to assessment in technology-mediated higher education?</w:t>
      </w:r>
    </w:p>
    <w:bookmarkEnd w:id="20"/>
    <w:bookmarkStart w:id="21" w:name="a-brief-history-of-assessment-research"/>
    <w:p>
      <w:pPr>
        <w:pStyle w:val="Heading2"/>
      </w:pPr>
      <w:r>
        <w:rPr>
          <w:rStyle w:val="SectionNumber"/>
        </w:rPr>
        <w:t xml:space="preserve">0.2</w:t>
      </w:r>
      <w:r>
        <w:tab/>
      </w:r>
      <w:r>
        <w:t xml:space="preserve">A Brief History of Assessment Research</w:t>
      </w:r>
    </w:p>
    <w:p>
      <w:pPr>
        <w:pStyle w:val="FirstParagraph"/>
      </w:pPr>
      <w:r>
        <w:t xml:space="preserve">There are deep and rich bodies of literature addressing educational assessment</w:t>
      </w:r>
      <w:r>
        <w:t xml:space="preserve"> </w:t>
      </w:r>
      <w:r>
        <w:rPr>
          <w:iCs/>
          <w:i/>
        </w:rPr>
        <w:t xml:space="preserve">writ large</w:t>
      </w:r>
      <w:r>
        <w:t xml:space="preserve">, and it would not be possible in the scope of this article to adequately cover the full breadth and depth of the published research</w:t>
      </w:r>
      <w:r>
        <w:t xml:space="preserve"> </w:t>
      </w:r>
      <w:r>
        <w:t xml:space="preserve">(</w:t>
      </w:r>
      <w:hyperlink w:anchor="X2997c928acaf5e247ad3a813d62dfa653f9bffa">
        <w:r>
          <w:rPr>
            <w:rStyle w:val="Hyperlink"/>
          </w:rPr>
          <w:t xml:space="preserve">Joughin, 2009</w:t>
        </w:r>
      </w:hyperlink>
      <w:r>
        <w:t xml:space="preserve">)</w:t>
      </w:r>
      <w:r>
        <w:t xml:space="preserve">. Consequently, while any starting point may seem somewhat arbitrary, the author chose to begin with the genesis of modern thinking of assessment being divided into</w:t>
      </w:r>
      <w:r>
        <w:t xml:space="preserve"> </w:t>
      </w:r>
      <w:r>
        <w:t xml:space="preserve">“</w:t>
      </w:r>
      <w:r>
        <w:t xml:space="preserve">summative assessment</w:t>
      </w:r>
      <w:r>
        <w:t xml:space="preserve">”</w:t>
      </w:r>
      <w:r>
        <w:t xml:space="preserve"> </w:t>
      </w:r>
      <w:r>
        <w:t xml:space="preserve">(for the purposes of providing a final judgement of learning) and</w:t>
      </w:r>
      <w:r>
        <w:t xml:space="preserve"> </w:t>
      </w:r>
      <w:r>
        <w:t xml:space="preserve">“</w:t>
      </w:r>
      <w:r>
        <w:t xml:space="preserve">formative assessment</w:t>
      </w:r>
      <w:r>
        <w:t xml:space="preserve">”</w:t>
      </w:r>
      <w:r>
        <w:t xml:space="preserve"> </w:t>
      </w:r>
      <w:r>
        <w:t xml:space="preserve">(for the purposes of providing feedback to learners and instructors to improve learning). This framing of assessment was popularized by Benjamin Bloom and remains prominent in the literature.</w:t>
      </w:r>
    </w:p>
    <w:p>
      <w:pPr>
        <w:pStyle w:val="BodyText"/>
      </w:pPr>
      <w:r>
        <w:t xml:space="preserve">Among the more influential publications related to modern views of assessment (then usually called</w:t>
      </w:r>
      <w:r>
        <w:t xml:space="preserve"> </w:t>
      </w:r>
      <w:r>
        <w:t xml:space="preserve">“</w:t>
      </w:r>
      <w:r>
        <w:t xml:space="preserve">evaluation</w:t>
      </w:r>
      <w:r>
        <w:t xml:space="preserve">”</w:t>
      </w:r>
      <w:r>
        <w:t xml:space="preserve">) was Scriven’s</w:t>
      </w:r>
      <w:r>
        <w:t xml:space="preserve"> </w:t>
      </w:r>
      <w:r>
        <w:t xml:space="preserve">(</w:t>
      </w:r>
      <w:hyperlink w:anchor="ref-scrivenMethodologyEvaluation1967">
        <w:r>
          <w:rPr>
            <w:rStyle w:val="Hyperlink"/>
          </w:rPr>
          <w:t xml:space="preserve">1967</w:t>
        </w:r>
      </w:hyperlink>
      <w:r>
        <w:t xml:space="preserve">)</w:t>
      </w:r>
      <w:r>
        <w:t xml:space="preserve"> </w:t>
      </w:r>
      <w:r>
        <w:t xml:space="preserve">article in which he drew distinctions between</w:t>
      </w:r>
      <w:r>
        <w:t xml:space="preserve"> </w:t>
      </w:r>
      <w:r>
        <w:t xml:space="preserve">“</w:t>
      </w:r>
      <w:r>
        <w:t xml:space="preserve">formative</w:t>
      </w:r>
      <w:r>
        <w:t xml:space="preserve">”</w:t>
      </w:r>
      <w:r>
        <w:t xml:space="preserve"> </w:t>
      </w:r>
      <w:r>
        <w:t xml:space="preserve">and</w:t>
      </w:r>
      <w:r>
        <w:t xml:space="preserve"> </w:t>
      </w:r>
      <w:r>
        <w:t xml:space="preserve">“</w:t>
      </w:r>
      <w:r>
        <w:t xml:space="preserve">summative</w:t>
      </w:r>
      <w:r>
        <w:t xml:space="preserve">”</w:t>
      </w:r>
      <w:r>
        <w:t xml:space="preserve"> </w:t>
      </w:r>
      <w:r>
        <w:t xml:space="preserve">evaluation. Formative evaluation was described as evaluation for the purposes of improvement, and summative evaluation was seen as a validation of the quality of work at the end of a process. This distinction was quickly incorporated into Bloom’s</w:t>
      </w:r>
      <w:r>
        <w:t xml:space="preserve"> </w:t>
      </w:r>
      <w:r>
        <w:t xml:space="preserve">(</w:t>
      </w:r>
      <w:hyperlink w:anchor="ref-bloomLearningMasteryInstruction1968">
        <w:r>
          <w:rPr>
            <w:rStyle w:val="Hyperlink"/>
          </w:rPr>
          <w:t xml:space="preserve">1968</w:t>
        </w:r>
      </w:hyperlink>
      <w:r>
        <w:t xml:space="preserve">)</w:t>
      </w:r>
      <w:r>
        <w:t xml:space="preserve"> </w:t>
      </w:r>
      <w:r>
        <w:t xml:space="preserve">ideas related to mastery learning and began to be promoted as a model for educational reform. However, by the late 1990s, when Black and Wiliam</w:t>
      </w:r>
      <w:r>
        <w:t xml:space="preserve"> </w:t>
      </w:r>
      <w:r>
        <w:t xml:space="preserve">(</w:t>
      </w:r>
      <w:hyperlink w:anchor="ref-blackAssessmentClassroomLearning1998">
        <w:r>
          <w:rPr>
            <w:rStyle w:val="Hyperlink"/>
          </w:rPr>
          <w:t xml:space="preserve">1998</w:t>
        </w:r>
      </w:hyperlink>
      <w:r>
        <w:t xml:space="preserve">)</w:t>
      </w:r>
      <w:r>
        <w:t xml:space="preserve"> </w:t>
      </w:r>
      <w:r>
        <w:t xml:space="preserve">published their landmark review of the literature on assessment, the idea of formative assessment was still not well-defined or implemented. Black and Wiliam framed formative assessment as</w:t>
      </w:r>
      <w:r>
        <w:t xml:space="preserve"> </w:t>
      </w:r>
      <w:r>
        <w:t xml:space="preserve">“</w:t>
      </w:r>
      <w:r>
        <w:t xml:space="preserve">encompassing all those activities undertaken by teachers, and/or by their students, which provide information to be used as feedback to modify the teaching and learning activities in which they are engaged</w:t>
      </w:r>
      <w:r>
        <w:t xml:space="preserve">”</w:t>
      </w:r>
      <w:r>
        <w:t xml:space="preserve"> </w:t>
      </w:r>
      <w:r>
        <w:t xml:space="preserve">(</w:t>
      </w:r>
      <w:hyperlink w:anchor="ref-blackAssessmentClassroomLearning1998">
        <w:r>
          <w:rPr>
            <w:rStyle w:val="Hyperlink"/>
          </w:rPr>
          <w:t xml:space="preserve">1998, pp. 7–8</w:t>
        </w:r>
      </w:hyperlink>
      <w:r>
        <w:t xml:space="preserve">)</w:t>
      </w:r>
      <w:r>
        <w:t xml:space="preserve">. Although Black and Wiliam came to very strongly-stated conclusions about the value of formative assessments (e.g. </w:t>
      </w:r>
      <w:r>
        <w:t xml:space="preserve">“</w:t>
      </w:r>
      <w:r>
        <w:t xml:space="preserve">The research reported here shows conclusively that formative assessment does improve learning. The gains in achievement appear to be quite considerable, and as noted earlier, amongst the largest ever reported for educational interventions.</w:t>
      </w:r>
      <w:r>
        <w:t xml:space="preserve">”</w:t>
      </w:r>
      <w:r>
        <w:t xml:space="preserve"> </w:t>
      </w:r>
      <w:r>
        <w:t xml:space="preserve">(</w:t>
      </w:r>
      <w:hyperlink w:anchor="ref-blackAssessmentClassroomLearning1998">
        <w:r>
          <w:rPr>
            <w:rStyle w:val="Hyperlink"/>
          </w:rPr>
          <w:t xml:space="preserve">1998, p. 61</w:t>
        </w:r>
      </w:hyperlink>
      <w:r>
        <w:t xml:space="preserve">)</w:t>
      </w:r>
      <w:r>
        <w:t xml:space="preserve">), reliance on summative assessments in HE has remained high</w:t>
      </w:r>
      <w:r>
        <w:t xml:space="preserve"> </w:t>
      </w:r>
      <w:r>
        <w:t xml:space="preserve">Lipnevich et al. (</w:t>
      </w:r>
      <w:hyperlink w:anchor="ref-lipnevichWhatGradesMean2020">
        <w:r>
          <w:rPr>
            <w:rStyle w:val="Hyperlink"/>
          </w:rPr>
          <w:t xml:space="preserve">2020</w:t>
        </w:r>
      </w:hyperlink>
      <w:r>
        <w:t xml:space="preserve">)</w:t>
      </w:r>
      <w:r>
        <w:t xml:space="preserve">.</w:t>
      </w:r>
    </w:p>
    <w:p>
      <w:pPr>
        <w:pStyle w:val="BodyText"/>
      </w:pPr>
      <w:r>
        <w:t xml:space="preserve">The National Research Council’s (NRC) 2001 foundational report</w:t>
      </w:r>
      <w:r>
        <w:t xml:space="preserve"> </w:t>
      </w:r>
      <w:r>
        <w:rPr>
          <w:iCs/>
          <w:i/>
        </w:rPr>
        <w:t xml:space="preserve">Knowing What Students Know: The Science and Design of Educational Assessment</w:t>
      </w:r>
      <w:r>
        <w:t xml:space="preserve">, advanced understanding of assessment with their definition of assessment as</w:t>
      </w:r>
      <w:r>
        <w:t xml:space="preserve"> </w:t>
      </w:r>
      <w:r>
        <w:t xml:space="preserve">“</w:t>
      </w:r>
      <w:r>
        <w:t xml:space="preserve">a process of drawing reasonable inferences about what students know on the basis of evidence derived from observations of what they say, do, or make in selected situations</w:t>
      </w:r>
      <w:r>
        <w:t xml:space="preserve">”</w:t>
      </w:r>
      <w:r>
        <w:t xml:space="preserve"> </w:t>
      </w:r>
      <w:r>
        <w:t xml:space="preserve">(</w:t>
      </w:r>
      <w:hyperlink w:anchor="ref-pellegrinoKnowingWhatStudents2001">
        <w:r>
          <w:rPr>
            <w:rStyle w:val="Hyperlink"/>
          </w:rPr>
          <w:t xml:space="preserve">Pellegrino et al., 2001, p. 112</w:t>
        </w:r>
      </w:hyperlink>
      <w:r>
        <w:t xml:space="preserve">)</w:t>
      </w:r>
      <w:r>
        <w:t xml:space="preserve"> </w:t>
      </w:r>
      <w:r>
        <w:t xml:space="preserve">or, more simply,</w:t>
      </w:r>
      <w:r>
        <w:t xml:space="preserve"> </w:t>
      </w:r>
      <w:r>
        <w:t xml:space="preserve">“</w:t>
      </w:r>
      <w:r>
        <w:t xml:space="preserve">reasoning from evidence</w:t>
      </w:r>
      <w:r>
        <w:t xml:space="preserve">”</w:t>
      </w:r>
      <w:r>
        <w:t xml:space="preserve"> </w:t>
      </w:r>
      <w:r>
        <w:t xml:space="preserve">(</w:t>
      </w:r>
      <w:hyperlink w:anchor="ref-pellegrinoKnowingWhatStudents2001">
        <w:r>
          <w:rPr>
            <w:rStyle w:val="Hyperlink"/>
          </w:rPr>
          <w:t xml:space="preserve">Pellegrino et al., 2001, p. 43</w:t>
        </w:r>
      </w:hyperlink>
      <w:r>
        <w:t xml:space="preserve">)</w:t>
      </w:r>
      <w:r>
        <w:t xml:space="preserve">, based on Mislevy’s</w:t>
      </w:r>
      <w:r>
        <w:t xml:space="preserve"> </w:t>
      </w:r>
      <w:r>
        <w:t xml:space="preserve">(</w:t>
      </w:r>
      <w:hyperlink w:anchor="ref-mislevyTestTheoryReconcieved1994">
        <w:r>
          <w:rPr>
            <w:rStyle w:val="Hyperlink"/>
          </w:rPr>
          <w:t xml:space="preserve">1994, p. 4</w:t>
        </w:r>
      </w:hyperlink>
      <w:r>
        <w:t xml:space="preserve">)</w:t>
      </w:r>
      <w:r>
        <w:t xml:space="preserve"> </w:t>
      </w:r>
      <w:r>
        <w:t xml:space="preserve">assertion that</w:t>
      </w:r>
      <w:r>
        <w:t xml:space="preserve"> </w:t>
      </w:r>
      <w:r>
        <w:t xml:space="preserve">“</w:t>
      </w:r>
      <w:r>
        <w:t xml:space="preserve">test theory is machinery for reasoning from students’ behavior to conjectures about their competence, as framed in a particular conception of competence.</w:t>
      </w:r>
      <w:r>
        <w:t xml:space="preserve">”</w:t>
      </w:r>
      <w:r>
        <w:t xml:space="preserve">. Such a parsimonious description, however, may hide some of the complexities of fairly and equitably coming to know what learners know and can do in relation to particular outcomes. Since knowledge of a particular domain cannot be directly observed in a learner, and therefore cannot be quantified, instructors must rely on data gathered during the teaching process to support a particular inference about what a learner</w:t>
      </w:r>
      <w:r>
        <w:t xml:space="preserve"> </w:t>
      </w:r>
      <w:r>
        <w:rPr>
          <w:iCs/>
          <w:i/>
        </w:rPr>
        <w:t xml:space="preserve">probably</w:t>
      </w:r>
      <w:r>
        <w:t xml:space="preserve"> </w:t>
      </w:r>
      <w:r>
        <w:t xml:space="preserve">knows. The data gathered from performance tasks such as exams, essays, portfolios, labs, etc, become</w:t>
      </w:r>
      <w:r>
        <w:t xml:space="preserve"> </w:t>
      </w:r>
      <w:r>
        <w:rPr>
          <w:iCs/>
          <w:i/>
        </w:rPr>
        <w:t xml:space="preserve">evidence</w:t>
      </w:r>
      <w:r>
        <w:t xml:space="preserve"> </w:t>
      </w:r>
      <w:r>
        <w:t xml:space="preserve">when they support an inference about what a learner knows and can do. Hence,</w:t>
      </w:r>
      <w:r>
        <w:t xml:space="preserve"> </w:t>
      </w:r>
      <w:r>
        <w:rPr>
          <w:iCs/>
          <w:i/>
        </w:rPr>
        <w:t xml:space="preserve">all</w:t>
      </w:r>
      <w:r>
        <w:t xml:space="preserve"> </w:t>
      </w:r>
      <w:r>
        <w:t xml:space="preserve">assessments are probabilistic, not deterministic.</w:t>
      </w:r>
    </w:p>
    <w:p>
      <w:pPr>
        <w:pStyle w:val="BodyText"/>
      </w:pPr>
      <w:r>
        <w:t xml:space="preserve">Brown</w:t>
      </w:r>
      <w:r>
        <w:t xml:space="preserve"> </w:t>
      </w:r>
      <w:r>
        <w:t xml:space="preserve">(</w:t>
      </w:r>
      <w:hyperlink w:anchor="Xbf36e976fd90f94421b02cbc8fcdfde6dafc0f9">
        <w:r>
          <w:rPr>
            <w:rStyle w:val="Hyperlink"/>
          </w:rPr>
          <w:t xml:space="preserve">2004</w:t>
        </w:r>
      </w:hyperlink>
      <w:r>
        <w:t xml:space="preserve">)</w:t>
      </w:r>
      <w:r>
        <w:t xml:space="preserve"> </w:t>
      </w:r>
      <w:r>
        <w:t xml:space="preserve">showed in a study of K12 teachers in New Zealand that teachers’</w:t>
      </w:r>
      <w:r>
        <w:t xml:space="preserve"> </w:t>
      </w:r>
      <w:r>
        <w:t xml:space="preserve">“</w:t>
      </w:r>
      <w:r>
        <w:t xml:space="preserve">conceptions of assessment</w:t>
      </w:r>
      <w:r>
        <w:t xml:space="preserve">”</w:t>
      </w:r>
      <w:r>
        <w:t xml:space="preserve"> </w:t>
      </w:r>
      <w:r>
        <w:t xml:space="preserve">(p. 302), or the organizing frameworks teachers use to understand the phenomenon of assessment, are not simple constructs, but are complex and interconnected. Brown’s model shows four common conceptions of assessment among K12 teachers:</w:t>
      </w:r>
      <w:r>
        <w:t xml:space="preserve"> </w:t>
      </w:r>
      <w:r>
        <w:t xml:space="preserve">- improvement of teaching and learning,</w:t>
      </w:r>
      <w:r>
        <w:br/>
      </w:r>
      <w:r>
        <w:t xml:space="preserve">- school accountability,</w:t>
      </w:r>
      <w:r>
        <w:br/>
      </w:r>
      <w:r>
        <w:t xml:space="preserve">- student accountability, or</w:t>
      </w:r>
      <w:r>
        <w:br/>
      </w:r>
      <w:r>
        <w:t xml:space="preserve">- treating assessment as irrelevant.</w:t>
      </w:r>
    </w:p>
    <w:p>
      <w:pPr>
        <w:pStyle w:val="BodyText"/>
      </w:pPr>
      <w:r>
        <w:t xml:space="preserve">James</w:t>
      </w:r>
      <w:r>
        <w:t xml:space="preserve"> </w:t>
      </w:r>
      <w:r>
        <w:t xml:space="preserve">(</w:t>
      </w:r>
      <w:hyperlink w:anchor="ref-jamesAssessmentLearning2008">
        <w:r>
          <w:rPr>
            <w:rStyle w:val="Hyperlink"/>
          </w:rPr>
          <w:t xml:space="preserve">2008</w:t>
        </w:r>
      </w:hyperlink>
      <w:r>
        <w:t xml:space="preserve">)</w:t>
      </w:r>
      <w:r>
        <w:t xml:space="preserve"> </w:t>
      </w:r>
      <w:r>
        <w:t xml:space="preserve">highlights important connections between assessment practices and learning theory, noting that both behaviourism and cognitivism emphasize the acquisition of knowledge as a sort of commodity and thus both lead to assessment strategies that emphasize the individual reproduction of knowlege that has either been taught, or has been constructed in meaning-making exercises. Contrary to these approaches, socio-cultural learning theory emphasizes the communal production of meaning through social tools and social interactions between peers and more capable</w:t>
      </w:r>
      <w:r>
        <w:t xml:space="preserve"> </w:t>
      </w:r>
      <w:r>
        <w:t xml:space="preserve">‘</w:t>
      </w:r>
      <w:r>
        <w:t xml:space="preserve">others</w:t>
      </w:r>
      <w:r>
        <w:t xml:space="preserve">’</w:t>
      </w:r>
      <w:r>
        <w:t xml:space="preserve">. Thus, assessment in socio-cultural contexts, which James argues is under-theorized, ought to be holistic and situated within the communal learning process, rather than an event that happens sometime after the learning has happened.</w:t>
      </w:r>
    </w:p>
    <w:p>
      <w:pPr>
        <w:pStyle w:val="BodyText"/>
      </w:pPr>
      <w:r>
        <w:t xml:space="preserve">Similarly, Fletcher et al.</w:t>
      </w:r>
      <w:r>
        <w:t xml:space="preserve"> </w:t>
      </w:r>
      <w:r>
        <w:t xml:space="preserve">(</w:t>
      </w:r>
      <w:hyperlink w:anchor="Xa55a5d631b402fa2c3fda6e3997bc5d48ccd027">
        <w:r>
          <w:rPr>
            <w:rStyle w:val="Hyperlink"/>
          </w:rPr>
          <w:t xml:space="preserve">2012</w:t>
        </w:r>
      </w:hyperlink>
      <w:r>
        <w:t xml:space="preserve">)</w:t>
      </w:r>
      <w:r>
        <w:t xml:space="preserve"> </w:t>
      </w:r>
      <w:r>
        <w:t xml:space="preserve">note that teachers who view teaching as the transmission of knowledge tend to rely more heavily on assessment tasks which require learners to reproduce what they have been taught. On the other hand, teachers who take a more socio-constructivist view that knowledge is built over time tend to conceive of assessment as being an integral part of the teaching and learning process as opposed to a culminating activity.</w:t>
      </w:r>
    </w:p>
    <w:p>
      <w:pPr>
        <w:pStyle w:val="BodyText"/>
      </w:pPr>
      <w:r>
        <w:t xml:space="preserve">In a study that bridged K12 and higher education by examining pre-service teachers’ conceptions of assessment, DeLuca et al.</w:t>
      </w:r>
      <w:r>
        <w:t xml:space="preserve"> </w:t>
      </w:r>
      <w:r>
        <w:t xml:space="preserve">(</w:t>
      </w:r>
      <w:hyperlink w:anchor="X32b95a94fb3076f8d0c577bd9276160db2e95e5">
        <w:r>
          <w:rPr>
            <w:rStyle w:val="Hyperlink"/>
          </w:rPr>
          <w:t xml:space="preserve">2013</w:t>
        </w:r>
      </w:hyperlink>
      <w:r>
        <w:t xml:space="preserve">)</w:t>
      </w:r>
    </w:p>
    <w:bookmarkEnd w:id="21"/>
    <w:bookmarkStart w:id="72" w:name="factors"/>
    <w:p>
      <w:pPr>
        <w:pStyle w:val="Heading2"/>
      </w:pPr>
      <w:r>
        <w:rPr>
          <w:rStyle w:val="SectionNumber"/>
        </w:rPr>
        <w:t xml:space="preserve">0.3</w:t>
      </w:r>
      <w:r>
        <w:tab/>
      </w:r>
      <w:r>
        <w:t xml:space="preserve">Factors</w:t>
      </w:r>
    </w:p>
    <w:p>
      <w:pPr>
        <w:pStyle w:val="FirstParagraph"/>
      </w:pPr>
      <w:r>
        <w:t xml:space="preserve">Offerdahl and Tomanek</w:t>
      </w:r>
      <w:r>
        <w:t xml:space="preserve"> </w:t>
      </w:r>
      <w:r>
        <w:t xml:space="preserve">(</w:t>
      </w:r>
      <w:hyperlink w:anchor="X568de4367a2adb3cc7734bdfe3ece898df67951">
        <w:r>
          <w:rPr>
            <w:rStyle w:val="Hyperlink"/>
          </w:rPr>
          <w:t xml:space="preserve">2011</w:t>
        </w:r>
      </w:hyperlink>
      <w:r>
        <w:t xml:space="preserve">)</w:t>
      </w:r>
      <w:r>
        <w:t xml:space="preserve"> </w:t>
      </w:r>
      <w:r>
        <w:t xml:space="preserve">investigated instructors’ assessment thinking in relation to being presented with new assessment strategies. They found that changes in assessment</w:t>
      </w:r>
      <w:r>
        <w:t xml:space="preserve"> </w:t>
      </w:r>
      <w:r>
        <w:rPr>
          <w:iCs/>
          <w:i/>
        </w:rPr>
        <w:t xml:space="preserve">practice</w:t>
      </w:r>
      <w:r>
        <w:t xml:space="preserve"> </w:t>
      </w:r>
      <w:r>
        <w:t xml:space="preserve">didn’t necessarily follow from changes in assessment</w:t>
      </w:r>
      <w:r>
        <w:t xml:space="preserve"> </w:t>
      </w:r>
      <w:r>
        <w:rPr>
          <w:iCs/>
          <w:i/>
        </w:rPr>
        <w:t xml:space="preserve">thinking</w:t>
      </w:r>
      <w:r>
        <w:t xml:space="preserve"> </w:t>
      </w:r>
      <w:r>
        <w:t xml:space="preserve">and that there are many factors which influence both assessment thinking and practice.</w:t>
      </w:r>
    </w:p>
    <w:bookmarkStart w:id="71" w:name="refs"/>
    <w:bookmarkStart w:id="23" w:name="ref-blackAssessmentClassroomLearning1998"/>
    <w:p>
      <w:pPr>
        <w:pStyle w:val="Bibliography"/>
      </w:pPr>
      <w:r>
        <w:t xml:space="preserve">Black, P., &amp; Wiliam, D. (1998). Assessment and</w:t>
      </w:r>
      <w:r>
        <w:t xml:space="preserve"> </w:t>
      </w:r>
      <w:r>
        <w:t xml:space="preserve">Classroom Learning</w:t>
      </w:r>
      <w:r>
        <w:t xml:space="preserve">.</w:t>
      </w:r>
      <w:r>
        <w:t xml:space="preserve"> </w:t>
      </w:r>
      <w:r>
        <w:rPr>
          <w:iCs/>
          <w:i/>
        </w:rPr>
        <w:t xml:space="preserve">Assessment in Education: Principles, Policy &amp; Practice</w:t>
      </w:r>
      <w:r>
        <w:t xml:space="preserve">,</w:t>
      </w:r>
      <w:r>
        <w:t xml:space="preserve"> </w:t>
      </w:r>
      <w:r>
        <w:rPr>
          <w:iCs/>
          <w:i/>
        </w:rPr>
        <w:t xml:space="preserve">5</w:t>
      </w:r>
      <w:r>
        <w:t xml:space="preserve">(1), 7–74.</w:t>
      </w:r>
      <w:r>
        <w:t xml:space="preserve"> </w:t>
      </w:r>
      <w:hyperlink r:id="rId22">
        <w:r>
          <w:rPr>
            <w:rStyle w:val="Hyperlink"/>
          </w:rPr>
          <w:t xml:space="preserve">https://doi.org/fpnss4</w:t>
        </w:r>
      </w:hyperlink>
    </w:p>
    <w:bookmarkEnd w:id="23"/>
    <w:bookmarkStart w:id="24" w:name="ref-bloomLearningMasteryInstruction1968"/>
    <w:p>
      <w:pPr>
        <w:pStyle w:val="Bibliography"/>
      </w:pPr>
      <w:r>
        <w:t xml:space="preserve">Bloom, B. (1968). Learning for</w:t>
      </w:r>
      <w:r>
        <w:t xml:space="preserve"> </w:t>
      </w:r>
      <w:r>
        <w:t xml:space="preserve">Mastery</w:t>
      </w:r>
      <w:r>
        <w:t xml:space="preserve">.</w:t>
      </w:r>
      <w:r>
        <w:t xml:space="preserve"> </w:t>
      </w:r>
      <w:r>
        <w:t xml:space="preserve">Instruction</w:t>
      </w:r>
      <w:r>
        <w:t xml:space="preserve"> </w:t>
      </w:r>
      <w:r>
        <w:t xml:space="preserve">and</w:t>
      </w:r>
      <w:r>
        <w:t xml:space="preserve"> </w:t>
      </w:r>
      <w:r>
        <w:t xml:space="preserve">Curriculum</w:t>
      </w:r>
      <w:r>
        <w:t xml:space="preserve">.</w:t>
      </w:r>
      <w:r>
        <w:t xml:space="preserve"> </w:t>
      </w:r>
      <w:r>
        <w:t xml:space="preserve">Regional Education Laboratory</w:t>
      </w:r>
      <w:r>
        <w:t xml:space="preserve"> </w:t>
      </w:r>
      <w:r>
        <w:t xml:space="preserve">for the</w:t>
      </w:r>
      <w:r>
        <w:t xml:space="preserve"> </w:t>
      </w:r>
      <w:r>
        <w:t xml:space="preserve">Carolinas</w:t>
      </w:r>
      <w:r>
        <w:t xml:space="preserve"> </w:t>
      </w:r>
      <w:r>
        <w:t xml:space="preserve">and</w:t>
      </w:r>
      <w:r>
        <w:t xml:space="preserve"> </w:t>
      </w:r>
      <w:r>
        <w:t xml:space="preserve">Virginia</w:t>
      </w:r>
      <w:r>
        <w:t xml:space="preserve">,</w:t>
      </w:r>
      <w:r>
        <w:t xml:space="preserve"> </w:t>
      </w:r>
      <w:r>
        <w:t xml:space="preserve">Topical Papers</w:t>
      </w:r>
      <w:r>
        <w:t xml:space="preserve"> </w:t>
      </w:r>
      <w:r>
        <w:t xml:space="preserve">and</w:t>
      </w:r>
      <w:r>
        <w:t xml:space="preserve"> </w:t>
      </w:r>
      <w:r>
        <w:t xml:space="preserve">Reprints</w:t>
      </w:r>
      <w:r>
        <w:t xml:space="preserve">,</w:t>
      </w:r>
      <w:r>
        <w:t xml:space="preserve"> </w:t>
      </w:r>
      <w:r>
        <w:t xml:space="preserve">Number</w:t>
      </w:r>
      <w:r>
        <w:t xml:space="preserve"> </w:t>
      </w:r>
      <w:r>
        <w:t xml:space="preserve">1.</w:t>
      </w:r>
      <w:r>
        <w:t xml:space="preserve"> </w:t>
      </w:r>
      <w:r>
        <w:rPr>
          <w:iCs/>
          <w:i/>
        </w:rPr>
        <w:t xml:space="preserve">Evaluation Comment</w:t>
      </w:r>
      <w:r>
        <w:t xml:space="preserve">,</w:t>
      </w:r>
      <w:r>
        <w:t xml:space="preserve"> </w:t>
      </w:r>
      <w:r>
        <w:rPr>
          <w:iCs/>
          <w:i/>
        </w:rPr>
        <w:t xml:space="preserve">1</w:t>
      </w:r>
      <w:r>
        <w:t xml:space="preserve">(2), 12.</w:t>
      </w:r>
    </w:p>
    <w:bookmarkEnd w:id="24"/>
    <w:bookmarkStart w:id="26" w:name="X51a879b1b801bbc5ad6e7fc588f4456f2973b2d"/>
    <w:p>
      <w:pPr>
        <w:pStyle w:val="Bibliography"/>
      </w:pPr>
      <w:r>
        <w:t xml:space="preserve">Broadfoot, P. (2016). Assessment for</w:t>
      </w:r>
      <w:r>
        <w:t xml:space="preserve"> </w:t>
      </w:r>
      <w:r>
        <w:t xml:space="preserve">Twenty-First-Century Learning</w:t>
      </w:r>
      <w:r>
        <w:t xml:space="preserve">:</w:t>
      </w:r>
      <w:r>
        <w:t xml:space="preserve"> </w:t>
      </w:r>
      <w:r>
        <w:t xml:space="preserve">The Challenges Ahead</w:t>
      </w:r>
      <w:r>
        <w:t xml:space="preserve">. In M. J. Spector, B. B. Lockee, &amp; M. D. Childress (Eds.),</w:t>
      </w:r>
      <w:r>
        <w:t xml:space="preserve"> </w:t>
      </w:r>
      <w:r>
        <w:rPr>
          <w:iCs/>
          <w:i/>
        </w:rPr>
        <w:t xml:space="preserve">Learning,</w:t>
      </w:r>
      <w:r>
        <w:rPr>
          <w:iCs/>
          <w:i/>
        </w:rPr>
        <w:t xml:space="preserve"> </w:t>
      </w:r>
      <w:r>
        <w:rPr>
          <w:iCs/>
          <w:i/>
        </w:rPr>
        <w:t xml:space="preserve">Design</w:t>
      </w:r>
      <w:r>
        <w:rPr>
          <w:iCs/>
          <w:i/>
        </w:rPr>
        <w:t xml:space="preserve">, and</w:t>
      </w:r>
      <w:r>
        <w:rPr>
          <w:iCs/>
          <w:i/>
        </w:rPr>
        <w:t xml:space="preserve"> </w:t>
      </w:r>
      <w:r>
        <w:rPr>
          <w:iCs/>
          <w:i/>
        </w:rPr>
        <w:t xml:space="preserve">Technology</w:t>
      </w:r>
      <w:r>
        <w:t xml:space="preserve"> </w:t>
      </w:r>
      <w:r>
        <w:t xml:space="preserve">(pp. 1–23).</w:t>
      </w:r>
      <w:r>
        <w:t xml:space="preserve"> </w:t>
      </w:r>
      <w:r>
        <w:t xml:space="preserve">Springer International Publishing</w:t>
      </w:r>
      <w:r>
        <w:t xml:space="preserve">.</w:t>
      </w:r>
      <w:r>
        <w:t xml:space="preserve"> </w:t>
      </w:r>
      <w:hyperlink r:id="rId25">
        <w:r>
          <w:rPr>
            <w:rStyle w:val="Hyperlink"/>
          </w:rPr>
          <w:t xml:space="preserve">https://doi.org/10.1007/978-3-319-17727-4_64-1</w:t>
        </w:r>
      </w:hyperlink>
    </w:p>
    <w:bookmarkEnd w:id="26"/>
    <w:bookmarkStart w:id="28" w:name="Xbf36e976fd90f94421b02cbc8fcdfde6dafc0f9"/>
    <w:p>
      <w:pPr>
        <w:pStyle w:val="Bibliography"/>
      </w:pPr>
      <w:r>
        <w:t xml:space="preserve">Brown, G. T. L. (2004). Teachers’ conceptions of assessment: Implications for policy and professional development.</w:t>
      </w:r>
      <w:r>
        <w:t xml:space="preserve"> </w:t>
      </w:r>
      <w:r>
        <w:rPr>
          <w:iCs/>
          <w:i/>
        </w:rPr>
        <w:t xml:space="preserve">Assessment in Education: Principles, Policy &amp; Practice</w:t>
      </w:r>
      <w:r>
        <w:t xml:space="preserve">,</w:t>
      </w:r>
      <w:r>
        <w:t xml:space="preserve"> </w:t>
      </w:r>
      <w:r>
        <w:rPr>
          <w:iCs/>
          <w:i/>
        </w:rPr>
        <w:t xml:space="preserve">11</w:t>
      </w:r>
      <w:r>
        <w:t xml:space="preserve">(3), 301–318.</w:t>
      </w:r>
      <w:r>
        <w:t xml:space="preserve"> </w:t>
      </w:r>
      <w:hyperlink r:id="rId27">
        <w:r>
          <w:rPr>
            <w:rStyle w:val="Hyperlink"/>
          </w:rPr>
          <w:t xml:space="preserve">https://doi.org/10.1080/0969594042000304609</w:t>
        </w:r>
      </w:hyperlink>
    </w:p>
    <w:bookmarkEnd w:id="28"/>
    <w:bookmarkStart w:id="30" w:name="ref-crooksImpactClassroomEvaluation1988"/>
    <w:p>
      <w:pPr>
        <w:pStyle w:val="Bibliography"/>
      </w:pPr>
      <w:r>
        <w:t xml:space="preserve">Crooks, T. J. (1988). The</w:t>
      </w:r>
      <w:r>
        <w:t xml:space="preserve"> </w:t>
      </w:r>
      <w:r>
        <w:t xml:space="preserve">Impact</w:t>
      </w:r>
      <w:r>
        <w:t xml:space="preserve"> </w:t>
      </w:r>
      <w:r>
        <w:t xml:space="preserve">of</w:t>
      </w:r>
      <w:r>
        <w:t xml:space="preserve"> </w:t>
      </w:r>
      <w:r>
        <w:t xml:space="preserve">Classroom Evaluation Practices</w:t>
      </w:r>
      <w:r>
        <w:t xml:space="preserve"> </w:t>
      </w:r>
      <w:r>
        <w:t xml:space="preserve">on</w:t>
      </w:r>
      <w:r>
        <w:t xml:space="preserve"> </w:t>
      </w:r>
      <w:r>
        <w:t xml:space="preserve">Students</w:t>
      </w:r>
      <w:r>
        <w:t xml:space="preserve">.</w:t>
      </w:r>
      <w:r>
        <w:t xml:space="preserve"> </w:t>
      </w:r>
      <w:r>
        <w:rPr>
          <w:iCs/>
          <w:i/>
        </w:rPr>
        <w:t xml:space="preserve">Review of Educational Research</w:t>
      </w:r>
      <w:r>
        <w:t xml:space="preserve">,</w:t>
      </w:r>
      <w:r>
        <w:t xml:space="preserve"> </w:t>
      </w:r>
      <w:r>
        <w:rPr>
          <w:iCs/>
          <w:i/>
        </w:rPr>
        <w:t xml:space="preserve">58</w:t>
      </w:r>
      <w:r>
        <w:t xml:space="preserve">(4), 438–481.</w:t>
      </w:r>
      <w:r>
        <w:t xml:space="preserve"> </w:t>
      </w:r>
      <w:hyperlink r:id="rId29">
        <w:r>
          <w:rPr>
            <w:rStyle w:val="Hyperlink"/>
          </w:rPr>
          <w:t xml:space="preserve">https://doi.org/dvd8nf</w:t>
        </w:r>
      </w:hyperlink>
    </w:p>
    <w:bookmarkEnd w:id="30"/>
    <w:bookmarkStart w:id="32" w:name="X32b95a94fb3076f8d0c577bd9276160db2e95e5"/>
    <w:p>
      <w:pPr>
        <w:pStyle w:val="Bibliography"/>
      </w:pPr>
      <w:r>
        <w:t xml:space="preserve">DeLuca, C., Chavez, T., &amp; Cao, C. (2013). Establishing a foundation for valid teacher judgement on student learning: The role of pre-service assessment education.</w:t>
      </w:r>
      <w:r>
        <w:t xml:space="preserve"> </w:t>
      </w:r>
      <w:r>
        <w:rPr>
          <w:iCs/>
          <w:i/>
        </w:rPr>
        <w:t xml:space="preserve">Assessment in Education: Principles, Policy &amp; Practice</w:t>
      </w:r>
      <w:r>
        <w:t xml:space="preserve">,</w:t>
      </w:r>
      <w:r>
        <w:t xml:space="preserve"> </w:t>
      </w:r>
      <w:r>
        <w:rPr>
          <w:iCs/>
          <w:i/>
        </w:rPr>
        <w:t xml:space="preserve">20</w:t>
      </w:r>
      <w:r>
        <w:t xml:space="preserve">(1), 107–126.</w:t>
      </w:r>
      <w:r>
        <w:t xml:space="preserve"> </w:t>
      </w:r>
      <w:hyperlink r:id="rId31">
        <w:r>
          <w:rPr>
            <w:rStyle w:val="Hyperlink"/>
          </w:rPr>
          <w:t xml:space="preserve">https://doi.org/gj5v98</w:t>
        </w:r>
      </w:hyperlink>
    </w:p>
    <w:bookmarkEnd w:id="32"/>
    <w:bookmarkStart w:id="34" w:name="ref-delucaDifferentialSituatedView2019"/>
    <w:p>
      <w:pPr>
        <w:pStyle w:val="Bibliography"/>
      </w:pPr>
      <w:r>
        <w:t xml:space="preserve">DeLuca, C., Coombs, A., Macgregor, S., &amp; Rasooli, A. (2019). Toward a differential and situated view of assessment literacy:</w:t>
      </w:r>
      <w:r>
        <w:t xml:space="preserve"> </w:t>
      </w:r>
      <w:r>
        <w:t xml:space="preserve">Studying</w:t>
      </w:r>
      <w:r>
        <w:t xml:space="preserve"> </w:t>
      </w:r>
      <w:r>
        <w:t xml:space="preserve">teachers’ responses to classroom assessment scenarios.</w:t>
      </w:r>
      <w:r>
        <w:t xml:space="preserve"> </w:t>
      </w:r>
      <w:r>
        <w:rPr>
          <w:iCs/>
          <w:i/>
        </w:rPr>
        <w:t xml:space="preserve">Frontiers in Education</w:t>
      </w:r>
      <w:r>
        <w:t xml:space="preserve">,</w:t>
      </w:r>
      <w:r>
        <w:t xml:space="preserve"> </w:t>
      </w:r>
      <w:r>
        <w:rPr>
          <w:iCs/>
          <w:i/>
        </w:rPr>
        <w:t xml:space="preserve">4</w:t>
      </w:r>
      <w:r>
        <w:t xml:space="preserve">.</w:t>
      </w:r>
      <w:r>
        <w:t xml:space="preserve"> </w:t>
      </w:r>
      <w:hyperlink r:id="rId33">
        <w:r>
          <w:rPr>
            <w:rStyle w:val="Hyperlink"/>
          </w:rPr>
          <w:t xml:space="preserve">https://doi.org/gh5k63</w:t>
        </w:r>
      </w:hyperlink>
    </w:p>
    <w:bookmarkEnd w:id="34"/>
    <w:bookmarkStart w:id="36" w:name="Xedee9bc10fe7ddda531b14b05542852ae9f5f1e"/>
    <w:p>
      <w:pPr>
        <w:pStyle w:val="Bibliography"/>
      </w:pPr>
      <w:r>
        <w:t xml:space="preserve">DeLuca, C., LaPointe-McEwan, D., &amp; Luhanga, U. (2016). Approaches to classroom assessment inventory:</w:t>
      </w:r>
      <w:r>
        <w:t xml:space="preserve"> </w:t>
      </w:r>
      <w:r>
        <w:t xml:space="preserve">A</w:t>
      </w:r>
      <w:r>
        <w:t xml:space="preserve"> </w:t>
      </w:r>
      <w:r>
        <w:t xml:space="preserve">new instrument to support teacher assessment literacy.</w:t>
      </w:r>
      <w:r>
        <w:t xml:space="preserve"> </w:t>
      </w:r>
      <w:r>
        <w:rPr>
          <w:iCs/>
          <w:i/>
        </w:rPr>
        <w:t xml:space="preserve">Educational Assessment</w:t>
      </w:r>
      <w:r>
        <w:t xml:space="preserve">,</w:t>
      </w:r>
      <w:r>
        <w:t xml:space="preserve"> </w:t>
      </w:r>
      <w:r>
        <w:rPr>
          <w:iCs/>
          <w:i/>
        </w:rPr>
        <w:t xml:space="preserve">21</w:t>
      </w:r>
      <w:r>
        <w:t xml:space="preserve">, 248–266.</w:t>
      </w:r>
      <w:r>
        <w:t xml:space="preserve"> </w:t>
      </w:r>
      <w:hyperlink r:id="rId35">
        <w:r>
          <w:rPr>
            <w:rStyle w:val="Hyperlink"/>
          </w:rPr>
          <w:t xml:space="preserve">https://doi.org/gfgtsg</w:t>
        </w:r>
      </w:hyperlink>
    </w:p>
    <w:bookmarkEnd w:id="36"/>
    <w:bookmarkStart w:id="37" w:name="ref-earlAssessmentLearningUsing2013"/>
    <w:p>
      <w:pPr>
        <w:pStyle w:val="Bibliography"/>
      </w:pPr>
      <w:r>
        <w:t xml:space="preserve">Earl, L. M. (2013).</w:t>
      </w:r>
      <w:r>
        <w:t xml:space="preserve"> </w:t>
      </w:r>
      <w:r>
        <w:rPr>
          <w:iCs/>
          <w:i/>
        </w:rPr>
        <w:t xml:space="preserve">Assessment as learning: Using classroom assessment to maximize student learning</w:t>
      </w:r>
      <w:r>
        <w:t xml:space="preserve"> </w:t>
      </w:r>
      <w:r>
        <w:t xml:space="preserve">(Second edition).</w:t>
      </w:r>
      <w:r>
        <w:t xml:space="preserve"> </w:t>
      </w:r>
      <w:r>
        <w:t xml:space="preserve">Corwin Press</w:t>
      </w:r>
      <w:r>
        <w:t xml:space="preserve">.</w:t>
      </w:r>
    </w:p>
    <w:bookmarkEnd w:id="37"/>
    <w:bookmarkStart w:id="39" w:name="Xa55a5d631b402fa2c3fda6e3997bc5d48ccd027"/>
    <w:p>
      <w:pPr>
        <w:pStyle w:val="Bibliography"/>
      </w:pPr>
      <w:r>
        <w:t xml:space="preserve">Fletcher, R. B., Meyer, L. H., Anderson, H., Johnston, P., &amp; Rees, M. (2012). Faculty and</w:t>
      </w:r>
      <w:r>
        <w:t xml:space="preserve"> </w:t>
      </w:r>
      <w:r>
        <w:t xml:space="preserve">Students Conceptions</w:t>
      </w:r>
      <w:r>
        <w:t xml:space="preserve"> </w:t>
      </w:r>
      <w:r>
        <w:t xml:space="preserve">of</w:t>
      </w:r>
      <w:r>
        <w:t xml:space="preserve"> </w:t>
      </w:r>
      <w:r>
        <w:t xml:space="preserve">Assessment</w:t>
      </w:r>
      <w:r>
        <w:t xml:space="preserve"> </w:t>
      </w:r>
      <w:r>
        <w:t xml:space="preserve">in</w:t>
      </w:r>
      <w:r>
        <w:t xml:space="preserve"> </w:t>
      </w:r>
      <w:r>
        <w:t xml:space="preserve">Higher Education</w:t>
      </w:r>
      <w:r>
        <w:t xml:space="preserve">.</w:t>
      </w:r>
      <w:r>
        <w:t xml:space="preserve"> </w:t>
      </w:r>
      <w:r>
        <w:rPr>
          <w:iCs/>
          <w:i/>
        </w:rPr>
        <w:t xml:space="preserve">Higher Education</w:t>
      </w:r>
      <w:r>
        <w:t xml:space="preserve">,</w:t>
      </w:r>
      <w:r>
        <w:t xml:space="preserve"> </w:t>
      </w:r>
      <w:r>
        <w:rPr>
          <w:iCs/>
          <w:i/>
        </w:rPr>
        <w:t xml:space="preserve">64</w:t>
      </w:r>
      <w:r>
        <w:t xml:space="preserve">(1), 119–133.</w:t>
      </w:r>
      <w:r>
        <w:t xml:space="preserve"> </w:t>
      </w:r>
      <w:hyperlink r:id="rId38">
        <w:r>
          <w:rPr>
            <w:rStyle w:val="Hyperlink"/>
          </w:rPr>
          <w:t xml:space="preserve">https://doi.org/ctccpq</w:t>
        </w:r>
      </w:hyperlink>
    </w:p>
    <w:bookmarkEnd w:id="39"/>
    <w:bookmarkStart w:id="40" w:name="Xaf0f34faf6db1662e8da0b9850d3b9cfe5dbeed"/>
    <w:p>
      <w:pPr>
        <w:pStyle w:val="Bibliography"/>
      </w:pPr>
      <w:r>
        <w:t xml:space="preserve">Forum, W. E. (2020).</w:t>
      </w:r>
      <w:r>
        <w:t xml:space="preserve"> </w:t>
      </w:r>
      <w:r>
        <w:rPr>
          <w:iCs/>
          <w:i/>
        </w:rPr>
        <w:t xml:space="preserve">The</w:t>
      </w:r>
      <w:r>
        <w:rPr>
          <w:iCs/>
          <w:i/>
        </w:rPr>
        <w:t xml:space="preserve"> </w:t>
      </w:r>
      <w:r>
        <w:rPr>
          <w:iCs/>
          <w:i/>
        </w:rPr>
        <w:t xml:space="preserve">Future</w:t>
      </w:r>
      <w:r>
        <w:rPr>
          <w:iCs/>
          <w:i/>
        </w:rPr>
        <w:t xml:space="preserve"> </w:t>
      </w:r>
      <w:r>
        <w:rPr>
          <w:iCs/>
          <w:i/>
        </w:rPr>
        <w:t xml:space="preserve">of</w:t>
      </w:r>
      <w:r>
        <w:rPr>
          <w:iCs/>
          <w:i/>
        </w:rPr>
        <w:t xml:space="preserve"> </w:t>
      </w:r>
      <w:r>
        <w:rPr>
          <w:iCs/>
          <w:i/>
        </w:rPr>
        <w:t xml:space="preserve">Jobs Report</w:t>
      </w:r>
      <w:r>
        <w:rPr>
          <w:iCs/>
          <w:i/>
        </w:rPr>
        <w:t xml:space="preserve"> </w:t>
      </w:r>
      <w:r>
        <w:rPr>
          <w:iCs/>
          <w:i/>
        </w:rPr>
        <w:t xml:space="preserve">2020</w:t>
      </w:r>
      <w:r>
        <w:t xml:space="preserve">.</w:t>
      </w:r>
      <w:r>
        <w:t xml:space="preserve"> </w:t>
      </w:r>
      <w:r>
        <w:t xml:space="preserve">World Economic Forum</w:t>
      </w:r>
      <w:r>
        <w:t xml:space="preserve">.</w:t>
      </w:r>
    </w:p>
    <w:bookmarkEnd w:id="40"/>
    <w:bookmarkStart w:id="41" w:name="ref-harlenSystematicReviewImpact2002"/>
    <w:p>
      <w:pPr>
        <w:pStyle w:val="Bibliography"/>
      </w:pPr>
      <w:r>
        <w:t xml:space="preserve">Harlen, W., &amp; Deakin Crick, R. (2002). A systematic review of the impact of summative assessment and tests on students’ motivation for learning.</w:t>
      </w:r>
      <w:r>
        <w:t xml:space="preserve"> </w:t>
      </w:r>
      <w:r>
        <w:rPr>
          <w:iCs/>
          <w:i/>
        </w:rPr>
        <w:t xml:space="preserve">Research Evidence in Education Library</w:t>
      </w:r>
      <w:r>
        <w:t xml:space="preserve">,</w:t>
      </w:r>
      <w:r>
        <w:t xml:space="preserve"> </w:t>
      </w:r>
      <w:r>
        <w:rPr>
          <w:iCs/>
          <w:i/>
        </w:rPr>
        <w:t xml:space="preserve">1</w:t>
      </w:r>
      <w:r>
        <w:t xml:space="preserve">, 151.</w:t>
      </w:r>
    </w:p>
    <w:bookmarkEnd w:id="41"/>
    <w:bookmarkStart w:id="43" w:name="ref-jamesAssessmentLearning2008"/>
    <w:p>
      <w:pPr>
        <w:pStyle w:val="Bibliography"/>
      </w:pPr>
      <w:r>
        <w:t xml:space="preserve">James, M. (2008). Assessment and learning. In S. Swaffield (Ed.),</w:t>
      </w:r>
      <w:r>
        <w:t xml:space="preserve"> </w:t>
      </w:r>
      <w:r>
        <w:rPr>
          <w:iCs/>
          <w:i/>
        </w:rPr>
        <w:t xml:space="preserve">Unlocking</w:t>
      </w:r>
      <w:r>
        <w:rPr>
          <w:iCs/>
          <w:i/>
        </w:rPr>
        <w:t xml:space="preserve"> </w:t>
      </w:r>
      <w:r>
        <w:rPr>
          <w:iCs/>
          <w:i/>
        </w:rPr>
        <w:t xml:space="preserve">Assessment</w:t>
      </w:r>
      <w:r>
        <w:t xml:space="preserve">.</w:t>
      </w:r>
      <w:r>
        <w:t xml:space="preserve"> </w:t>
      </w:r>
      <w:r>
        <w:t xml:space="preserve">David Fulton Publishers</w:t>
      </w:r>
      <w:r>
        <w:t xml:space="preserve">.</w:t>
      </w:r>
      <w:r>
        <w:t xml:space="preserve"> </w:t>
      </w:r>
      <w:hyperlink r:id="rId42">
        <w:r>
          <w:rPr>
            <w:rStyle w:val="Hyperlink"/>
          </w:rPr>
          <w:t xml:space="preserve">https://doi.org/10.4324/9780203930939</w:t>
        </w:r>
      </w:hyperlink>
    </w:p>
    <w:bookmarkEnd w:id="43"/>
    <w:bookmarkStart w:id="45" w:name="X2997c928acaf5e247ad3a813d62dfa653f9bffa"/>
    <w:p>
      <w:pPr>
        <w:pStyle w:val="Bibliography"/>
      </w:pPr>
      <w:r>
        <w:t xml:space="preserve">Joughin, G. (Ed.). (2009).</w:t>
      </w:r>
      <w:r>
        <w:t xml:space="preserve"> </w:t>
      </w:r>
      <w:r>
        <w:rPr>
          <w:iCs/>
          <w:i/>
        </w:rPr>
        <w:t xml:space="preserve">Assessment,</w:t>
      </w:r>
      <w:r>
        <w:rPr>
          <w:iCs/>
          <w:i/>
        </w:rPr>
        <w:t xml:space="preserve"> </w:t>
      </w:r>
      <w:r>
        <w:rPr>
          <w:iCs/>
          <w:i/>
        </w:rPr>
        <w:t xml:space="preserve">Learning</w:t>
      </w:r>
      <w:r>
        <w:rPr>
          <w:iCs/>
          <w:i/>
        </w:rPr>
        <w:t xml:space="preserve"> </w:t>
      </w:r>
      <w:r>
        <w:rPr>
          <w:iCs/>
          <w:i/>
        </w:rPr>
        <w:t xml:space="preserve">and</w:t>
      </w:r>
      <w:r>
        <w:rPr>
          <w:iCs/>
          <w:i/>
        </w:rPr>
        <w:t xml:space="preserve"> </w:t>
      </w:r>
      <w:r>
        <w:rPr>
          <w:iCs/>
          <w:i/>
        </w:rPr>
        <w:t xml:space="preserve">Judgement</w:t>
      </w:r>
      <w:r>
        <w:rPr>
          <w:iCs/>
          <w:i/>
        </w:rPr>
        <w:t xml:space="preserve"> </w:t>
      </w:r>
      <w:r>
        <w:rPr>
          <w:iCs/>
          <w:i/>
        </w:rPr>
        <w:t xml:space="preserve">in</w:t>
      </w:r>
      <w:r>
        <w:rPr>
          <w:iCs/>
          <w:i/>
        </w:rPr>
        <w:t xml:space="preserve"> </w:t>
      </w:r>
      <w:r>
        <w:rPr>
          <w:iCs/>
          <w:i/>
        </w:rPr>
        <w:t xml:space="preserve">Higher Education</w:t>
      </w:r>
      <w:r>
        <w:t xml:space="preserve">.</w:t>
      </w:r>
      <w:r>
        <w:t xml:space="preserve"> </w:t>
      </w:r>
      <w:r>
        <w:t xml:space="preserve">Springer Netherlands</w:t>
      </w:r>
      <w:r>
        <w:t xml:space="preserve">.</w:t>
      </w:r>
      <w:r>
        <w:t xml:space="preserve"> </w:t>
      </w:r>
      <w:hyperlink r:id="rId44">
        <w:r>
          <w:rPr>
            <w:rStyle w:val="Hyperlink"/>
          </w:rPr>
          <w:t xml:space="preserve">https://doi.org/10.1007/978-1-4020-8905-3</w:t>
        </w:r>
      </w:hyperlink>
    </w:p>
    <w:bookmarkEnd w:id="45"/>
    <w:bookmarkStart w:id="47" w:name="ref-lipnevichWhatGradesMean2020"/>
    <w:p>
      <w:pPr>
        <w:pStyle w:val="Bibliography"/>
      </w:pPr>
      <w:r>
        <w:t xml:space="preserve">Lipnevich, A. A., Guskey, T. R., Murano, D. M., &amp; Smith, J. K. (2020). What do grades mean?</w:t>
      </w:r>
      <w:r>
        <w:t xml:space="preserve"> </w:t>
      </w:r>
      <w:r>
        <w:t xml:space="preserve">Variation</w:t>
      </w:r>
      <w:r>
        <w:t xml:space="preserve"> </w:t>
      </w:r>
      <w:r>
        <w:t xml:space="preserve">in grading criteria in</w:t>
      </w:r>
      <w:r>
        <w:t xml:space="preserve"> </w:t>
      </w:r>
      <w:r>
        <w:t xml:space="preserve">American</w:t>
      </w:r>
      <w:r>
        <w:t xml:space="preserve"> </w:t>
      </w:r>
      <w:r>
        <w:t xml:space="preserve">college and university courses.</w:t>
      </w:r>
      <w:r>
        <w:t xml:space="preserve"> </w:t>
      </w:r>
      <w:r>
        <w:rPr>
          <w:iCs/>
          <w:i/>
        </w:rPr>
        <w:t xml:space="preserve">Assessment in Education: Principles, Policy &amp; Practice</w:t>
      </w:r>
      <w:r>
        <w:t xml:space="preserve">,</w:t>
      </w:r>
      <w:r>
        <w:t xml:space="preserve"> </w:t>
      </w:r>
      <w:r>
        <w:rPr>
          <w:iCs/>
          <w:i/>
        </w:rPr>
        <w:t xml:space="preserve">27</w:t>
      </w:r>
      <w:r>
        <w:t xml:space="preserve">(5), 480–500.</w:t>
      </w:r>
      <w:r>
        <w:t xml:space="preserve"> </w:t>
      </w:r>
      <w:hyperlink r:id="rId46">
        <w:r>
          <w:rPr>
            <w:rStyle w:val="Hyperlink"/>
          </w:rPr>
          <w:t xml:space="preserve">https://doi.org/ghjw3k</w:t>
        </w:r>
      </w:hyperlink>
    </w:p>
    <w:bookmarkEnd w:id="47"/>
    <w:bookmarkStart w:id="49" w:name="ref-masseyAssessmentLiteracyCollege2020"/>
    <w:p>
      <w:pPr>
        <w:pStyle w:val="Bibliography"/>
      </w:pPr>
      <w:r>
        <w:t xml:space="preserve">Massey, K. D., DeLuca, C., &amp; LaPointe-McEwan, D. (2020). Assessment</w:t>
      </w:r>
      <w:r>
        <w:t xml:space="preserve"> </w:t>
      </w:r>
      <w:r>
        <w:t xml:space="preserve">Literacy</w:t>
      </w:r>
      <w:r>
        <w:t xml:space="preserve"> </w:t>
      </w:r>
      <w:r>
        <w:t xml:space="preserve">in</w:t>
      </w:r>
      <w:r>
        <w:t xml:space="preserve"> </w:t>
      </w:r>
      <w:r>
        <w:t xml:space="preserve">College Teaching</w:t>
      </w:r>
      <w:r>
        <w:t xml:space="preserve">:</w:t>
      </w:r>
      <w:r>
        <w:t xml:space="preserve"> </w:t>
      </w:r>
      <w:r>
        <w:t xml:space="preserve">Empirical Evidence</w:t>
      </w:r>
      <w:r>
        <w:t xml:space="preserve"> </w:t>
      </w:r>
      <w:r>
        <w:t xml:space="preserve">on the</w:t>
      </w:r>
      <w:r>
        <w:t xml:space="preserve"> </w:t>
      </w:r>
      <w:r>
        <w:t xml:space="preserve">Role</w:t>
      </w:r>
      <w:r>
        <w:t xml:space="preserve"> </w:t>
      </w:r>
      <w:r>
        <w:t xml:space="preserve">and</w:t>
      </w:r>
      <w:r>
        <w:t xml:space="preserve"> </w:t>
      </w:r>
      <w:r>
        <w:t xml:space="preserve">Effectiveness</w:t>
      </w:r>
      <w:r>
        <w:t xml:space="preserve"> </w:t>
      </w:r>
      <w:r>
        <w:t xml:space="preserve">of a</w:t>
      </w:r>
      <w:r>
        <w:t xml:space="preserve"> </w:t>
      </w:r>
      <w:r>
        <w:t xml:space="preserve">Faculty Training Course</w:t>
      </w:r>
      <w:r>
        <w:t xml:space="preserve">.</w:t>
      </w:r>
      <w:r>
        <w:t xml:space="preserve"> </w:t>
      </w:r>
      <w:r>
        <w:rPr>
          <w:iCs/>
          <w:i/>
        </w:rPr>
        <w:t xml:space="preserve">To Improve the Academy</w:t>
      </w:r>
      <w:r>
        <w:t xml:space="preserve">,</w:t>
      </w:r>
      <w:r>
        <w:t xml:space="preserve"> </w:t>
      </w:r>
      <w:r>
        <w:rPr>
          <w:iCs/>
          <w:i/>
        </w:rPr>
        <w:t xml:space="preserve">39</w:t>
      </w:r>
      <w:r>
        <w:t xml:space="preserve">(1).</w:t>
      </w:r>
      <w:r>
        <w:t xml:space="preserve"> </w:t>
      </w:r>
      <w:hyperlink r:id="rId48">
        <w:r>
          <w:rPr>
            <w:rStyle w:val="Hyperlink"/>
          </w:rPr>
          <w:t xml:space="preserve">https://doi.org/gj5ngz</w:t>
        </w:r>
      </w:hyperlink>
    </w:p>
    <w:bookmarkEnd w:id="49"/>
    <w:bookmarkStart w:id="51" w:name="ref-mislevyTestTheoryReconcieved1994"/>
    <w:p>
      <w:pPr>
        <w:pStyle w:val="Bibliography"/>
      </w:pPr>
      <w:r>
        <w:t xml:space="preserve">Mislevy, R. J. (1994). Test theory reconcieved.</w:t>
      </w:r>
      <w:r>
        <w:t xml:space="preserve"> </w:t>
      </w:r>
      <w:r>
        <w:rPr>
          <w:iCs/>
          <w:i/>
        </w:rPr>
        <w:t xml:space="preserve">ETS Research Report Series</w:t>
      </w:r>
      <w:r>
        <w:t xml:space="preserve">,</w:t>
      </w:r>
      <w:r>
        <w:t xml:space="preserve"> </w:t>
      </w:r>
      <w:r>
        <w:rPr>
          <w:iCs/>
          <w:i/>
        </w:rPr>
        <w:t xml:space="preserve">1994</w:t>
      </w:r>
      <w:r>
        <w:t xml:space="preserve">(1), i–38.</w:t>
      </w:r>
      <w:r>
        <w:t xml:space="preserve"> </w:t>
      </w:r>
      <w:hyperlink r:id="rId50">
        <w:r>
          <w:rPr>
            <w:rStyle w:val="Hyperlink"/>
          </w:rPr>
          <w:t xml:space="preserve">https://doi.org/gjm236</w:t>
        </w:r>
      </w:hyperlink>
    </w:p>
    <w:bookmarkEnd w:id="51"/>
    <w:bookmarkStart w:id="53" w:name="X568de4367a2adb3cc7734bdfe3ece898df67951"/>
    <w:p>
      <w:pPr>
        <w:pStyle w:val="Bibliography"/>
      </w:pPr>
      <w:r>
        <w:t xml:space="preserve">Offerdahl, E. G., &amp; Tomanek, D. (2011). Changes in instructors’ assessment thinking related to experimentation with new strategies.</w:t>
      </w:r>
      <w:r>
        <w:t xml:space="preserve"> </w:t>
      </w:r>
      <w:r>
        <w:rPr>
          <w:iCs/>
          <w:i/>
        </w:rPr>
        <w:t xml:space="preserve">Assessment and Evaluation in Higher Education</w:t>
      </w:r>
      <w:r>
        <w:t xml:space="preserve">,</w:t>
      </w:r>
      <w:r>
        <w:t xml:space="preserve"> </w:t>
      </w:r>
      <w:r>
        <w:rPr>
          <w:iCs/>
          <w:i/>
        </w:rPr>
        <w:t xml:space="preserve">36</w:t>
      </w:r>
      <w:r>
        <w:t xml:space="preserve">(7), 781–795.</w:t>
      </w:r>
      <w:r>
        <w:t xml:space="preserve"> </w:t>
      </w:r>
      <w:hyperlink r:id="rId52">
        <w:r>
          <w:rPr>
            <w:rStyle w:val="Hyperlink"/>
          </w:rPr>
          <w:t xml:space="preserve">https://doi.org/d89z7p</w:t>
        </w:r>
      </w:hyperlink>
    </w:p>
    <w:bookmarkEnd w:id="53"/>
    <w:bookmarkStart w:id="55" w:name="ref-pellegrinoKnowingWhatStudents2001"/>
    <w:p>
      <w:pPr>
        <w:pStyle w:val="Bibliography"/>
      </w:pPr>
      <w:r>
        <w:t xml:space="preserve">Pellegrino, J. W., Chudowsky, N., &amp; Glaser, R. (2001).</w:t>
      </w:r>
      <w:r>
        <w:t xml:space="preserve"> </w:t>
      </w:r>
      <w:r>
        <w:rPr>
          <w:iCs/>
          <w:i/>
        </w:rPr>
        <w:t xml:space="preserve">Knowing</w:t>
      </w:r>
      <w:r>
        <w:rPr>
          <w:iCs/>
          <w:i/>
        </w:rPr>
        <w:t xml:space="preserve"> </w:t>
      </w:r>
      <w:r>
        <w:rPr>
          <w:iCs/>
          <w:i/>
        </w:rPr>
        <w:t xml:space="preserve">What Students Know</w:t>
      </w:r>
      <w:r>
        <w:rPr>
          <w:iCs/>
          <w:i/>
        </w:rPr>
        <w:t xml:space="preserve">:</w:t>
      </w:r>
      <w:r>
        <w:rPr>
          <w:iCs/>
          <w:i/>
        </w:rPr>
        <w:t xml:space="preserve"> </w:t>
      </w:r>
      <w:r>
        <w:rPr>
          <w:iCs/>
          <w:i/>
        </w:rPr>
        <w:t xml:space="preserve">The Science</w:t>
      </w:r>
      <w:r>
        <w:rPr>
          <w:iCs/>
          <w:i/>
        </w:rPr>
        <w:t xml:space="preserve"> </w:t>
      </w:r>
      <w:r>
        <w:rPr>
          <w:iCs/>
          <w:i/>
        </w:rPr>
        <w:t xml:space="preserve">and</w:t>
      </w:r>
      <w:r>
        <w:rPr>
          <w:iCs/>
          <w:i/>
        </w:rPr>
        <w:t xml:space="preserve"> </w:t>
      </w:r>
      <w:r>
        <w:rPr>
          <w:iCs/>
          <w:i/>
        </w:rPr>
        <w:t xml:space="preserve">Design</w:t>
      </w:r>
      <w:r>
        <w:rPr>
          <w:iCs/>
          <w:i/>
        </w:rPr>
        <w:t xml:space="preserve"> </w:t>
      </w:r>
      <w:r>
        <w:rPr>
          <w:iCs/>
          <w:i/>
        </w:rPr>
        <w:t xml:space="preserve">of</w:t>
      </w:r>
      <w:r>
        <w:rPr>
          <w:iCs/>
          <w:i/>
        </w:rPr>
        <w:t xml:space="preserve"> </w:t>
      </w:r>
      <w:r>
        <w:rPr>
          <w:iCs/>
          <w:i/>
        </w:rPr>
        <w:t xml:space="preserve">Educational Assessment</w:t>
      </w:r>
      <w:r>
        <w:t xml:space="preserve">.</w:t>
      </w:r>
      <w:r>
        <w:t xml:space="preserve"> </w:t>
      </w:r>
      <w:r>
        <w:t xml:space="preserve">National Academies Press</w:t>
      </w:r>
      <w:r>
        <w:t xml:space="preserve">.</w:t>
      </w:r>
      <w:r>
        <w:t xml:space="preserve"> </w:t>
      </w:r>
      <w:hyperlink r:id="rId54">
        <w:r>
          <w:rPr>
            <w:rStyle w:val="Hyperlink"/>
          </w:rPr>
          <w:t xml:space="preserve">https://doi.org/10.17226/10019</w:t>
        </w:r>
      </w:hyperlink>
    </w:p>
    <w:bookmarkEnd w:id="55"/>
    <w:bookmarkStart w:id="57" w:name="Xd3220b3c4c74762840488f1ab7714e7e895bc2e"/>
    <w:p>
      <w:pPr>
        <w:pStyle w:val="Bibliography"/>
      </w:pPr>
      <w:r>
        <w:t xml:space="preserve">Pellegrino, J. W., &amp; Quellmalz, E. S. (2010). Perspectives on the</w:t>
      </w:r>
      <w:r>
        <w:t xml:space="preserve"> </w:t>
      </w:r>
      <w:r>
        <w:t xml:space="preserve">Integration</w:t>
      </w:r>
      <w:r>
        <w:t xml:space="preserve"> </w:t>
      </w:r>
      <w:r>
        <w:t xml:space="preserve">of</w:t>
      </w:r>
      <w:r>
        <w:t xml:space="preserve"> </w:t>
      </w:r>
      <w:r>
        <w:t xml:space="preserve">Technology</w:t>
      </w:r>
      <w:r>
        <w:t xml:space="preserve"> </w:t>
      </w:r>
      <w:r>
        <w:t xml:space="preserve">and</w:t>
      </w:r>
      <w:r>
        <w:t xml:space="preserve"> </w:t>
      </w:r>
      <w:r>
        <w:t xml:space="preserve">Assessment</w:t>
      </w:r>
      <w:r>
        <w:t xml:space="preserve">.</w:t>
      </w:r>
      <w:r>
        <w:t xml:space="preserve"> </w:t>
      </w:r>
      <w:r>
        <w:rPr>
          <w:iCs/>
          <w:i/>
        </w:rPr>
        <w:t xml:space="preserve">Journal of Research on Technology in Education</w:t>
      </w:r>
      <w:r>
        <w:t xml:space="preserve">,</w:t>
      </w:r>
      <w:r>
        <w:t xml:space="preserve"> </w:t>
      </w:r>
      <w:r>
        <w:rPr>
          <w:iCs/>
          <w:i/>
        </w:rPr>
        <w:t xml:space="preserve">43</w:t>
      </w:r>
      <w:r>
        <w:t xml:space="preserve">(2), 119–134.</w:t>
      </w:r>
      <w:r>
        <w:t xml:space="preserve"> </w:t>
      </w:r>
      <w:hyperlink r:id="rId56">
        <w:r>
          <w:rPr>
            <w:rStyle w:val="Hyperlink"/>
          </w:rPr>
          <w:t xml:space="preserve">https://doi.org/ggfh8z</w:t>
        </w:r>
      </w:hyperlink>
    </w:p>
    <w:bookmarkEnd w:id="57"/>
    <w:bookmarkStart w:id="59" w:name="ref-scrivenMethodologyEvaluation1967"/>
    <w:p>
      <w:pPr>
        <w:pStyle w:val="Bibliography"/>
      </w:pPr>
      <w:r>
        <w:t xml:space="preserve">Scriven, M. (1967).</w:t>
      </w:r>
      <w:r>
        <w:t xml:space="preserve"> </w:t>
      </w:r>
      <w:hyperlink r:id="rId58">
        <w:r>
          <w:rPr>
            <w:rStyle w:val="Hyperlink"/>
          </w:rPr>
          <w:t xml:space="preserve">The methodology of evaluation</w:t>
        </w:r>
      </w:hyperlink>
      <w:r>
        <w:t xml:space="preserve">. In B. O. Smith (Ed.),</w:t>
      </w:r>
      <w:r>
        <w:t xml:space="preserve"> </w:t>
      </w:r>
      <w:r>
        <w:rPr>
          <w:iCs/>
          <w:i/>
        </w:rPr>
        <w:t xml:space="preserve">Perspectives of curriculum evaluation</w:t>
      </w:r>
      <w:r>
        <w:t xml:space="preserve">.</w:t>
      </w:r>
      <w:r>
        <w:t xml:space="preserve"> </w:t>
      </w:r>
      <w:r>
        <w:t xml:space="preserve">Rand McNally</w:t>
      </w:r>
      <w:r>
        <w:t xml:space="preserve">.</w:t>
      </w:r>
    </w:p>
    <w:bookmarkEnd w:id="59"/>
    <w:bookmarkStart w:id="61" w:name="ref-shepardRoleAssessmentLearning2000"/>
    <w:p>
      <w:pPr>
        <w:pStyle w:val="Bibliography"/>
      </w:pPr>
      <w:r>
        <w:t xml:space="preserve">Shepard, L. A. (2000). The</w:t>
      </w:r>
      <w:r>
        <w:t xml:space="preserve"> </w:t>
      </w:r>
      <w:r>
        <w:t xml:space="preserve">Role</w:t>
      </w:r>
      <w:r>
        <w:t xml:space="preserve"> </w:t>
      </w:r>
      <w:r>
        <w:t xml:space="preserve">of</w:t>
      </w:r>
      <w:r>
        <w:t xml:space="preserve"> </w:t>
      </w:r>
      <w:r>
        <w:t xml:space="preserve">Assessment</w:t>
      </w:r>
      <w:r>
        <w:t xml:space="preserve"> </w:t>
      </w:r>
      <w:r>
        <w:t xml:space="preserve">in a</w:t>
      </w:r>
      <w:r>
        <w:t xml:space="preserve"> </w:t>
      </w:r>
      <w:r>
        <w:t xml:space="preserve">Learning Culture</w:t>
      </w:r>
      <w:r>
        <w:t xml:space="preserve">.</w:t>
      </w:r>
      <w:r>
        <w:t xml:space="preserve"> </w:t>
      </w:r>
      <w:r>
        <w:rPr>
          <w:iCs/>
          <w:i/>
        </w:rPr>
        <w:t xml:space="preserve">Educational Researcher</w:t>
      </w:r>
      <w:r>
        <w:t xml:space="preserve">,</w:t>
      </w:r>
      <w:r>
        <w:t xml:space="preserve"> </w:t>
      </w:r>
      <w:r>
        <w:rPr>
          <w:iCs/>
          <w:i/>
        </w:rPr>
        <w:t xml:space="preserve">29</w:t>
      </w:r>
      <w:r>
        <w:t xml:space="preserve">(7), 4–14.</w:t>
      </w:r>
      <w:r>
        <w:t xml:space="preserve"> </w:t>
      </w:r>
      <w:hyperlink r:id="rId60">
        <w:r>
          <w:rPr>
            <w:rStyle w:val="Hyperlink"/>
          </w:rPr>
          <w:t xml:space="preserve">https://doi.org/cw9jwc</w:t>
        </w:r>
      </w:hyperlink>
    </w:p>
    <w:bookmarkEnd w:id="61"/>
    <w:bookmarkStart w:id="62" w:name="ref-skinnerBehaviourOrganisms1938"/>
    <w:p>
      <w:pPr>
        <w:pStyle w:val="Bibliography"/>
      </w:pPr>
      <w:r>
        <w:t xml:space="preserve">Skinner, B. (1938).</w:t>
      </w:r>
      <w:r>
        <w:t xml:space="preserve"> </w:t>
      </w:r>
      <w:r>
        <w:rPr>
          <w:iCs/>
          <w:i/>
        </w:rPr>
        <w:t xml:space="preserve">The behaviour of organisms</w:t>
      </w:r>
      <w:r>
        <w:t xml:space="preserve">.</w:t>
      </w:r>
      <w:r>
        <w:t xml:space="preserve"> </w:t>
      </w:r>
      <w:r>
        <w:t xml:space="preserve">Appleton-Century-Crofts</w:t>
      </w:r>
      <w:r>
        <w:t xml:space="preserve">.</w:t>
      </w:r>
    </w:p>
    <w:bookmarkEnd w:id="62"/>
    <w:bookmarkStart w:id="63" w:name="ref-thorndikeElementsPsychology1905"/>
    <w:p>
      <w:pPr>
        <w:pStyle w:val="Bibliography"/>
      </w:pPr>
      <w:r>
        <w:t xml:space="preserve">Thorndike, E. L. (1905).</w:t>
      </w:r>
      <w:r>
        <w:t xml:space="preserve"> </w:t>
      </w:r>
      <w:r>
        <w:rPr>
          <w:iCs/>
          <w:i/>
        </w:rPr>
        <w:t xml:space="preserve">The</w:t>
      </w:r>
      <w:r>
        <w:rPr>
          <w:iCs/>
          <w:i/>
        </w:rPr>
        <w:t xml:space="preserve"> </w:t>
      </w:r>
      <w:r>
        <w:rPr>
          <w:iCs/>
          <w:i/>
        </w:rPr>
        <w:t xml:space="preserve">Elements</w:t>
      </w:r>
      <w:r>
        <w:rPr>
          <w:iCs/>
          <w:i/>
        </w:rPr>
        <w:t xml:space="preserve"> </w:t>
      </w:r>
      <w:r>
        <w:rPr>
          <w:iCs/>
          <w:i/>
        </w:rPr>
        <w:t xml:space="preserve">of psychology</w:t>
      </w:r>
      <w:r>
        <w:t xml:space="preserve">.</w:t>
      </w:r>
      <w:r>
        <w:t xml:space="preserve"> </w:t>
      </w:r>
      <w:r>
        <w:t xml:space="preserve">A.G. Seiler</w:t>
      </w:r>
      <w:r>
        <w:t xml:space="preserve">.</w:t>
      </w:r>
    </w:p>
    <w:bookmarkEnd w:id="63"/>
    <w:bookmarkStart w:id="65" w:name="X9783eef1c37e492f1192ce9092108eb526b7f44"/>
    <w:p>
      <w:pPr>
        <w:pStyle w:val="Bibliography"/>
      </w:pPr>
      <w:r>
        <w:t xml:space="preserve">Timmis, S., Broadfoot, P., Sutherland, R., &amp; Oldfield, A. (2016). Rethinking assessment in a digital age: Opportunities, challenges and risks.</w:t>
      </w:r>
      <w:r>
        <w:t xml:space="preserve"> </w:t>
      </w:r>
      <w:r>
        <w:rPr>
          <w:iCs/>
          <w:i/>
        </w:rPr>
        <w:t xml:space="preserve">British Educational Research Journal</w:t>
      </w:r>
      <w:r>
        <w:t xml:space="preserve">,</w:t>
      </w:r>
      <w:r>
        <w:t xml:space="preserve"> </w:t>
      </w:r>
      <w:r>
        <w:rPr>
          <w:iCs/>
          <w:i/>
        </w:rPr>
        <w:t xml:space="preserve">42</w:t>
      </w:r>
      <w:r>
        <w:t xml:space="preserve">(3), 454–476.</w:t>
      </w:r>
      <w:r>
        <w:t xml:space="preserve"> </w:t>
      </w:r>
      <w:hyperlink r:id="rId64">
        <w:r>
          <w:rPr>
            <w:rStyle w:val="Hyperlink"/>
          </w:rPr>
          <w:t xml:space="preserve">https://doi.org/gftz95</w:t>
        </w:r>
      </w:hyperlink>
    </w:p>
    <w:bookmarkEnd w:id="65"/>
    <w:bookmarkStart w:id="66" w:name="ref-vygotskyMindSociety1978"/>
    <w:p>
      <w:pPr>
        <w:pStyle w:val="Bibliography"/>
      </w:pPr>
      <w:r>
        <w:t xml:space="preserve">Vygotsky, L. S. (1978).</w:t>
      </w:r>
      <w:r>
        <w:t xml:space="preserve"> </w:t>
      </w:r>
      <w:r>
        <w:rPr>
          <w:iCs/>
          <w:i/>
        </w:rPr>
        <w:t xml:space="preserve">Mind in society</w:t>
      </w:r>
      <w:r>
        <w:t xml:space="preserve"> </w:t>
      </w:r>
      <w:r>
        <w:t xml:space="preserve">(M. Cole, V. John-Steiner, S. Scribner, &amp; E. Souberman, Eds.; A. R. Luria, Trans.).</w:t>
      </w:r>
      <w:r>
        <w:t xml:space="preserve"> </w:t>
      </w:r>
      <w:r>
        <w:t xml:space="preserve">Harvard University Press</w:t>
      </w:r>
      <w:r>
        <w:t xml:space="preserve">.</w:t>
      </w:r>
    </w:p>
    <w:bookmarkEnd w:id="66"/>
    <w:bookmarkStart w:id="68" w:name="ref-webbAssessmentTwentyFirstCentury2018"/>
    <w:p>
      <w:pPr>
        <w:pStyle w:val="Bibliography"/>
      </w:pPr>
      <w:r>
        <w:t xml:space="preserve">Webb, M., &amp; Ifenthaler, D. (2018). Assessment as, for, and of</w:t>
      </w:r>
      <w:r>
        <w:t xml:space="preserve"> </w:t>
      </w:r>
      <w:r>
        <w:t xml:space="preserve">Twenty-First Century Learning Using Information Technology</w:t>
      </w:r>
      <w:r>
        <w:t xml:space="preserve">:</w:t>
      </w:r>
      <w:r>
        <w:t xml:space="preserve"> </w:t>
      </w:r>
      <w:r>
        <w:t xml:space="preserve">An Overview</w:t>
      </w:r>
      <w:r>
        <w:t xml:space="preserve">. In J. Voogt, G. Knezek, R. Christensen, &amp; K.-W. Lai (Eds.),</w:t>
      </w:r>
      <w:r>
        <w:t xml:space="preserve"> </w:t>
      </w:r>
      <w:r>
        <w:rPr>
          <w:iCs/>
          <w:i/>
        </w:rPr>
        <w:t xml:space="preserve">Second</w:t>
      </w:r>
      <w:r>
        <w:rPr>
          <w:iCs/>
          <w:i/>
        </w:rPr>
        <w:t xml:space="preserve"> </w:t>
      </w:r>
      <w:r>
        <w:rPr>
          <w:iCs/>
          <w:i/>
        </w:rPr>
        <w:t xml:space="preserve">Handbook</w:t>
      </w:r>
      <w:r>
        <w:rPr>
          <w:iCs/>
          <w:i/>
        </w:rPr>
        <w:t xml:space="preserve"> </w:t>
      </w:r>
      <w:r>
        <w:rPr>
          <w:iCs/>
          <w:i/>
        </w:rPr>
        <w:t xml:space="preserve">of</w:t>
      </w:r>
      <w:r>
        <w:rPr>
          <w:iCs/>
          <w:i/>
        </w:rPr>
        <w:t xml:space="preserve"> </w:t>
      </w:r>
      <w:r>
        <w:rPr>
          <w:iCs/>
          <w:i/>
        </w:rPr>
        <w:t xml:space="preserve">Information Technology</w:t>
      </w:r>
      <w:r>
        <w:rPr>
          <w:iCs/>
          <w:i/>
        </w:rPr>
        <w:t xml:space="preserve"> </w:t>
      </w:r>
      <w:r>
        <w:rPr>
          <w:iCs/>
          <w:i/>
        </w:rPr>
        <w:t xml:space="preserve">in</w:t>
      </w:r>
      <w:r>
        <w:rPr>
          <w:iCs/>
          <w:i/>
        </w:rPr>
        <w:t xml:space="preserve"> </w:t>
      </w:r>
      <w:r>
        <w:rPr>
          <w:iCs/>
          <w:i/>
        </w:rPr>
        <w:t xml:space="preserve">Primary</w:t>
      </w:r>
      <w:r>
        <w:rPr>
          <w:iCs/>
          <w:i/>
        </w:rPr>
        <w:t xml:space="preserve"> </w:t>
      </w:r>
      <w:r>
        <w:rPr>
          <w:iCs/>
          <w:i/>
        </w:rPr>
        <w:t xml:space="preserve">and</w:t>
      </w:r>
      <w:r>
        <w:rPr>
          <w:iCs/>
          <w:i/>
        </w:rPr>
        <w:t xml:space="preserve"> </w:t>
      </w:r>
      <w:r>
        <w:rPr>
          <w:iCs/>
          <w:i/>
        </w:rPr>
        <w:t xml:space="preserve">Secondary Education</w:t>
      </w:r>
      <w:r>
        <w:t xml:space="preserve"> </w:t>
      </w:r>
      <w:r>
        <w:t xml:space="preserve">(pp. 581–600).</w:t>
      </w:r>
      <w:r>
        <w:t xml:space="preserve"> </w:t>
      </w:r>
      <w:r>
        <w:t xml:space="preserve">Springer International Publishing</w:t>
      </w:r>
      <w:r>
        <w:t xml:space="preserve">.</w:t>
      </w:r>
      <w:r>
        <w:t xml:space="preserve"> </w:t>
      </w:r>
      <w:hyperlink r:id="rId67">
        <w:r>
          <w:rPr>
            <w:rStyle w:val="Hyperlink"/>
          </w:rPr>
          <w:t xml:space="preserve">https://doi.org/10.1007/978-3-319-71054-9_37</w:t>
        </w:r>
      </w:hyperlink>
    </w:p>
    <w:bookmarkEnd w:id="68"/>
    <w:bookmarkStart w:id="70" w:name="X731be6e2e0895c79e0f034fc829fd623ca4b0d3"/>
    <w:p>
      <w:pPr>
        <w:pStyle w:val="Bibliography"/>
      </w:pPr>
      <w:r>
        <w:t xml:space="preserve">Willis, J., Adie, L., &amp; Klenowski, V. (2013). Conceptualising teachers’ assessment literacies in an era of curriculum and assessment reform.</w:t>
      </w:r>
      <w:r>
        <w:t xml:space="preserve"> </w:t>
      </w:r>
      <w:r>
        <w:rPr>
          <w:iCs/>
          <w:i/>
        </w:rPr>
        <w:t xml:space="preserve">The Australian Educational Researcher</w:t>
      </w:r>
      <w:r>
        <w:t xml:space="preserve">,</w:t>
      </w:r>
      <w:r>
        <w:t xml:space="preserve"> </w:t>
      </w:r>
      <w:r>
        <w:rPr>
          <w:iCs/>
          <w:i/>
        </w:rPr>
        <w:t xml:space="preserve">40</w:t>
      </w:r>
      <w:r>
        <w:t xml:space="preserve">(2), 241–256.</w:t>
      </w:r>
      <w:r>
        <w:t xml:space="preserve"> </w:t>
      </w:r>
      <w:hyperlink r:id="rId69">
        <w:r>
          <w:rPr>
            <w:rStyle w:val="Hyperlink"/>
          </w:rPr>
          <w:t xml:space="preserve">https://doi.org/gh5k7d</w:t>
        </w:r>
      </w:hyperlink>
    </w:p>
    <w:bookmarkEnd w:id="70"/>
    <w:bookmarkEnd w:id="71"/>
    <w:bookmarkEnd w:id="72"/>
    <w:bookmarkEnd w:id="73"/>
    <w:sectPr w:rsidR="00D72BBE">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C64FC98"/>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0FE2ADC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877032C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EB2AC28"/>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26F4E3F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6826097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B4AEEEA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855EF54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5A321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1B87F3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6808886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qFormat="1"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autoRedefine/>
    <w:uiPriority w:val="9"/>
    <w:qFormat/>
    <w:rsid w:val="00BF67FF"/>
    <w:pPr>
      <w:keepNext/>
      <w:keepLines/>
      <w:spacing w:after="0" w:before="240" w:line="480" w:lineRule="auto"/>
      <w:jc w:val="center"/>
      <w:outlineLvl w:val="0"/>
    </w:pPr>
    <w:rPr>
      <w:rFonts w:ascii="Times New Roman" w:cstheme="majorBidi" w:eastAsiaTheme="majorEastAsia" w:hAnsi="Times New Roman"/>
      <w:b/>
      <w:bCs/>
      <w:color w:themeColor="text1" w:val="000000"/>
      <w:szCs w:val="32"/>
    </w:rPr>
  </w:style>
  <w:style w:styleId="Heading2" w:type="paragraph">
    <w:name w:val="heading 2"/>
    <w:basedOn w:val="Normal"/>
    <w:next w:val="BodyText"/>
    <w:autoRedefine/>
    <w:uiPriority w:val="9"/>
    <w:unhideWhenUsed/>
    <w:qFormat/>
    <w:rsid w:val="00BF67FF"/>
    <w:pPr>
      <w:keepNext/>
      <w:keepLines/>
      <w:spacing w:after="0" w:before="200" w:line="480" w:lineRule="auto"/>
      <w:outlineLvl w:val="1"/>
    </w:pPr>
    <w:rPr>
      <w:rFonts w:ascii="Times New Roman" w:cstheme="majorBidi" w:eastAsiaTheme="majorEastAsia" w:hAnsi="Times New Roman"/>
      <w:b/>
      <w:bCs/>
      <w:color w:themeColor="text1" w:val="000000"/>
      <w:szCs w:val="28"/>
    </w:rPr>
  </w:style>
  <w:style w:styleId="Heading3" w:type="paragraph">
    <w:name w:val="heading 3"/>
    <w:basedOn w:val="Normal"/>
    <w:next w:val="BodyText"/>
    <w:autoRedefine/>
    <w:uiPriority w:val="9"/>
    <w:unhideWhenUsed/>
    <w:qFormat/>
    <w:rsid w:val="00BF67FF"/>
    <w:pPr>
      <w:keepNext/>
      <w:keepLines/>
      <w:spacing w:after="0" w:before="200" w:line="480" w:lineRule="auto"/>
      <w:outlineLvl w:val="2"/>
    </w:pPr>
    <w:rPr>
      <w:rFonts w:ascii="Times New Roman" w:cstheme="majorBidi" w:eastAsiaTheme="majorEastAsia" w:hAnsi="Times New Roman"/>
      <w:b/>
      <w:bCs/>
      <w:i/>
      <w:color w:themeColor="text1" w:val="000000"/>
    </w:rPr>
  </w:style>
  <w:style w:styleId="Heading4" w:type="paragraph">
    <w:name w:val="heading 4"/>
    <w:basedOn w:val="Normal"/>
    <w:next w:val="BodyText"/>
    <w:autoRedefine/>
    <w:uiPriority w:val="9"/>
    <w:unhideWhenUsed/>
    <w:qFormat/>
    <w:rsid w:val="00BF67FF"/>
    <w:pPr>
      <w:keepNext/>
      <w:keepLines/>
      <w:spacing w:after="0" w:before="200" w:line="480" w:lineRule="auto"/>
      <w:ind w:firstLine="720"/>
      <w:outlineLvl w:val="3"/>
    </w:pPr>
    <w:rPr>
      <w:rFonts w:ascii="Times New Roman" w:cstheme="majorBidi" w:eastAsiaTheme="majorEastAsia" w:hAnsi="Times New Roman"/>
      <w:b/>
      <w:bCs/>
      <w:color w:themeColor="text1" w:val="000000"/>
    </w:rPr>
  </w:style>
  <w:style w:styleId="Heading5" w:type="paragraph">
    <w:name w:val="heading 5"/>
    <w:basedOn w:val="Normal"/>
    <w:next w:val="BodyText"/>
    <w:autoRedefine/>
    <w:uiPriority w:val="9"/>
    <w:unhideWhenUsed/>
    <w:qFormat/>
    <w:rsid w:val="00BF67FF"/>
    <w:pPr>
      <w:keepNext/>
      <w:keepLines/>
      <w:spacing w:after="0" w:before="200" w:line="480" w:lineRule="auto"/>
      <w:ind w:firstLine="720"/>
      <w:outlineLvl w:val="4"/>
    </w:pPr>
    <w:rPr>
      <w:rFonts w:ascii="Times New Roman" w:cstheme="majorBidi" w:eastAsiaTheme="majorEastAsia" w:hAnsi="Times New Roman"/>
      <w:b/>
      <w:i/>
      <w:iCs/>
      <w:color w:themeColor="text1" w:val="000000"/>
    </w:rPr>
  </w:style>
  <w:style w:styleId="Heading6" w:type="paragraph">
    <w:name w:val="heading 6"/>
    <w:aliases w:val="Table title"/>
    <w:basedOn w:val="Normal"/>
    <w:next w:val="BodyText"/>
    <w:uiPriority w:val="9"/>
    <w:unhideWhenUsed/>
    <w:qFormat/>
    <w:rsid w:val="004D75A2"/>
    <w:pPr>
      <w:keepNext/>
      <w:keepLines/>
      <w:spacing w:after="0" w:before="200" w:line="480" w:lineRule="auto"/>
      <w:outlineLvl w:val="5"/>
    </w:pPr>
    <w:rPr>
      <w:rFonts w:ascii="Times New Roman" w:cstheme="majorBidi" w:eastAsiaTheme="majorEastAsia" w:hAnsi="Times New Roman"/>
      <w:i/>
      <w:color w:themeColor="text1" w:val="000000"/>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96503B"/>
    <w:pPr>
      <w:spacing w:after="0" w:line="480" w:lineRule="auto"/>
      <w:ind w:firstLine="720"/>
    </w:pPr>
    <w:rPr>
      <w:rFonts w:ascii="Times New Roman" w:hAnsi="Times New Roman"/>
      <w:color w:themeColor="text1" w:val="00000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aliases w:val="H1"/>
    <w:basedOn w:val="Normal"/>
    <w:next w:val="BodyText"/>
    <w:qFormat/>
    <w:rsid w:val="002C7438"/>
    <w:pPr>
      <w:keepNext/>
      <w:keepLines/>
      <w:spacing w:after="240" w:before="480"/>
      <w:jc w:val="center"/>
    </w:pPr>
    <w:rPr>
      <w:rFonts w:ascii="Times New Roman" w:cstheme="majorBidi" w:eastAsiaTheme="majorEastAsia" w:hAnsi="Times New Roman"/>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autoRedefine/>
    <w:uiPriority w:val="9"/>
    <w:unhideWhenUsed/>
    <w:qFormat/>
    <w:pPr>
      <w:spacing w:after="100" w:before="100"/>
      <w:ind w:firstLine="0"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qFormat/>
    <w:rsid w:val="00CB6A49"/>
    <w:rPr>
      <w:rFonts w:ascii="Times New Roman" w:hAnsi="Times New Roman"/>
      <w:color w:themeColor="accent1" w:val="4F81BD"/>
      <w:sz w:val="24"/>
      <w:u w:val="single"/>
    </w:rPr>
  </w:style>
  <w:style w:styleId="TOCHeading" w:type="paragraph">
    <w:name w:val="TOC Heading"/>
    <w:basedOn w:val="Heading1"/>
    <w:next w:val="BodyText"/>
    <w:uiPriority w:val="39"/>
    <w:unhideWhenUsed/>
    <w:qFormat/>
    <w:pPr>
      <w:spacing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96503B"/>
    <w:rPr>
      <w:rFonts w:ascii="Times New Roman" w:hAnsi="Times New Roman"/>
      <w:color w:themeColor="text1" w:val="000000"/>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s://doi.org/10.1007/978-1-4020-8905-3" TargetMode="External" /><Relationship Type="http://schemas.openxmlformats.org/officeDocument/2006/relationships/hyperlink" Id="rId25" Target="https://doi.org/10.1007/978-3-319-17727-4_64-1" TargetMode="External" /><Relationship Type="http://schemas.openxmlformats.org/officeDocument/2006/relationships/hyperlink" Id="rId67" Target="https://doi.org/10.1007/978-3-319-71054-9_37" TargetMode="External" /><Relationship Type="http://schemas.openxmlformats.org/officeDocument/2006/relationships/hyperlink" Id="rId27" Target="https://doi.org/10.1080/0969594042000304609" TargetMode="External" /><Relationship Type="http://schemas.openxmlformats.org/officeDocument/2006/relationships/hyperlink" Id="rId54" Target="https://doi.org/10.17226/10019" TargetMode="External" /><Relationship Type="http://schemas.openxmlformats.org/officeDocument/2006/relationships/hyperlink" Id="rId42" Target="https://doi.org/10.4324/9780203930939" TargetMode="External" /><Relationship Type="http://schemas.openxmlformats.org/officeDocument/2006/relationships/hyperlink" Id="rId38" Target="https://doi.org/ctccpq" TargetMode="External" /><Relationship Type="http://schemas.openxmlformats.org/officeDocument/2006/relationships/hyperlink" Id="rId60" Target="https://doi.org/cw9jwc" TargetMode="External" /><Relationship Type="http://schemas.openxmlformats.org/officeDocument/2006/relationships/hyperlink" Id="rId52" Target="https://doi.org/d89z7p" TargetMode="External" /><Relationship Type="http://schemas.openxmlformats.org/officeDocument/2006/relationships/hyperlink" Id="rId29" Target="https://doi.org/dvd8nf" TargetMode="External" /><Relationship Type="http://schemas.openxmlformats.org/officeDocument/2006/relationships/hyperlink" Id="rId22" Target="https://doi.org/fpnss4" TargetMode="External" /><Relationship Type="http://schemas.openxmlformats.org/officeDocument/2006/relationships/hyperlink" Id="rId35" Target="https://doi.org/gfgtsg" TargetMode="External" /><Relationship Type="http://schemas.openxmlformats.org/officeDocument/2006/relationships/hyperlink" Id="rId64" Target="https://doi.org/gftz95" TargetMode="External" /><Relationship Type="http://schemas.openxmlformats.org/officeDocument/2006/relationships/hyperlink" Id="rId56" Target="https://doi.org/ggfh8z" TargetMode="External" /><Relationship Type="http://schemas.openxmlformats.org/officeDocument/2006/relationships/hyperlink" Id="rId33" Target="https://doi.org/gh5k63" TargetMode="External" /><Relationship Type="http://schemas.openxmlformats.org/officeDocument/2006/relationships/hyperlink" Id="rId69" Target="https://doi.org/gh5k7d" TargetMode="External" /><Relationship Type="http://schemas.openxmlformats.org/officeDocument/2006/relationships/hyperlink" Id="rId46" Target="https://doi.org/ghjw3k" TargetMode="External" /><Relationship Type="http://schemas.openxmlformats.org/officeDocument/2006/relationships/hyperlink" Id="rId48" Target="https://doi.org/gj5ngz" TargetMode="External" /><Relationship Type="http://schemas.openxmlformats.org/officeDocument/2006/relationships/hyperlink" Id="rId31" Target="https://doi.org/gj5v98" TargetMode="External" /><Relationship Type="http://schemas.openxmlformats.org/officeDocument/2006/relationships/hyperlink" Id="rId50" Target="https://doi.org/gjm236" TargetMode="External" /><Relationship Type="http://schemas.openxmlformats.org/officeDocument/2006/relationships/hyperlink" Id="rId58" Target="https://www.ncbi.nlm.nih.gov/pmc/articles/null" TargetMode="External" /></Relationships>
</file>

<file path=word/_rels/footnotes.xml.rels><?xml version="1.0" encoding="UTF-8"?><Relationships xmlns="http://schemas.openxmlformats.org/package/2006/relationships"><Relationship Type="http://schemas.openxmlformats.org/officeDocument/2006/relationships/hyperlink" Id="rId44" Target="https://doi.org/10.1007/978-1-4020-8905-3" TargetMode="External" /><Relationship Type="http://schemas.openxmlformats.org/officeDocument/2006/relationships/hyperlink" Id="rId25" Target="https://doi.org/10.1007/978-3-319-17727-4_64-1" TargetMode="External" /><Relationship Type="http://schemas.openxmlformats.org/officeDocument/2006/relationships/hyperlink" Id="rId67" Target="https://doi.org/10.1007/978-3-319-71054-9_37" TargetMode="External" /><Relationship Type="http://schemas.openxmlformats.org/officeDocument/2006/relationships/hyperlink" Id="rId27" Target="https://doi.org/10.1080/0969594042000304609" TargetMode="External" /><Relationship Type="http://schemas.openxmlformats.org/officeDocument/2006/relationships/hyperlink" Id="rId54" Target="https://doi.org/10.17226/10019" TargetMode="External" /><Relationship Type="http://schemas.openxmlformats.org/officeDocument/2006/relationships/hyperlink" Id="rId42" Target="https://doi.org/10.4324/9780203930939" TargetMode="External" /><Relationship Type="http://schemas.openxmlformats.org/officeDocument/2006/relationships/hyperlink" Id="rId38" Target="https://doi.org/ctccpq" TargetMode="External" /><Relationship Type="http://schemas.openxmlformats.org/officeDocument/2006/relationships/hyperlink" Id="rId60" Target="https://doi.org/cw9jwc" TargetMode="External" /><Relationship Type="http://schemas.openxmlformats.org/officeDocument/2006/relationships/hyperlink" Id="rId52" Target="https://doi.org/d89z7p" TargetMode="External" /><Relationship Type="http://schemas.openxmlformats.org/officeDocument/2006/relationships/hyperlink" Id="rId29" Target="https://doi.org/dvd8nf" TargetMode="External" /><Relationship Type="http://schemas.openxmlformats.org/officeDocument/2006/relationships/hyperlink" Id="rId22" Target="https://doi.org/fpnss4" TargetMode="External" /><Relationship Type="http://schemas.openxmlformats.org/officeDocument/2006/relationships/hyperlink" Id="rId35" Target="https://doi.org/gfgtsg" TargetMode="External" /><Relationship Type="http://schemas.openxmlformats.org/officeDocument/2006/relationships/hyperlink" Id="rId64" Target="https://doi.org/gftz95" TargetMode="External" /><Relationship Type="http://schemas.openxmlformats.org/officeDocument/2006/relationships/hyperlink" Id="rId56" Target="https://doi.org/ggfh8z" TargetMode="External" /><Relationship Type="http://schemas.openxmlformats.org/officeDocument/2006/relationships/hyperlink" Id="rId33" Target="https://doi.org/gh5k63" TargetMode="External" /><Relationship Type="http://schemas.openxmlformats.org/officeDocument/2006/relationships/hyperlink" Id="rId69" Target="https://doi.org/gh5k7d" TargetMode="External" /><Relationship Type="http://schemas.openxmlformats.org/officeDocument/2006/relationships/hyperlink" Id="rId46" Target="https://doi.org/ghjw3k" TargetMode="External" /><Relationship Type="http://schemas.openxmlformats.org/officeDocument/2006/relationships/hyperlink" Id="rId48" Target="https://doi.org/gj5ngz" TargetMode="External" /><Relationship Type="http://schemas.openxmlformats.org/officeDocument/2006/relationships/hyperlink" Id="rId31" Target="https://doi.org/gj5v98" TargetMode="External" /><Relationship Type="http://schemas.openxmlformats.org/officeDocument/2006/relationships/hyperlink" Id="rId50" Target="https://doi.org/gjm236" TargetMode="External" /><Relationship Type="http://schemas.openxmlformats.org/officeDocument/2006/relationships/hyperlink" Id="rId58" Target="https://www.ncbi.nlm.nih.gov/pmc/articles/nul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1</Pages>
  <Words>52</Words>
  <Characters>301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Approaches to Assessment in Higher Education</dc:title>
  <dc:creator>Colin Madland</dc:creator>
  <dc:description>This site hosts the open development of my PhD dissertation at University of Victoria.</dc:description>
  <cp:keywords/>
  <dcterms:created xsi:type="dcterms:W3CDTF">2022-05-27T06:50:58Z</dcterms:created>
  <dcterms:modified xsi:type="dcterms:W3CDTF">2022-05-27T06:50:58Z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vt:lpwstr>
  </property>
  <property fmtid="{D5CDD505-2E9C-101B-9397-08002B2CF9AE}" pid="3" name="bibliography">
    <vt:lpwstr/>
  </property>
  <property fmtid="{D5CDD505-2E9C-101B-9397-08002B2CF9AE}" pid="4" name="bookdown">
    <vt:lpwstr/>
  </property>
  <property fmtid="{D5CDD505-2E9C-101B-9397-08002B2CF9AE}" pid="5" name="csl">
    <vt:lpwstr>apa.csl</vt:lpwstr>
  </property>
  <property fmtid="{D5CDD505-2E9C-101B-9397-08002B2CF9AE}" pid="6" name="date">
    <vt:lpwstr>2022-05-26</vt:lpwstr>
  </property>
  <property fmtid="{D5CDD505-2E9C-101B-9397-08002B2CF9AE}" pid="7" name="documentclass">
    <vt:lpwstr>book</vt:lpwstr>
  </property>
  <property fmtid="{D5CDD505-2E9C-101B-9397-08002B2CF9AE}" pid="8" name="github-repo">
    <vt:lpwstr>cmadland/assessment</vt:lpwstr>
  </property>
  <property fmtid="{D5CDD505-2E9C-101B-9397-08002B2CF9AE}" pid="9" name="link-citations">
    <vt:lpwstr>True</vt:lpwstr>
  </property>
  <property fmtid="{D5CDD505-2E9C-101B-9397-08002B2CF9AE}" pid="10" name="output">
    <vt:lpwstr>bookdown::gitbook</vt:lpwstr>
  </property>
  <property fmtid="{D5CDD505-2E9C-101B-9397-08002B2CF9AE}" pid="11" name="site">
    <vt:lpwstr>bookdown::bookdown_site</vt:lpwstr>
  </property>
</Properties>
</file>