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Coombs,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0"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0"/>
    <w:bookmarkStart w:id="21"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1"/>
    <w:bookmarkStart w:id="22"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2"/>
    <w:bookmarkStart w:id="23"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3"/>
    <w:bookmarkStart w:id="24"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4"/>
    <w:bookmarkEnd w:id="25"/>
    <w:bookmarkStart w:id="39" w:name="X00e80ae76d4080e847787e2b57aa318db7fe669"/>
    <w:p>
      <w:pPr>
        <w:pStyle w:val="Heading1"/>
      </w:pPr>
      <w:r>
        <w:t xml:space="preserve">A Review of the Literature on Assessment in Higher Education</w:t>
      </w:r>
    </w:p>
    <w:bookmarkStart w:id="26"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Coombs,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6"/>
    <w:bookmarkStart w:id="27"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7"/>
    <w:bookmarkStart w:id="28"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DeLuca, and LaPointe-McEwan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8"/>
    <w:bookmarkStart w:id="32"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30" name="Picture"/>
            <a:graphic>
              <a:graphicData uri="http://schemas.openxmlformats.org/drawingml/2006/picture">
                <pic:pic>
                  <pic:nvPicPr>
                    <pic:cNvPr descr="images/approaches-to-assessment.png" id="31" name="Picture"/>
                    <pic:cNvPicPr>
                      <a:picLocks noChangeArrowheads="1" noChangeAspect="1"/>
                    </pic:cNvPicPr>
                  </pic:nvPicPr>
                  <pic:blipFill>
                    <a:blip r:embed="rId29"/>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2"/>
    <w:bookmarkStart w:id="33"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3"/>
    <w:bookmarkStart w:id="34"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4"/>
    <w:bookmarkStart w:id="38"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36" name="Picture"/>
            <a:graphic>
              <a:graphicData uri="http://schemas.openxmlformats.org/drawingml/2006/picture">
                <pic:pic>
                  <pic:nvPicPr>
                    <pic:cNvPr descr="images/3p-model.png" id="37" name="Picture"/>
                    <pic:cNvPicPr>
                      <a:picLocks noChangeArrowheads="1" noChangeAspect="1"/>
                    </pic:cNvPicPr>
                  </pic:nvPicPr>
                  <pic:blipFill>
                    <a:blip r:embed="rId35"/>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8"/>
    <w:bookmarkEnd w:id="39"/>
    <w:bookmarkStart w:id="60" w:name="X8764a6209bcf66c4e31745546a63a6ef3996f82"/>
    <w:p>
      <w:pPr>
        <w:pStyle w:val="Heading1"/>
      </w:pPr>
      <w:r>
        <w:t xml:space="preserve">Validating the ACAI in Online higher Education</w:t>
      </w:r>
    </w:p>
    <w:bookmarkStart w:id="41" w:name="X97acc63cb6734446c48251a775a217f3f000e00"/>
    <w:p>
      <w:pPr>
        <w:pStyle w:val="Heading2"/>
      </w:pPr>
      <w:r>
        <w:t xml:space="preserve">Overview of the Problem, Purpose, and Questions</w:t>
      </w:r>
    </w:p>
    <w:p>
      <w:pPr>
        <w:pStyle w:val="FirstParagraph"/>
      </w:pPr>
      <w:r>
        <w:t xml:space="preserve">Research suggests that higher education faculty receive little formal preparation for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and that there may be misalignment between modern pedagogical practices and the approaches to assessment taken by higher education instructors</w:t>
      </w:r>
      <w:r>
        <w:t xml:space="preserve"> </w:t>
      </w:r>
      <w:r>
        <w:t xml:space="preserve">(</w:t>
      </w:r>
      <w:hyperlink w:anchor="ref-knightSummativeAssessmentHigher2002">
        <w:r>
          <w:rPr>
            <w:rStyle w:val="Hyperlink"/>
          </w:rPr>
          <w:t xml:space="preserve">Knight 2002</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
      </w:r>
      <w:r>
        <w:t xml:space="preserve"> </w:t>
      </w:r>
      <w:r>
        <w:t xml:space="preserve">(</w:t>
      </w:r>
      <w:hyperlink w:anchor="ref-delucaDifferentialSituatedView2019">
        <w:r>
          <w:rPr>
            <w:rStyle w:val="Hyperlink"/>
          </w:rPr>
          <w:t xml:space="preserve">DeLuca, Coombs, et al. 2019</w:t>
        </w:r>
      </w:hyperlink>
      <w:r>
        <w:t xml:space="preserve">)</w:t>
      </w:r>
      <w:r>
        <w:t xml:space="preserve">.</w:t>
      </w:r>
    </w:p>
    <w:p>
      <w:pPr>
        <w:pStyle w:val="BodyText"/>
      </w:pPr>
      <w:r>
        <w:t xml:space="preserve">Specific research questions to be addressed are:</w:t>
      </w:r>
    </w:p>
    <w:p>
      <w:pPr>
        <w:numPr>
          <w:ilvl w:val="0"/>
          <w:numId w:val="1027"/>
        </w:numPr>
        <w:pStyle w:val="Compact"/>
      </w:pPr>
      <w:r>
        <w:t xml:space="preserve">Are there distinct patterns in higher education instructors’ approaches to assessment in Canada?</w:t>
      </w:r>
    </w:p>
    <w:p>
      <w:pPr>
        <w:numPr>
          <w:ilvl w:val="0"/>
          <w:numId w:val="1027"/>
        </w:numPr>
        <w:pStyle w:val="Compact"/>
      </w:pPr>
      <w:r>
        <w:t xml:space="preserve">Does the prevalence of these patterns differ by:</w:t>
      </w:r>
    </w:p>
    <w:p>
      <w:pPr>
        <w:numPr>
          <w:ilvl w:val="1"/>
          <w:numId w:val="1028"/>
        </w:numPr>
        <w:pStyle w:val="Compact"/>
      </w:pPr>
      <w:r>
        <w:t xml:space="preserve">instructors’ levels of experience in teaching face-to-face versus online?</w:t>
      </w:r>
    </w:p>
    <w:p>
      <w:pPr>
        <w:numPr>
          <w:ilvl w:val="1"/>
          <w:numId w:val="1028"/>
        </w:numPr>
        <w:pStyle w:val="Compact"/>
      </w:pPr>
      <w:r>
        <w:t xml:space="preserve">instructors’ levels of experience using technology?</w:t>
      </w:r>
    </w:p>
    <w:p>
      <w:pPr>
        <w:numPr>
          <w:ilvl w:val="0"/>
          <w:numId w:val="1027"/>
        </w:numPr>
        <w:pStyle w:val="Compact"/>
      </w:pPr>
      <w:r>
        <w:t xml:space="preserve">What factors influence instructors’ approaches to assessment?</w:t>
      </w:r>
    </w:p>
    <w:p>
      <w:pPr>
        <w:numPr>
          <w:ilvl w:val="0"/>
          <w:numId w:val="1027"/>
        </w:numPr>
        <w:pStyle w:val="Compact"/>
      </w:pPr>
      <w:r>
        <w:t xml:space="preserve">How do instructors’ assessment approaches affect learners’ experiences?</w:t>
      </w:r>
    </w:p>
    <w:p>
      <w:pPr>
        <w:pStyle w:val="FirstParagraph"/>
      </w:pPr>
      <w:r>
        <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
      </w:r>
      <w:r>
        <w:t xml:space="preserve"> </w:t>
      </w:r>
      <w:r>
        <w:t xml:space="preserve">“</w:t>
      </w:r>
      <w:r>
        <w:t xml:space="preserve">assessment literacy</w:t>
      </w:r>
      <w:r>
        <w:t xml:space="preserve">”</w:t>
      </w:r>
      <w:r>
        <w:t xml:space="preserve">,</w:t>
      </w:r>
      <w:r>
        <w:t xml:space="preserve"> </w:t>
      </w:r>
      <w:r>
        <w:t xml:space="preserve">“</w:t>
      </w:r>
      <w:r>
        <w:t xml:space="preserve">assessment</w:t>
      </w:r>
      <w:r>
        <w:t xml:space="preserve">”</w:t>
      </w:r>
      <w:r>
        <w:t xml:space="preserve">,</w:t>
      </w:r>
      <w:r>
        <w:t xml:space="preserve"> </w:t>
      </w:r>
      <w:r>
        <w:t xml:space="preserve">“</w:t>
      </w:r>
      <w:r>
        <w:t xml:space="preserve">online</w:t>
      </w:r>
      <w:r>
        <w:t xml:space="preserve">”</w:t>
      </w:r>
      <w:r>
        <w:t xml:space="preserve">,</w:t>
      </w:r>
      <w:r>
        <w:t xml:space="preserve"> </w:t>
      </w:r>
      <w:r>
        <w:t xml:space="preserve">“</w:t>
      </w:r>
      <w:r>
        <w:t xml:space="preserve">higher education</w:t>
      </w:r>
      <w:r>
        <w:t xml:space="preserve">”</w:t>
      </w:r>
      <w:r>
        <w:t xml:space="preserve">,</w:t>
      </w:r>
      <w:r>
        <w:t xml:space="preserve"> </w:t>
      </w:r>
      <w:r>
        <w:t xml:space="preserve">“</w:t>
      </w:r>
      <w:r>
        <w:t xml:space="preserve">learning</w:t>
      </w:r>
      <w:r>
        <w:t xml:space="preserve">”</w:t>
      </w:r>
      <w:r>
        <w:t xml:space="preserve">, and</w:t>
      </w:r>
      <w:r>
        <w:t xml:space="preserve"> </w:t>
      </w:r>
      <w:r>
        <w:t xml:space="preserve">“</w:t>
      </w:r>
      <w:r>
        <w:t xml:space="preserve">learner impact</w:t>
      </w:r>
      <w:r>
        <w:t xml:space="preserve">”</w:t>
      </w:r>
      <w:r>
        <w:t xml:space="preserve"> </w:t>
      </w:r>
      <w:r>
        <w:t xml:space="preserve">in various combinations. I also used</w:t>
      </w:r>
      <w:r>
        <w:t xml:space="preserve"> </w:t>
      </w:r>
      <w:hyperlink r:id="rId40">
        <w:r>
          <w:rPr>
            <w:rStyle w:val="Hyperlink"/>
          </w:rPr>
          <w:t xml:space="preserve">researchrabbit.ai</w:t>
        </w:r>
      </w:hyperlink>
      <w:r>
        <w:t xml:space="preserve"> </w:t>
      </w:r>
      <w:r>
        <w:t xml:space="preserve">to assist with tracking citations of seminal and other important articles and for visualizing the relationships between found articles.</w:t>
      </w:r>
    </w:p>
    <w:bookmarkEnd w:id="41"/>
    <w:bookmarkStart w:id="46" w:name="methodological-approaches"/>
    <w:p>
      <w:pPr>
        <w:pStyle w:val="Heading2"/>
      </w:pPr>
      <w:r>
        <w:t xml:space="preserve">Methodological Approaches</w:t>
      </w:r>
    </w:p>
    <w:p>
      <w:pPr>
        <w:pStyle w:val="FirstParagraph"/>
      </w:pPr>
      <w:r>
        <w:t xml:space="preserve">All research is grounded in a particular tradition or worldview, often called a</w:t>
      </w:r>
      <w:r>
        <w:t xml:space="preserve"> </w:t>
      </w:r>
      <w:r>
        <w:rPr>
          <w:iCs/>
          <w:i/>
        </w:rPr>
        <w:t xml:space="preserve">paradigm</w:t>
      </w:r>
      <w:r>
        <w:t xml:space="preserve">. A research paradigm is a set of philosophical assumptions and values about the universe and the ways in which we can learn and know about it</w:t>
      </w:r>
      <w:r>
        <w:t xml:space="preserve"> </w:t>
      </w:r>
      <w:r>
        <w:t xml:space="preserve">(</w:t>
      </w:r>
      <w:hyperlink w:anchor="Xa4c49e3464cfac336b39022a66be02a09c2ed7e">
        <w:r>
          <w:rPr>
            <w:rStyle w:val="Hyperlink"/>
          </w:rPr>
          <w:t xml:space="preserve">Johnson and Christensen 2017</w:t>
        </w:r>
      </w:hyperlink>
      <w:r>
        <w:t xml:space="preserve">)</w:t>
      </w:r>
      <w:r>
        <w:t xml:space="preserve">. According to Johnson and Christenson</w:t>
      </w:r>
      <w:r>
        <w:t xml:space="preserve"> </w:t>
      </w:r>
      <w:r>
        <w:t xml:space="preserve">(</w:t>
      </w:r>
      <w:hyperlink w:anchor="Xa4c49e3464cfac336b39022a66be02a09c2ed7e">
        <w:r>
          <w:rPr>
            <w:rStyle w:val="Hyperlink"/>
          </w:rPr>
          <w:t xml:space="preserve">2017</w:t>
        </w:r>
      </w:hyperlink>
      <w:r>
        <w:t xml:space="preserve">)</w:t>
      </w:r>
      <w:r>
        <w:t xml:space="preserve">, research paradigms are generally concerned with the answers to questions related to:</w:t>
      </w:r>
      <w:r>
        <w:t xml:space="preserve"> </w:t>
      </w:r>
      <w:r>
        <w:t xml:space="preserve">- how we learn about something (methodology),</w:t>
      </w:r>
      <w:r>
        <w:t xml:space="preserve"> </w:t>
      </w:r>
      <w:r>
        <w:t xml:space="preserve">- how we know something is true (epistemology)</w:t>
      </w:r>
      <w:r>
        <w:t xml:space="preserve"> </w:t>
      </w:r>
      <w:r>
        <w:t xml:space="preserve">- how we know reality, or if something exists (ontology),</w:t>
      </w:r>
      <w:r>
        <w:t xml:space="preserve"> </w:t>
      </w:r>
      <w:r>
        <w:t xml:space="preserve">- how we know if something is valuable or ethical (axiology), and;</w:t>
      </w:r>
      <w:r>
        <w:t xml:space="preserve"> </w:t>
      </w:r>
      <w:r>
        <w:t xml:space="preserve">- how we communicate and present arguments (rhetoric).</w:t>
      </w:r>
    </w:p>
    <w:p>
      <w:pPr>
        <w:pStyle w:val="BodyText"/>
      </w:pPr>
      <w:r>
        <w:t xml:space="preserve">The three primary research paradigms are</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w:t>
      </w:r>
      <w:r>
        <w:t xml:space="preserve">research (often called</w:t>
      </w:r>
      <w:r>
        <w:t xml:space="preserve"> </w:t>
      </w:r>
      <w:r>
        <w:rPr>
          <w:iCs/>
          <w:i/>
        </w:rPr>
        <w:t xml:space="preserve">mixed methods</w:t>
      </w:r>
      <w:r>
        <w:t xml:space="preserve"> </w:t>
      </w:r>
      <w:r>
        <w:t xml:space="preserve">research). Quantitative researchers traditionally followed the epistemological position of</w:t>
      </w:r>
      <w:r>
        <w:t xml:space="preserve"> </w:t>
      </w:r>
      <w:r>
        <w:rPr>
          <w:iCs/>
          <w:i/>
        </w:rPr>
        <w:t xml:space="preserve">positivism</w:t>
      </w:r>
      <w:r>
        <w:t xml:space="preserve">, characterized by the idea that knowledge is singular, objective, and can be discovered through the empirical analysis of numerical data</w:t>
      </w:r>
      <w:r>
        <w:t xml:space="preserve"> </w:t>
      </w:r>
      <w:r>
        <w:t xml:space="preserve">(</w:t>
      </w:r>
      <w:hyperlink w:anchor="Xb8f3a9a2f170bfdd5d9f8060668a5719d9f5be2">
        <w:r>
          <w:rPr>
            <w:rStyle w:val="Hyperlink"/>
          </w:rPr>
          <w:t xml:space="preserve">Held 2019</w:t>
        </w:r>
      </w:hyperlink>
      <w:r>
        <w:t xml:space="preserve">)</w:t>
      </w:r>
      <w:r>
        <w:t xml:space="preserve">, although most modern quantitative researchers take a</w:t>
      </w:r>
      <w:r>
        <w:t xml:space="preserve"> </w:t>
      </w:r>
      <w:r>
        <w:rPr>
          <w:iCs/>
          <w:i/>
        </w:rPr>
        <w:t xml:space="preserve">post-positivist</w:t>
      </w:r>
      <w:r>
        <w:t xml:space="preserve"> </w:t>
      </w:r>
      <w:r>
        <w:t xml:space="preserve">view which recognizes that the values and beliefs of the researcher play a role in research and challenge the idea of pure objectivity</w:t>
      </w:r>
      <w:r>
        <w:t xml:space="preserve"> </w:t>
      </w:r>
      <w:r>
        <w:t xml:space="preserve">(</w:t>
      </w:r>
      <w:hyperlink w:anchor="X8daae7541e4c079ce301a7c9a89f7da03d2db6f">
        <w:r>
          <w:rPr>
            <w:rStyle w:val="Hyperlink"/>
          </w:rPr>
          <w:t xml:space="preserve">Tashakkori, Johnson, and Teddlie 2020</w:t>
        </w:r>
      </w:hyperlink>
      <w:r>
        <w:t xml:space="preserve">)</w:t>
      </w:r>
      <w:r>
        <w:t xml:space="preserve">. Quantitative research is often confirmatory in nature, with the researcher gathering data to either confirm or disconfirm a specific hypothesis</w:t>
      </w:r>
      <w:r>
        <w:t xml:space="preserve"> </w:t>
      </w:r>
      <w:r>
        <w:t xml:space="preserve">(</w:t>
      </w:r>
      <w:hyperlink w:anchor="Xa4c49e3464cfac336b39022a66be02a09c2ed7e">
        <w:r>
          <w:rPr>
            <w:rStyle w:val="Hyperlink"/>
          </w:rPr>
          <w:t xml:space="preserve">Johnson and Christensen 2017</w:t>
        </w:r>
      </w:hyperlink>
      <w:r>
        <w:t xml:space="preserve">)</w:t>
      </w:r>
      <w:r>
        <w:t xml:space="preserve">. Qualitative researchers, on the other hand, tend to take the epistemological view of</w:t>
      </w:r>
      <w:r>
        <w:t xml:space="preserve"> </w:t>
      </w:r>
      <w:r>
        <w:rPr>
          <w:iCs/>
          <w:i/>
        </w:rPr>
        <w:t xml:space="preserve">constructivism</w:t>
      </w:r>
      <w:r>
        <w:t xml:space="preserve"> </w:t>
      </w:r>
      <w:r>
        <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
      </w:r>
      <w:r>
        <w:t xml:space="preserve"> </w:t>
      </w:r>
      <w:r>
        <w:t xml:space="preserve">(</w:t>
      </w:r>
      <w:hyperlink w:anchor="Xa4c49e3464cfac336b39022a66be02a09c2ed7e">
        <w:r>
          <w:rPr>
            <w:rStyle w:val="Hyperlink"/>
          </w:rPr>
          <w:t xml:space="preserve">Johnson and Christensen 2017</w:t>
        </w:r>
      </w:hyperlink>
      <w:r>
        <w:t xml:space="preserve">)</w:t>
      </w:r>
      <w:r>
        <w:t xml:space="preserve"> </w:t>
      </w:r>
      <w:r>
        <w:t xml:space="preserve">in response to open-ended questions</w:t>
      </w:r>
      <w:r>
        <w:t xml:space="preserve"> </w:t>
      </w:r>
      <w:r>
        <w:t xml:space="preserve">(</w:t>
      </w:r>
      <w:hyperlink w:anchor="X8daae7541e4c079ce301a7c9a89f7da03d2db6f">
        <w:r>
          <w:rPr>
            <w:rStyle w:val="Hyperlink"/>
          </w:rPr>
          <w:t xml:space="preserve">Tashakkori, Johnson, and Teddlie 2020</w:t>
        </w:r>
      </w:hyperlink>
      <w:r>
        <w:t xml:space="preserve">)</w:t>
      </w:r>
      <w:r>
        <w:t xml:space="preserve">. During the latter half of the 20th century, when qualitative approaches were becoming more popular the research community tended towards a dualistic,</w:t>
      </w:r>
      <w:r>
        <w:t xml:space="preserve"> </w:t>
      </w:r>
      <w:r>
        <w:t xml:space="preserve">‘</w:t>
      </w:r>
      <w:r>
        <w:t xml:space="preserve">either/or</w:t>
      </w:r>
      <w:r>
        <w:t xml:space="preserve">’</w:t>
      </w:r>
      <w:r>
        <w:t xml:space="preserve"> </w:t>
      </w:r>
      <w:r>
        <w:t xml:space="preserve">view of these two paradigms</w:t>
      </w:r>
      <w:r>
        <w:t xml:space="preserve"> </w:t>
      </w:r>
      <w:r>
        <w:t xml:space="preserve">(</w:t>
      </w:r>
      <w:hyperlink w:anchor="X7fc34501dcad97870adec0d2e3aefa7977be738">
        <w:r>
          <w:rPr>
            <w:rStyle w:val="Hyperlink"/>
          </w:rPr>
          <w:t xml:space="preserve">Niglas 2010</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w:t>
      </w:r>
      <w:r>
        <w:t xml:space="preserve">to the extent that the two paradigms were seen to be fundamentally incompatible. For example, Guba</w:t>
      </w:r>
      <w:r>
        <w:t xml:space="preserve"> </w:t>
      </w:r>
      <w:r>
        <w:t xml:space="preserve">(</w:t>
      </w:r>
      <w:hyperlink w:anchor="ref-gubaParadigmDialog1990">
        <w:r>
          <w:rPr>
            <w:rStyle w:val="Hyperlink"/>
          </w:rPr>
          <w:t xml:space="preserve">1990, 81</w:t>
        </w:r>
      </w:hyperlink>
      <w:r>
        <w:t xml:space="preserve"> </w:t>
      </w:r>
      <w:r>
        <w:t xml:space="preserve">as quoted in;</w:t>
      </w:r>
      <w:r>
        <w:t xml:space="preserve"> </w:t>
      </w:r>
      <w:hyperlink w:anchor="ref-johnsonMixedMethodsResearch2004">
        <w:r>
          <w:rPr>
            <w:rStyle w:val="Hyperlink"/>
          </w:rPr>
          <w:t xml:space="preserve">Johnson and Onwuegbuzie 2004, 14</w:t>
        </w:r>
      </w:hyperlink>
      <w:r>
        <w:t xml:space="preserve">)</w:t>
      </w:r>
      <w:r>
        <w:t xml:space="preserve"> </w:t>
      </w:r>
      <w:r>
        <w:t xml:space="preserve">emphasized</w:t>
      </w:r>
      <w:r>
        <w:t xml:space="preserve"> </w:t>
      </w:r>
      <w:r>
        <w:t xml:space="preserve">“</w:t>
      </w:r>
      <w:r>
        <w:t xml:space="preserve">accommodation between paradigms is impossible … we are led to vastly diverse, disparate, and totally antithetical ends</w:t>
      </w:r>
      <w:r>
        <w:t xml:space="preserve">”</w:t>
      </w:r>
      <w:r>
        <w:t xml:space="preserve">. Early in the 21st century, however, Johnson and Onwuegbuzie countered that argument and proposed that paradigms are better visualized on a continuum, that both paradigms are useful, and that mixing methods can</w:t>
      </w:r>
      <w:r>
        <w:t xml:space="preserve"> </w:t>
      </w:r>
      <w:r>
        <w:t xml:space="preserve">“</w:t>
      </w:r>
      <w:r>
        <w:t xml:space="preserve">draw from the strengths and minimize the weaknesses of both in single research studies and across studies</w:t>
      </w:r>
      <w:r>
        <w:t xml:space="preserve">”</w:t>
      </w:r>
      <w:r>
        <w:t xml:space="preserve"> </w:t>
      </w:r>
      <w:r>
        <w:t xml:space="preserve">(</w:t>
      </w:r>
      <w:hyperlink w:anchor="ref-johnsonMixedMethodsResearch2004">
        <w:r>
          <w:rPr>
            <w:rStyle w:val="Hyperlink"/>
          </w:rPr>
          <w:t xml:space="preserve">2004, 13–14</w:t>
        </w:r>
      </w:hyperlink>
      <w:r>
        <w:t xml:space="preserve">)</w:t>
      </w:r>
      <w:r>
        <w:t xml:space="preserve">. So mixed research is characterized by an epistemologically</w:t>
      </w:r>
      <w:r>
        <w:t xml:space="preserve"> </w:t>
      </w:r>
      <w:r>
        <w:rPr>
          <w:iCs/>
          <w:i/>
        </w:rPr>
        <w:t xml:space="preserve">pragmatic</w:t>
      </w:r>
      <w:r>
        <w:t xml:space="preserve"> </w:t>
      </w:r>
      <w:r>
        <w:t xml:space="preserve">view that both quantitative and qualitative approaches are valuable and that combining numerical and non-numerical data, analyses, and results can lead to deeper understanding</w:t>
      </w:r>
      <w:r>
        <w:t xml:space="preserve"> </w:t>
      </w:r>
      <w:r>
        <w:t xml:space="preserve">(</w:t>
      </w:r>
      <w:hyperlink w:anchor="ref-bazeleyIntegratingAnalysesMixed2018">
        <w:r>
          <w:rPr>
            <w:rStyle w:val="Hyperlink"/>
          </w:rPr>
          <w:t xml:space="preserve">Bazeley 2018</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More specifically, Johnson, et al.</w:t>
      </w:r>
      <w:r>
        <w:t xml:space="preserve"> </w:t>
      </w:r>
      <w:r>
        <w:t xml:space="preserve">(</w:t>
      </w:r>
      <w:hyperlink w:anchor="ref-johnsonDefinitionMixedMethods2007">
        <w:r>
          <w:rPr>
            <w:rStyle w:val="Hyperlink"/>
          </w:rPr>
          <w:t xml:space="preserve">2007</w:t>
        </w:r>
      </w:hyperlink>
      <w:r>
        <w:t xml:space="preserve">)</w:t>
      </w:r>
      <w:r>
        <w:t xml:space="preserve"> </w:t>
      </w:r>
      <w:r>
        <w:t xml:space="preserve">provide the following definition of mixed research:</w:t>
      </w:r>
    </w:p>
    <w:p>
      <w:pPr>
        <w:pStyle w:val="BlockText"/>
      </w:pPr>
      <w:r>
        <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
      </w:r>
    </w:p>
    <w:p>
      <w:pPr>
        <w:pStyle w:val="FirstParagraph"/>
      </w:pPr>
      <w:r>
        <w:t xml:space="preserve">I will use the term</w:t>
      </w:r>
      <w:r>
        <w:t xml:space="preserve"> </w:t>
      </w:r>
      <w:r>
        <w:rPr>
          <w:iCs/>
          <w:i/>
        </w:rPr>
        <w:t xml:space="preserve">mixed research</w:t>
      </w:r>
      <w:r>
        <w:t xml:space="preserve"> </w:t>
      </w:r>
      <w:r>
        <w:t xml:space="preserve">in alignment with Johnson and Christensen</w:t>
      </w:r>
      <w:r>
        <w:t xml:space="preserve"> </w:t>
      </w:r>
      <w:r>
        <w:t xml:space="preserve">(</w:t>
      </w:r>
      <w:hyperlink w:anchor="Xa4c49e3464cfac336b39022a66be02a09c2ed7e">
        <w:r>
          <w:rPr>
            <w:rStyle w:val="Hyperlink"/>
          </w:rPr>
          <w:t xml:space="preserve">2017</w:t>
        </w:r>
      </w:hyperlink>
      <w:r>
        <w:t xml:space="preserve">)</w:t>
      </w:r>
      <w:r>
        <w:t xml:space="preserve"> </w:t>
      </w:r>
      <w:r>
        <w:t xml:space="preserve">who advocate for that term rather than</w:t>
      </w:r>
      <w:r>
        <w:t xml:space="preserve"> </w:t>
      </w:r>
      <w:r>
        <w:rPr>
          <w:iCs/>
          <w:i/>
        </w:rPr>
        <w:t xml:space="preserve">mixed methods research</w:t>
      </w:r>
      <w:r>
        <w:t xml:space="preserve"> </w:t>
      </w:r>
      <w:r>
        <w:t xml:space="preserve">because it is more than the method of research that is mixed. Indeed, mixing occurs at the level of paradigms, questions, methods, analyses, and reporting of results</w:t>
      </w:r>
      <w:r>
        <w:t xml:space="preserve"> </w:t>
      </w:r>
      <w:r>
        <w:t xml:space="preserve">(</w:t>
      </w:r>
      <w:hyperlink w:anchor="ref-bazeleyIntegratingAnalysesMixed2018">
        <w:r>
          <w:rPr>
            <w:rStyle w:val="Hyperlink"/>
          </w:rPr>
          <w:t xml:space="preserve">Bazeley 2018</w:t>
        </w:r>
      </w:hyperlink>
      <w:r>
        <w:t xml:space="preserve">)</w:t>
      </w:r>
      <w:r>
        <w:t xml:space="preserve">.</w:t>
      </w:r>
    </w:p>
    <w:p>
      <w:pPr>
        <w:pStyle w:val="BodyText"/>
      </w:pPr>
      <w:r>
        <w:t xml:space="preserve">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
      </w:r>
      <w:r>
        <w:t xml:space="preserve"> </w:t>
      </w:r>
      <w:r>
        <w:t xml:space="preserve">(</w:t>
      </w:r>
      <w:hyperlink w:anchor="ref-bazeleyIntegratingAnalysesMixed2018">
        <w:r>
          <w:rPr>
            <w:rStyle w:val="Hyperlink"/>
          </w:rPr>
          <w:t xml:space="preserve">2018</w:t>
        </w:r>
      </w:hyperlink>
      <w:r>
        <w:t xml:space="preserve">)</w:t>
      </w:r>
      <w:r>
        <w:t xml:space="preserve"> </w:t>
      </w:r>
      <w:r>
        <w:t xml:space="preserve">argues that the most important factor that researchers should consider when choosing a methodology is</w:t>
      </w:r>
      <w:r>
        <w:t xml:space="preserve"> </w:t>
      </w:r>
      <w:r>
        <w:t xml:space="preserve">“</w:t>
      </w:r>
      <w:r>
        <w:t xml:space="preserve">whether the methods chosen and the strategies used … serve the</w:t>
      </w:r>
      <w:r>
        <w:t xml:space="preserve"> </w:t>
      </w:r>
      <w:r>
        <w:rPr>
          <w:iCs/>
          <w:i/>
        </w:rPr>
        <w:t xml:space="preserve">purpose</w:t>
      </w:r>
      <w:r>
        <w:t xml:space="preserve"> </w:t>
      </w:r>
      <w:r>
        <w:t xml:space="preserve">of the research</w:t>
      </w:r>
      <w:r>
        <w:t xml:space="preserve">”</w:t>
      </w:r>
      <w:r>
        <w:t xml:space="preserve"> </w:t>
      </w:r>
      <w:r>
        <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 qualitative</w:t>
      </w:r>
      <w:r>
        <w:t xml:space="preserve"> </w:t>
      </w:r>
      <w:r>
        <w:t xml:space="preserve">(</w:t>
      </w:r>
      <w:hyperlink w:anchor="ref-boudWhatFeedbackLiterate2021">
        <w:r>
          <w:rPr>
            <w:rStyle w:val="Hyperlink"/>
          </w:rPr>
          <w:t xml:space="preserve">Boud and Dawson 2021</w:t>
        </w:r>
      </w:hyperlink>
      <w:r>
        <w:t xml:space="preserve">;</w:t>
      </w:r>
      <w:r>
        <w:t xml:space="preserve"> </w:t>
      </w:r>
      <w:hyperlink w:anchor="ref-coombsSeaSeaCanadian2020">
        <w:r>
          <w:rPr>
            <w:rStyle w:val="Hyperlink"/>
          </w:rPr>
          <w:t xml:space="preserve">Coombs, Ge, and DeLuca 2020</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earleBalancingDemandsValidity2020">
        <w:r>
          <w:rPr>
            <w:rStyle w:val="Hyperlink"/>
          </w:rPr>
          <w:t xml:space="preserve">Earle 2020</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and mixed</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X2a2fdb822679cb457d03d450d5e80df0d02eddb">
        <w:r>
          <w:rPr>
            <w:rStyle w:val="Hyperlink"/>
          </w:rPr>
          <w:t xml:space="preserve">Nicholson 2018</w:t>
        </w:r>
      </w:hyperlink>
      <w:r>
        <w:t xml:space="preserve">;</w:t>
      </w:r>
      <w:r>
        <w:t xml:space="preserve"> </w:t>
      </w:r>
      <w:hyperlink w:anchor="ref-iannoneImpactHighStakes2020">
        <w:r>
          <w:rPr>
            <w:rStyle w:val="Hyperlink"/>
          </w:rPr>
          <w:t xml:space="preserve">Iannone, Czichowsky, and Ruf 2020</w:t>
        </w:r>
      </w:hyperlink>
      <w:r>
        <w:t xml:space="preserve">;</w:t>
      </w:r>
      <w:r>
        <w:t xml:space="preserve"> </w:t>
      </w:r>
      <w:hyperlink w:anchor="ref-tekirAlignmentIntendedEnacted2021">
        <w:r>
          <w:rPr>
            <w:rStyle w:val="Hyperlink"/>
          </w:rPr>
          <w:t xml:space="preserve">Tekir 2021</w:t>
        </w:r>
      </w:hyperlink>
      <w:r>
        <w:t xml:space="preserve">)</w:t>
      </w:r>
      <w:r>
        <w:t xml:space="preserve"> </w:t>
      </w:r>
      <w:r>
        <w:t xml:space="preserve">approaches.</w:t>
      </w:r>
    </w:p>
    <w:bookmarkStart w:id="42" w:name="quantitative-approaches"/>
    <w:p>
      <w:pPr>
        <w:pStyle w:val="Heading3"/>
      </w:pPr>
      <w:r>
        <w:t xml:space="preserve">Quantitative approaches</w:t>
      </w:r>
    </w:p>
    <w:p>
      <w:pPr>
        <w:pStyle w:val="FirstParagraph"/>
      </w:pPr>
      <w:r>
        <w:t xml:space="preserve">The construct of assessment literacy has a history of being grounded in sets of standards published by researchers, governments, or regulatory agencies and of being assessed through the collection and analysis of numeric and categorical data</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ref-gotchSystematicReviewAssessment2014">
        <w:r>
          <w:rPr>
            <w:rStyle w:val="Hyperlink"/>
          </w:rPr>
          <w:t xml:space="preserve">Gotch and French 2014</w:t>
        </w:r>
      </w:hyperlink>
      <w:r>
        <w:t xml:space="preserve">)</w:t>
      </w:r>
      <w:r>
        <w:t xml:space="preserve">. Gotch and French</w:t>
      </w:r>
      <w:r>
        <w:t xml:space="preserve"> </w:t>
      </w:r>
      <w:r>
        <w:t xml:space="preserve">(</w:t>
      </w:r>
      <w:hyperlink w:anchor="ref-gotchSystematicReviewAssessment2014">
        <w:r>
          <w:rPr>
            <w:rStyle w:val="Hyperlink"/>
          </w:rPr>
          <w:t xml:space="preserve">2014</w:t>
        </w:r>
      </w:hyperlink>
      <w:r>
        <w:t xml:space="preserve">)</w:t>
      </w:r>
      <w:r>
        <w:t xml:space="preserve">, in their systematic review of the literature on assessment literacy inventories, found 36 instruments, all but one of which</w:t>
      </w:r>
      <w:r>
        <w:t xml:space="preserve"> </w:t>
      </w:r>
      <w:r>
        <w:t xml:space="preserve">(</w:t>
      </w:r>
      <w:hyperlink w:anchor="X2a9d46c1f6093f71abf8d69f6e33d54cbf46084">
        <w:r>
          <w:rPr>
            <w:rStyle w:val="Hyperlink"/>
          </w:rPr>
          <w:t xml:space="preserve">Jarr 2012</w:t>
        </w:r>
      </w:hyperlink>
      <w:r>
        <w:t xml:space="preserve">)</w:t>
      </w:r>
      <w:r>
        <w:t xml:space="preserve"> </w:t>
      </w:r>
      <w:r>
        <w:t xml:space="preserve">gathered only quantitative (numeric and categorical) data. Studies based on these instruments (for example, Alkharusi, et al.</w:t>
      </w:r>
      <w:r>
        <w:t xml:space="preserve"> </w:t>
      </w:r>
      <w:r>
        <w:t xml:space="preserve">(</w:t>
      </w:r>
      <w:hyperlink w:anchor="Xbba0a94855ee53d1a354f9bd150ed2bbefe54df">
        <w:r>
          <w:rPr>
            <w:rStyle w:val="Hyperlink"/>
          </w:rPr>
          <w:t xml:space="preserve">2012</w:t>
        </w:r>
      </w:hyperlink>
      <w:r>
        <w:t xml:space="preserve">)</w:t>
      </w:r>
      <w:r>
        <w:t xml:space="preserve"> </w:t>
      </w:r>
      <w:r>
        <w:t xml:space="preserve">based on Plake, et al.</w:t>
      </w:r>
      <w:r>
        <w:t xml:space="preserve"> </w:t>
      </w:r>
      <w:r>
        <w:t xml:space="preserve">(</w:t>
      </w:r>
      <w:hyperlink w:anchor="Xc5689adf9e7ca8c04511cb4ee64c8c4cc5ddf8e">
        <w:r>
          <w:rPr>
            <w:rStyle w:val="Hyperlink"/>
          </w:rPr>
          <w:t xml:space="preserve">2005</w:t>
        </w:r>
      </w:hyperlink>
      <w:r>
        <w:t xml:space="preserve">)</w:t>
      </w:r>
      <w:r>
        <w:t xml:space="preserve">) generally included quantitative analyses because the data gathered are quantitative. Early instruments</w:t>
      </w:r>
      <w:r>
        <w:t xml:space="preserve"> </w:t>
      </w:r>
      <w:r>
        <w:t xml:space="preserve">(</w:t>
      </w:r>
      <w:hyperlink w:anchor="Xfbd32ce8d0c6cca37cc61f1c91c0db48fed46a2">
        <w:r>
          <w:rPr>
            <w:rStyle w:val="Hyperlink"/>
          </w:rPr>
          <w:t xml:space="preserve">Mertler and Campbell 2005</w:t>
        </w:r>
      </w:hyperlink>
      <w:r>
        <w:t xml:space="preserve">;</w:t>
      </w:r>
      <w:r>
        <w:t xml:space="preserve"> </w:t>
      </w:r>
      <w:hyperlink w:anchor="ref-plakeTeacherAssessmentLiteracy1993">
        <w:r>
          <w:rPr>
            <w:rStyle w:val="Hyperlink"/>
          </w:rPr>
          <w:t xml:space="preserve">Barbara S. Plake 1993</w:t>
        </w:r>
      </w:hyperlink>
      <w:r>
        <w:t xml:space="preserve">)</w:t>
      </w:r>
      <w:r>
        <w:t xml:space="preserve"> </w:t>
      </w:r>
      <w:r>
        <w:t xml:space="preserve">were based on the 1990</w:t>
      </w:r>
      <w:r>
        <w:t xml:space="preserve"> </w:t>
      </w:r>
      <w:r>
        <w:rPr>
          <w:iCs/>
          <w:i/>
        </w:rPr>
        <w:t xml:space="preserve">Standards for Teacher Competency in Educational Assessment of Students</w:t>
      </w:r>
      <w:r>
        <w:t xml:space="preserve"> </w:t>
      </w:r>
      <w:r>
        <w:t xml:space="preserve">(</w:t>
      </w:r>
      <w:hyperlink w:anchor="ref-StandardsTeacherCompetence1990">
        <w:r>
          <w:rPr>
            <w:rStyle w:val="Hyperlink"/>
          </w:rPr>
          <w:t xml:space="preserve">AFT, NCME, and NEA 1990</w:t>
        </w:r>
      </w:hyperlink>
      <w:r>
        <w:t xml:space="preserve">)</w:t>
      </w:r>
      <w:r>
        <w:t xml:space="preserve">. Since then,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a critique of the 1990 standards arguing that they were out of date and not in alignment with modern pedagogy. This was followed a few years later by Gotch and French</w:t>
      </w:r>
      <w:r>
        <w:t xml:space="preserve"> </w:t>
      </w:r>
      <w:r>
        <w:t xml:space="preserve">(</w:t>
      </w:r>
      <w:hyperlink w:anchor="ref-gotchSystematicReviewAssessment2014">
        <w:r>
          <w:rPr>
            <w:rStyle w:val="Hyperlink"/>
          </w:rPr>
          <w:t xml:space="preserve">2014</w:t>
        </w:r>
      </w:hyperlink>
      <w:r>
        <w:t xml:space="preserve">)</w:t>
      </w:r>
      <w:r>
        <w:t xml:space="preserve"> </w:t>
      </w:r>
      <w:r>
        <w:t xml:space="preserve">publishing the aforementioned systematic review, during which they found that the psychometric properties of the 36 instruments published between 1991 and 2012 were low. Finally, Klinger et al.</w:t>
      </w:r>
      <w:r>
        <w:t xml:space="preserve"> </w:t>
      </w:r>
      <w:r>
        <w:t xml:space="preserve">(</w:t>
      </w:r>
      <w:hyperlink w:anchor="X29739ab7fce6a0c61ad93e769577d0974c2bf34">
        <w:r>
          <w:rPr>
            <w:rStyle w:val="Hyperlink"/>
          </w:rPr>
          <w:t xml:space="preserve">2015</w:t>
        </w:r>
      </w:hyperlink>
      <w:r>
        <w:t xml:space="preserve">)</w:t>
      </w:r>
      <w:r>
        <w:t xml:space="preserve"> </w:t>
      </w:r>
      <w:r>
        <w:t xml:space="preserve">published the</w:t>
      </w:r>
      <w:r>
        <w:t xml:space="preserve"> </w:t>
      </w:r>
      <w:r>
        <w:rPr>
          <w:iCs/>
          <w:i/>
        </w:rP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r>
        <w:t xml:space="preserve">. These cumulative advances led to DeLuca et al.</w:t>
      </w:r>
      <w:r>
        <w:t xml:space="preserve"> </w:t>
      </w:r>
      <w:r>
        <w:t xml:space="preserve">(</w:t>
      </w:r>
      <w:hyperlink w:anchor="ref-delucaTeacherAssessmentLiteracy2016">
        <w:r>
          <w:rPr>
            <w:rStyle w:val="Hyperlink"/>
          </w:rPr>
          <w:t xml:space="preserve">2016b</w:t>
        </w:r>
      </w:hyperlink>
      <w:r>
        <w:t xml:space="preserve">)</w:t>
      </w:r>
      <w:r>
        <w:t xml:space="preserve"> </w:t>
      </w:r>
      <w:r>
        <w:t xml:space="preserve">to develop the</w:t>
      </w:r>
      <w:r>
        <w:t xml:space="preserve"> </w:t>
      </w:r>
      <w:r>
        <w:rPr>
          <w:iCs/>
          <w:i/>
        </w:rPr>
        <w:t xml:space="preserve">Approaches to Classroom Assessment Inventory (ACAI)</w:t>
      </w:r>
      <w:r>
        <w:t xml:space="preserve"> </w:t>
      </w:r>
      <w:r>
        <w:t xml:space="preserve">and enabled researchers to base their quantitative investigations on an instrument shown to produce valid results in relation to a modern model of assessment literacy.</w:t>
      </w:r>
    </w:p>
    <w:p>
      <w:pPr>
        <w:pStyle w:val="BodyText"/>
      </w:pPr>
      <w:r>
        <w:t xml:space="preserve">There are numerous examples of research teams using quantitative approaches to investigate assessment literacy, some of which are mentioned here.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surveyed 404 K-12 teachers in Canada and the USA using DeLuca et al.’s</w:t>
      </w:r>
      <w:r>
        <w:t xml:space="preserve"> </w:t>
      </w:r>
      <w:r>
        <w:t xml:space="preserve">(</w:t>
      </w:r>
      <w:hyperlink w:anchor="Xedee9bc10fe7ddda531b14b05542852ae9f5f1e">
        <w:r>
          <w:rPr>
            <w:rStyle w:val="Hyperlink"/>
          </w:rPr>
          <w:t xml:space="preserve">2016a</w:t>
        </w:r>
      </w:hyperlink>
      <w:r>
        <w:t xml:space="preserve">)</w:t>
      </w:r>
      <w:r>
        <w:t xml:space="preserve"> </w:t>
      </w:r>
      <w:r>
        <w:rPr>
          <w:iCs/>
          <w:i/>
        </w:rPr>
        <w:t xml:space="preserve">Approaches to Classroom Assessment Inventory (ACAI)</w:t>
      </w:r>
      <w:r>
        <w:t xml:space="preserve">, an instrument based on the 2015 Standards. DeLuca et al.</w:t>
      </w:r>
      <w:r>
        <w:t xml:space="preserve"> </w:t>
      </w:r>
      <w:r>
        <w:t xml:space="preserve">(</w:t>
      </w:r>
      <w:hyperlink w:anchor="Xcffd07f338ae9c1e0f3a4638f84c8ddd08fd0be">
        <w:r>
          <w:rPr>
            <w:rStyle w:val="Hyperlink"/>
          </w:rPr>
          <w:t xml:space="preserve">2021</w:t>
        </w:r>
      </w:hyperlink>
      <w:r>
        <w:t xml:space="preserve">)</w:t>
      </w:r>
      <w:r>
        <w:t xml:space="preserve">, recently used the same inventory in an international study comparing assessment practices in the USA, Canada, and China. Nayagi and Rajendran</w:t>
      </w:r>
      <w:r>
        <w:t xml:space="preserve"> </w:t>
      </w:r>
      <w:r>
        <w:t xml:space="preserve">(</w:t>
      </w:r>
      <w:hyperlink w:anchor="X2e9d1b0270cc3e67622e0de93917b7ce91abfb6">
        <w:r>
          <w:rPr>
            <w:rStyle w:val="Hyperlink"/>
          </w:rPr>
          <w:t xml:space="preserve">2020</w:t>
        </w:r>
      </w:hyperlink>
      <w:r>
        <w:t xml:space="preserve">)</w:t>
      </w:r>
      <w:r>
        <w:t xml:space="preserve"> </w:t>
      </w:r>
      <w:r>
        <w:t xml:space="preserve">also used the ACAI to investigate approaches to assessment, although they modified it for their context of pre-service teachers in India.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surveyed higher education instructors to investigate their approaches to and confidence with assessment. Lastly, with respect to the impact of instructors’ assessment practices on learners, Pereira et al.</w:t>
      </w:r>
      <w:r>
        <w:t xml:space="preserve"> </w:t>
      </w:r>
      <w:r>
        <w:t xml:space="preserve">(</w:t>
      </w:r>
      <w:hyperlink w:anchor="ref-pereiraHowUndergraduatesPerceive2021">
        <w:r>
          <w:rPr>
            <w:rStyle w:val="Hyperlink"/>
          </w:rPr>
          <w:t xml:space="preserve">2021</w:t>
        </w:r>
      </w:hyperlink>
      <w:r>
        <w:t xml:space="preserve">)</w:t>
      </w:r>
      <w:r>
        <w:t xml:space="preserve">, Pereira et al.</w:t>
      </w:r>
      <w:r>
        <w:t xml:space="preserve"> </w:t>
      </w:r>
      <w:r>
        <w:t xml:space="preserve">(</w:t>
      </w:r>
      <w:hyperlink w:anchor="X278251e0a83fa345cc114b9dd1fa371f66b53da">
        <w:r>
          <w:rPr>
            <w:rStyle w:val="Hyperlink"/>
          </w:rPr>
          <w:t xml:space="preserve">2017</w:t>
        </w:r>
      </w:hyperlink>
      <w:r>
        <w:t xml:space="preserve">)</w:t>
      </w:r>
      <w:r>
        <w:t xml:space="preserve">, and Flores et al.</w:t>
      </w:r>
      <w:r>
        <w:t xml:space="preserve"> </w:t>
      </w:r>
      <w:r>
        <w:t xml:space="preserve">(</w:t>
      </w:r>
      <w:hyperlink w:anchor="X7f237bfd32991f9eb9aea8c786ccf0bd0c69b22">
        <w:r>
          <w:rPr>
            <w:rStyle w:val="Hyperlink"/>
          </w:rPr>
          <w:t xml:space="preserve">2015</w:t>
        </w:r>
      </w:hyperlink>
      <w:r>
        <w:t xml:space="preserve">)</w:t>
      </w:r>
      <w:r>
        <w:t xml:space="preserve"> </w:t>
      </w:r>
      <w:r>
        <w:t xml:space="preserve">used surveys to collect quantitative data about the perceptions of Portuguese undergraduate learners regarding the assessment practices of their instructors. While there are more studies of assessment literacy in the K-12 sector</w:t>
      </w:r>
      <w:r>
        <w:t xml:space="preserve"> </w:t>
      </w:r>
      <w:r>
        <w:t xml:space="preserve">(</w:t>
      </w:r>
      <w:hyperlink w:anchor="X24013df94dd1bbf663d248dde1bf7cb672f12ec">
        <w:r>
          <w:rPr>
            <w:rStyle w:val="Hyperlink"/>
          </w:rPr>
          <w:t xml:space="preserve">Medland 2019</w:t>
        </w:r>
      </w:hyperlink>
      <w:r>
        <w:t xml:space="preserve">)</w:t>
      </w:r>
      <w:r>
        <w:t xml:space="preserve">, there is a growing number in the higher education sector (e.g.</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w:t>
      </w:r>
    </w:p>
    <w:p>
      <w:pPr>
        <w:pStyle w:val="BodyText"/>
      </w:pPr>
      <w:r>
        <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
      </w:r>
    </w:p>
    <w:bookmarkEnd w:id="42"/>
    <w:bookmarkStart w:id="43" w:name="qualitative-approaches"/>
    <w:p>
      <w:pPr>
        <w:pStyle w:val="Heading3"/>
      </w:pPr>
      <w:r>
        <w:t xml:space="preserve">Qualitative approaches</w:t>
      </w:r>
    </w:p>
    <w:p>
      <w:pPr>
        <w:pStyle w:val="FirstParagraph"/>
      </w:pPr>
      <w:r>
        <w:t xml:space="preserve">Assessment literacy has been the focus of significant attention in quantitative research, but it is also becoming clear that the construct is much deeper and more complex than models based on sets of standards and competencies</w:t>
      </w:r>
      <w:r>
        <w:t xml:space="preserve"> </w:t>
      </w:r>
      <w:r>
        <w:t xml:space="preserve">(</w:t>
      </w:r>
      <w:hyperlink w:anchor="ref-delucaPoliciesProgramsPractices2019">
        <w:r>
          <w:rPr>
            <w:rStyle w:val="Hyperlink"/>
          </w:rPr>
          <w:t xml:space="preserve">DeLuca, Willis, et al. 2019</w:t>
        </w:r>
      </w:hyperlink>
      <w:r>
        <w:t xml:space="preserve">,</w:t>
      </w:r>
      <w:r>
        <w:t xml:space="preserve"> </w:t>
      </w:r>
      <w:hyperlink w:anchor="ref-delucaPoliciesProgramsPractices2019">
        <w:r>
          <w:rPr>
            <w:rStyle w:val="Hyperlink"/>
          </w:rPr>
          <w:t xml:space="preserve">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w:t>
      </w:r>
      <w:hyperlink w:anchor="ref-xuTeacherAssessmentLiteracy2016">
        <w:r>
          <w:rPr>
            <w:rStyle w:val="Hyperlink"/>
          </w:rPr>
          <w:t xml:space="preserve">Xu and Brown 2016</w:t>
        </w:r>
      </w:hyperlink>
      <w:r>
        <w:t xml:space="preserve">)</w:t>
      </w:r>
      <w:r>
        <w:t xml:space="preserve">. Willis</w:t>
      </w:r>
      <w:r>
        <w:t xml:space="preserve"> </w:t>
      </w:r>
      <w:r>
        <w:t xml:space="preserve">(</w:t>
      </w:r>
      <w:hyperlink w:anchor="X731be6e2e0895c79e0f034fc829fd623ca4b0d3">
        <w:r>
          <w:rPr>
            <w:rStyle w:val="Hyperlink"/>
          </w:rPr>
          <w:t xml:space="preserve">2013</w:t>
        </w:r>
      </w:hyperlink>
      <w:r>
        <w:t xml:space="preserve">)</w:t>
      </w:r>
      <w:r>
        <w:t xml:space="preserve"> </w:t>
      </w:r>
      <w:r>
        <w:t xml:space="preserve">framed assessment literacy within multiple</w:t>
      </w:r>
      <w:r>
        <w:t xml:space="preserve"> </w:t>
      </w:r>
      <w:r>
        <w:t xml:space="preserve">“</w:t>
      </w:r>
      <w:r>
        <w:t xml:space="preserve">horizontal and vertical structures of educational discourse</w:t>
      </w:r>
      <w:r>
        <w:t xml:space="preserve">”</w:t>
      </w:r>
      <w:r>
        <w:t xml:space="preserve"> </w:t>
      </w:r>
      <w:r>
        <w:t xml:space="preserve">following Bernstein</w:t>
      </w:r>
      <w:r>
        <w:t xml:space="preserve"> </w:t>
      </w:r>
      <w:r>
        <w:t xml:space="preserve">(</w:t>
      </w:r>
      <w:hyperlink w:anchor="X4d78eac5dad262ef2a233c8ad9b66b0f5b3cd1c">
        <w:r>
          <w:rPr>
            <w:rStyle w:val="Hyperlink"/>
          </w:rPr>
          <w:t xml:space="preserve">1999</w:t>
        </w:r>
      </w:hyperlink>
      <w:r>
        <w:t xml:space="preserve">)</w:t>
      </w:r>
      <w:r>
        <w:t xml:space="preserve">, who described vertical discourses as structured disciplinary knowledge passed down from specialists, and horizontal discourses as more contextualized knowledge practiced and passed along at a local level. Following on this idea, DeLuca et al.</w:t>
      </w:r>
      <w:r>
        <w:t xml:space="preserve"> </w:t>
      </w:r>
      <w:r>
        <w:t xml:space="preserve">(</w:t>
      </w:r>
      <w:hyperlink w:anchor="ref-delucaDifferentialSituatedView2019">
        <w:r>
          <w:rPr>
            <w:rStyle w:val="Hyperlink"/>
          </w:rPr>
          <w:t xml:space="preserve">2019</w:t>
        </w:r>
      </w:hyperlink>
      <w:r>
        <w:t xml:space="preserve">)</w:t>
      </w:r>
      <w:r>
        <w:t xml:space="preserve"> </w:t>
      </w:r>
      <w:r>
        <w:t xml:space="preserve">describe assessment literacy as being a</w:t>
      </w:r>
      <w:r>
        <w:t xml:space="preserve"> </w:t>
      </w:r>
      <w:r>
        <w:t xml:space="preserve">“</w:t>
      </w:r>
      <w:r>
        <w:t xml:space="preserve">situated and differential practice predicated on negotiated knowledges</w:t>
      </w:r>
      <w:r>
        <w:t xml:space="preserve">”</w:t>
      </w:r>
      <w:r>
        <w:t xml:space="preserve"> </w:t>
      </w:r>
      <w:r>
        <w:t xml:space="preserve">(p. 7) and elsewhere, DeLuca et al.</w:t>
      </w:r>
      <w:r>
        <w:t xml:space="preserve"> </w:t>
      </w:r>
      <w:r>
        <w:t xml:space="preserve">(</w:t>
      </w:r>
      <w:hyperlink w:anchor="ref-delucaPoliciesProgramsPractices2019">
        <w:r>
          <w:rPr>
            <w:rStyle w:val="Hyperlink"/>
          </w:rPr>
          <w:t xml:space="preserve">2019</w:t>
        </w:r>
      </w:hyperlink>
      <w:r>
        <w:t xml:space="preserve">)</w:t>
      </w:r>
      <w:r>
        <w:t xml:space="preserve"> </w:t>
      </w:r>
      <w:r>
        <w:t xml:space="preserve">argue that</w:t>
      </w:r>
      <w:r>
        <w:t xml:space="preserve"> </w:t>
      </w:r>
      <w:r>
        <w:t xml:space="preserve">“</w:t>
      </w:r>
      <w:r>
        <w:t xml:space="preserve">Assessment capability involves situated professional judgement, that is the ability to draw on learning and assessment theories and experiences to purposefully design, interpret, and use a range of assessment evidence in the service of student learning</w:t>
      </w:r>
      <w:r>
        <w:t xml:space="preserve">”</w:t>
      </w:r>
      <w:r>
        <w:t xml:space="preserve"> </w:t>
      </w:r>
      <w:r>
        <w:t xml:space="preserve">(p. 2).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w:t>
      </w:r>
      <w:r>
        <w:t xml:space="preserve"> </w:t>
      </w:r>
      <w:r>
        <w:rPr>
          <w:iCs/>
          <w:i/>
        </w:rPr>
        <w:t xml:space="preserve">Teacher Assessment Literacy in Practice (TALiP)</w:t>
      </w:r>
      <w:r>
        <w:t xml:space="preserve">, explicitly includes socio-cultural factors, teacher judgement, and teacher identity.</w:t>
      </w:r>
    </w:p>
    <w:p>
      <w:pPr>
        <w:pStyle w:val="BodyText"/>
      </w:pPr>
      <w:r>
        <w:t xml:space="preserve">The methodological implication of this shift to a more complex understanding of assessment literacy is that there seems to have been an attendant shift in researchers engaging in qualitative investigations of assessment literacy</w:t>
      </w:r>
      <w:r>
        <w:t xml:space="preserve"> </w:t>
      </w:r>
      <w:r>
        <w:t xml:space="preserve">(</w:t>
      </w:r>
      <w:hyperlink w:anchor="ref-bearmanHowUniversityTeachers2017">
        <w:r>
          <w:rPr>
            <w:rStyle w:val="Hyperlink"/>
          </w:rPr>
          <w:t xml:space="preserve">Bearman et al. 2017</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Qualitative methodologies exist because of the view that, according to Guba and Lincoln</w:t>
      </w:r>
      <w:r>
        <w:t xml:space="preserve"> </w:t>
      </w:r>
      <w:r>
        <w:t xml:space="preserve">(</w:t>
      </w:r>
      <w:hyperlink w:anchor="ref-gubaFourthGenerationEvaluation1989">
        <w:r>
          <w:rPr>
            <w:rStyle w:val="Hyperlink"/>
          </w:rPr>
          <w:t xml:space="preserve">1989</w:t>
        </w:r>
      </w:hyperlink>
      <w:r>
        <w:t xml:space="preserve">)</w:t>
      </w:r>
      <w:r>
        <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
      </w:r>
    </w:p>
    <w:p>
      <w:pPr>
        <w:pStyle w:val="BodyText"/>
      </w:pPr>
      <w:r>
        <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
      </w:r>
      <w:r>
        <w:t xml:space="preserve"> </w:t>
      </w:r>
      <w:r>
        <w:t xml:space="preserve">(</w:t>
      </w:r>
      <w:hyperlink w:anchor="ref-watsonSmallDataOnline2017">
        <w:r>
          <w:rPr>
            <w:rStyle w:val="Hyperlink"/>
          </w:rPr>
          <w:t xml:space="preserve">2017</w:t>
        </w:r>
      </w:hyperlink>
      <w:r>
        <w:t xml:space="preserve">)</w:t>
      </w:r>
      <w:r>
        <w:t xml:space="preserve"> </w:t>
      </w:r>
      <w:r>
        <w:t xml:space="preserve">published a case study of how instructor assessment practices impacted a single learner who struggled through a graduate-level learning module. Benediktsson and Ragnarsdóttir</w:t>
      </w:r>
      <w:r>
        <w:t xml:space="preserve"> </w:t>
      </w:r>
      <w:r>
        <w:t xml:space="preserve">(</w:t>
      </w:r>
      <w:hyperlink w:anchor="X9e5ea49dd0d5d230443ad609e316cd93e10a84e">
        <w:r>
          <w:rPr>
            <w:rStyle w:val="Hyperlink"/>
          </w:rPr>
          <w:t xml:space="preserve">2020</w:t>
        </w:r>
      </w:hyperlink>
      <w:r>
        <w:t xml:space="preserve">)</w:t>
      </w:r>
      <w:r>
        <w:t xml:space="preserve"> </w:t>
      </w:r>
      <w:r>
        <w:t xml:space="preserve">used focus group interviews followed by semi-structured interviews with individual learners to investigate the assessment experiences of immigrant learners in Icelandic universities. Bearman et al.</w:t>
      </w:r>
      <w:r>
        <w:t xml:space="preserve"> </w:t>
      </w:r>
      <w:r>
        <w:t xml:space="preserve">(</w:t>
      </w:r>
      <w:hyperlink w:anchor="ref-bearmanHowUniversityTeachers2017">
        <w:r>
          <w:rPr>
            <w:rStyle w:val="Hyperlink"/>
          </w:rPr>
          <w:t xml:space="preserve">2017</w:t>
        </w:r>
      </w:hyperlink>
      <w:r>
        <w:t xml:space="preserve">)</w:t>
      </w:r>
      <w:r>
        <w:t xml:space="preserve"> </w:t>
      </w:r>
      <w:r>
        <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
      </w:r>
      <w:r>
        <w:t xml:space="preserve"> </w:t>
      </w:r>
      <w:r>
        <w:t xml:space="preserve">(</w:t>
      </w:r>
      <w:hyperlink w:anchor="X24013df94dd1bbf663d248dde1bf7cb672f12ec">
        <w:r>
          <w:rPr>
            <w:rStyle w:val="Hyperlink"/>
          </w:rPr>
          <w:t xml:space="preserve">2019</w:t>
        </w:r>
      </w:hyperlink>
      <w:r>
        <w:t xml:space="preserve">)</w:t>
      </w:r>
      <w:r>
        <w:t xml:space="preserve"> </w:t>
      </w:r>
      <w:r>
        <w:t xml:space="preserve">used an exploratory case study approach to investigate the assessment literacy of external examiners in UK higher education. In another case study with a single subject, Fives and Barnes</w:t>
      </w:r>
      <w:r>
        <w:t xml:space="preserve"> </w:t>
      </w:r>
      <w:r>
        <w:t xml:space="preserve">(</w:t>
      </w:r>
      <w:hyperlink w:anchor="ref-fivesNavigatingComplexCognitive2020">
        <w:r>
          <w:rPr>
            <w:rStyle w:val="Hyperlink"/>
          </w:rPr>
          <w:t xml:space="preserve">2020</w:t>
        </w:r>
      </w:hyperlink>
      <w:r>
        <w:t xml:space="preserve">)</w:t>
      </w:r>
      <w:r>
        <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
      </w:r>
      <w:r>
        <w:t xml:space="preserve"> </w:t>
      </w:r>
      <w:r>
        <w:t xml:space="preserve">“</w:t>
      </w:r>
      <w:r>
        <w:t xml:space="preserve">make explicit [the] cognitive tasks involved in their work</w:t>
      </w:r>
      <w:r>
        <w:t xml:space="preserve">”</w:t>
      </w:r>
      <w:r>
        <w:t xml:space="preserve"> </w:t>
      </w:r>
      <w:r>
        <w:t xml:space="preserve">(p. 3). More recently, DeLuca et al. (-</w:t>
      </w:r>
      <w:r>
        <w:t xml:space="preserve">DeLuca et al. (</w:t>
      </w:r>
      <w:hyperlink w:anchor="ref-delucaPedagogySlowSignificant2021">
        <w:r>
          <w:rPr>
            <w:rStyle w:val="Hyperlink"/>
          </w:rPr>
          <w:t xml:space="preserve">2021</w:t>
        </w:r>
      </w:hyperlink>
      <w:r>
        <w:t xml:space="preserve">)</w:t>
      </w:r>
      <w:r>
        <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
      </w:r>
    </w:p>
    <w:p>
      <w:pPr>
        <w:pStyle w:val="BodyText"/>
      </w:pPr>
      <w:r>
        <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
      </w:r>
    </w:p>
    <w:bookmarkEnd w:id="43"/>
    <w:bookmarkStart w:id="44" w:name="mixed-approaches"/>
    <w:p>
      <w:pPr>
        <w:pStyle w:val="Heading3"/>
      </w:pPr>
      <w:r>
        <w:t xml:space="preserve">Mixed approaches</w:t>
      </w:r>
    </w:p>
    <w:p>
      <w:pPr>
        <w:pStyle w:val="FirstParagraph"/>
      </w:pPr>
      <w:r>
        <w:t xml:space="preserve">Researchers have argued that using mixed approaches to research is a way to strengthen and increase confidence in the validity of results by maximizing the strengths of each paradigm while minimizing the weaknesses</w:t>
      </w:r>
      <w:r>
        <w:t xml:space="preserve"> </w:t>
      </w:r>
      <w:r>
        <w:t xml:space="preserve">(</w:t>
      </w:r>
      <w:hyperlink w:anchor="X15e33d0567975f2cdc7cfc47dc9f1173f938850">
        <w:r>
          <w:rPr>
            <w:rStyle w:val="Hyperlink"/>
          </w:rPr>
          <w:t xml:space="preserve">Creswell 2009</w:t>
        </w:r>
      </w:hyperlink>
      <w:r>
        <w:t xml:space="preserve">;</w:t>
      </w:r>
      <w:r>
        <w:t xml:space="preserve"> </w:t>
      </w:r>
      <w:hyperlink w:anchor="ref-mckimValueMixedMethods2017">
        <w:r>
          <w:rPr>
            <w:rStyle w:val="Hyperlink"/>
          </w:rPr>
          <w:t xml:space="preserve">McKim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argues that mixing of qualitative and quantitative methods is the defining characteristic of mixed research. She defines mixing as</w:t>
      </w:r>
      <w:r>
        <w:t xml:space="preserve"> </w:t>
      </w:r>
      <w:r>
        <w:t xml:space="preserve">“</w:t>
      </w:r>
      <w:r>
        <w:rPr>
          <w:iCs/>
          <w:i/>
        </w:rPr>
        <w:t xml:space="preserve">the linking, merging, or embedding of qualitative and quantitative strands of a mixed methods study</w:t>
      </w:r>
      <w:r>
        <w:t xml:space="preserve">”</w:t>
      </w:r>
      <w:r>
        <w:t xml:space="preserve"> </w:t>
      </w:r>
      <w:r>
        <w:t xml:space="preserve">(p. 6, emphasis in original). In a departure from the historical paradigm wars between quantitative and qualitative approaches, 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
      </w:r>
      <w:r>
        <w:t xml:space="preserve"> </w:t>
      </w:r>
      <w:r>
        <w:t xml:space="preserve">(</w:t>
      </w:r>
      <w:hyperlink w:anchor="Xfda91508ee188109dcf716fe680285d6d978b80">
        <w:r>
          <w:rPr>
            <w:rStyle w:val="Hyperlink"/>
          </w:rPr>
          <w:t xml:space="preserve">Esfandiari et al. 2016</w:t>
        </w:r>
      </w:hyperlink>
      <w:r>
        <w:t xml:space="preserve">;</w:t>
      </w:r>
      <w:r>
        <w:t xml:space="preserve"> </w:t>
      </w:r>
      <w:hyperlink w:anchor="ref-ogan-bekirogluPreServiceTeachers2014">
        <w:r>
          <w:rPr>
            <w:rStyle w:val="Hyperlink"/>
          </w:rPr>
          <w:t xml:space="preserve">Ogan‐Bekiroglu and Suzuk 2014</w:t>
        </w:r>
      </w:hyperlink>
      <w:r>
        <w:t xml:space="preserve">;</w:t>
      </w:r>
      <w:r>
        <w:t xml:space="preserve"> </w:t>
      </w:r>
      <w:hyperlink w:anchor="X78ed7c843a0a65622e4c7f10be381d21bc08632">
        <w:r>
          <w:rPr>
            <w:rStyle w:val="Hyperlink"/>
          </w:rPr>
          <w:t xml:space="preserve">Solomonidou and Michaelides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suggests evaluating mixed research projects using a table to make the structure of the study more plainly visible. The following tables are overviews of selected mixed research projects investigating assessment literacy in K-12 and higher education.</w:t>
      </w:r>
    </w:p>
    <w:p>
      <w:pPr>
        <w:pStyle w:val="BodyText"/>
      </w:pPr>
      <w:r>
        <w:rPr>
          <w:bCs/>
          <w:b/>
        </w:rPr>
        <w:t xml:space="preserve">Table 1</w:t>
      </w:r>
    </w:p>
    <w:p>
      <w:pPr>
        <w:pStyle w:val="BodyText"/>
      </w:pPr>
      <w:r>
        <w:rPr>
          <w:iCs/>
          <w:i/>
        </w:rPr>
        <w:t xml:space="preserve">Overview of</w:t>
      </w:r>
      <w:r>
        <w:rPr>
          <w:iCs/>
          <w:i/>
        </w:rPr>
        <w:t xml:space="preserve"> </w:t>
      </w:r>
      <w:r>
        <w:t xml:space="preserve">”Students’ conceptions of assessment purposes in a low stakes secondary-school context: A mixed methodology approach”*</w:t>
      </w:r>
      <w:r>
        <w:t xml:space="preserve"> </w:t>
      </w:r>
      <w:r>
        <w:t xml:space="preserve">(</w:t>
      </w:r>
      <w:hyperlink w:anchor="X78ed7c843a0a65622e4c7f10be381d21bc08632">
        <w:r>
          <w:rPr>
            <w:rStyle w:val="Hyperlink"/>
          </w:rPr>
          <w:t xml:space="preserve">Solomonidou and Michaelides 2017</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Qualitative data were used to confirm tentative inferences from quantitative analysis.</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Semi-structured interview questions were revised in light of quantitative inferences, and participants could view their survey answers during their interviews.</w:t>
            </w: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Yes</w:t>
            </w:r>
          </w:p>
        </w:tc>
        <w:tc>
          <w:tcPr/>
          <w:p>
            <w:pPr>
              <w:pStyle w:val="Compact"/>
            </w:pPr>
          </w:p>
        </w:tc>
      </w:tr>
      <w:tr>
        <w:tc>
          <w:tcPr/>
          <w:p>
            <w:pPr>
              <w:pStyle w:val="Compact"/>
              <w:jc w:val="left"/>
            </w:pPr>
            <w:r>
              <w:t xml:space="preserve">Qualitative Inference</w:t>
            </w:r>
          </w:p>
        </w:tc>
        <w:tc>
          <w:tcPr/>
          <w:p>
            <w:pPr>
              <w:pStyle w:val="Compact"/>
              <w:jc w:val="left"/>
            </w:pPr>
            <w:r>
              <w:t xml:space="preserve">Learners value assessment information but it takes work to use the information formatively.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Quantitative Inference</w:t>
            </w:r>
          </w:p>
        </w:tc>
        <w:tc>
          <w:tcPr/>
          <w:p>
            <w:pPr>
              <w:pStyle w:val="Compact"/>
              <w:jc w:val="left"/>
            </w:pPr>
            <w:r>
              <w:t xml:space="preserve">Learners agreed more with the idea that assessment is a tool for improvement and less with the idea that assessment is negative.</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Teacher education and development should systematically include alternative assessment practices.</w:t>
            </w:r>
          </w:p>
        </w:tc>
        <w:tc>
          <w:tcPr/>
          <w:p>
            <w:pPr>
              <w:pStyle w:val="Compact"/>
            </w:pPr>
          </w:p>
        </w:tc>
        <w:tc>
          <w:tcPr/>
          <w:p>
            <w:pPr>
              <w:pStyle w:val="Compact"/>
              <w:jc w:val="left"/>
            </w:pPr>
            <w:r>
              <w:t xml:space="preserve">-</w:t>
            </w:r>
          </w:p>
        </w:tc>
      </w:tr>
      <w:tr>
        <w:tc>
          <w:tcPr/>
          <w:p>
            <w:pPr>
              <w:pStyle w:val="Compact"/>
              <w:jc w:val="left"/>
            </w:pPr>
            <w:r>
              <w:t xml:space="preserve">Value Added</w:t>
            </w:r>
          </w:p>
        </w:tc>
        <w:tc>
          <w:tcPr/>
          <w:p>
            <w:pPr>
              <w:pStyle w:val="Compact"/>
              <w:jc w:val="left"/>
            </w:pPr>
            <w:r>
              <w:t xml:space="preserve">Linking data from both surveys and interviews provided opportunity for learners to elaborate on their views and provide a richer picture of their conceptions of assessment.</w:t>
            </w:r>
          </w:p>
        </w:tc>
        <w:tc>
          <w:tcPr/>
          <w:p>
            <w:pPr>
              <w:pStyle w:val="Compact"/>
            </w:pPr>
          </w:p>
        </w:tc>
        <w:tc>
          <w:tcPr/>
          <w:p>
            <w:pPr>
              <w:pStyle w:val="Compact"/>
            </w:pPr>
          </w:p>
        </w:tc>
      </w:tr>
    </w:tbl>
    <w:p>
      <w:pPr>
        <w:pStyle w:val="BodyText"/>
      </w:pPr>
      <w:r>
        <w:rPr>
          <w:bCs/>
          <w:b/>
        </w:rPr>
        <w:t xml:space="preserve">Table 2</w:t>
      </w:r>
    </w:p>
    <w:p>
      <w:pPr>
        <w:pStyle w:val="BodyText"/>
      </w:pPr>
      <w:r>
        <w:rPr>
          <w:iCs/>
          <w:i/>
        </w:rPr>
        <w:t xml:space="preserve">Overview of</w:t>
      </w:r>
      <w:r>
        <w:rPr>
          <w:iCs/>
          <w:i/>
        </w:rPr>
        <w:t xml:space="preserve"> </w:t>
      </w:r>
      <w:r>
        <w:t xml:space="preserve">”A Mixed-methods, Cross-sectional Study of Assessment Literacy of Iranian University Instructors: Implications for Teachers’ Professional Development”*</w:t>
      </w:r>
      <w:r>
        <w:t xml:space="preserve"> </w:t>
      </w:r>
      <w:r>
        <w:t xml:space="preserve">(</w:t>
      </w:r>
      <w:hyperlink w:anchor="Xfda91508ee188109dcf716fe680285d6d978b80">
        <w:r>
          <w:rPr>
            <w:rStyle w:val="Hyperlink"/>
          </w:rPr>
          <w:t xml:space="preserve">Esfandiari et al. 2016</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Complementarity</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elaborate on the quantiative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analysis filled gaps in quantitative inferences.</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Subgroups of participants assessed learners differently, used assessment for different purposes, had different levels of training in assessment, and different views on the psychometric properties of tests.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Results showed support for a three-component model of assessment literacy.</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Assessment literacy is a multi-dimensional concept affected my many factors, including teaching experience, professional development and training, and the local teaching context.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critical to helping the researchers understand the differences seen between subgroups in the quantitative analysis.</w:t>
            </w:r>
          </w:p>
        </w:tc>
        <w:tc>
          <w:tcPr/>
          <w:p>
            <w:pPr>
              <w:pStyle w:val="Compact"/>
            </w:pPr>
          </w:p>
        </w:tc>
        <w:tc>
          <w:tcPr/>
          <w:p>
            <w:pPr>
              <w:pStyle w:val="Compact"/>
            </w:pPr>
          </w:p>
        </w:tc>
      </w:tr>
    </w:tbl>
    <w:p>
      <w:pPr>
        <w:pStyle w:val="BodyText"/>
      </w:pPr>
      <w:r>
        <w:rPr>
          <w:bCs/>
          <w:b/>
        </w:rPr>
        <w:t xml:space="preserve">Table 3</w:t>
      </w:r>
    </w:p>
    <w:p>
      <w:pPr>
        <w:pStyle w:val="BodyText"/>
      </w:pPr>
      <w:r>
        <w:rPr>
          <w:iCs/>
          <w:i/>
        </w:rPr>
        <w:t xml:space="preserve">Overview of</w:t>
      </w:r>
      <w:r>
        <w:rPr>
          <w:iCs/>
          <w:i/>
        </w:rPr>
        <w:t xml:space="preserve"> </w:t>
      </w:r>
      <w:r>
        <w:rPr>
          <w:iCs/>
          <w:i/>
        </w:rPr>
        <w:t xml:space="preserve">“</w:t>
      </w:r>
      <w:r>
        <w:rPr>
          <w:iCs/>
          <w:i/>
        </w:rPr>
        <w:t xml:space="preserve">Pre-service teachers’ assessment literacy and its implementation into practice</w:t>
      </w:r>
      <w:r>
        <w:rPr>
          <w:iCs/>
          <w:i/>
        </w:rPr>
        <w:t xml:space="preserve">”</w:t>
      </w:r>
      <w:r>
        <w:rPr>
          <w:iCs/>
          <w:i/>
        </w:rPr>
        <w:t xml:space="preserve"> </w:t>
      </w:r>
      <w:r>
        <w:rPr>
          <w:iCs/>
          <w:i/>
        </w:rPr>
        <w:t xml:space="preserve">(</w:t>
      </w:r>
      <w:hyperlink w:anchor="ref-ogan-bekirogluPreServiceTeachers2014">
        <w:r>
          <w:rPr>
            <w:rStyle w:val="Hyperlink"/>
            <w:iCs/>
            <w:i/>
          </w:rPr>
          <w:t xml:space="preserve">Ogan‐Bekiroglu and Suzuk 2014</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 and 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Side-by-side comparison (concurrent)</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and quantitative data were analyzed concurrently by presenting them side-by-side for comparison.</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showed alignment with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Pre-service teachers’ assessment literacy was determined to be</w:t>
            </w:r>
            <w:r>
              <w:t xml:space="preserve"> </w:t>
            </w:r>
            <w:r>
              <w:t xml:space="preserve">“</w:t>
            </w:r>
            <w:r>
              <w:t xml:space="preserve">close to constructivist</w:t>
            </w:r>
            <w:r>
              <w:t xml:space="preserve">”</w:t>
            </w:r>
            <w:r>
              <w:t xml:space="preserve"> </w:t>
            </w:r>
            <w:r>
              <w:t xml:space="preserve">(p. 352)</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Although participants were able to demonstrate knowledge of assessment literacy, they had difficulty translating that knowledge into practice.</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important for determining the difficulty in translating knowledge of assessment literacy into practice of good assessment.</w:t>
            </w:r>
          </w:p>
        </w:tc>
        <w:tc>
          <w:tcPr/>
          <w:p>
            <w:pPr>
              <w:pStyle w:val="Compact"/>
            </w:pPr>
          </w:p>
        </w:tc>
        <w:tc>
          <w:tcPr/>
          <w:p>
            <w:pPr>
              <w:pStyle w:val="Compact"/>
            </w:pPr>
          </w:p>
        </w:tc>
      </w:tr>
    </w:tbl>
    <w:p>
      <w:pPr>
        <w:pStyle w:val="BodyText"/>
      </w:pPr>
      <w:r>
        <w:rPr>
          <w:bCs/>
          <w:b/>
        </w:rPr>
        <w:t xml:space="preserve">Table 4</w:t>
      </w:r>
    </w:p>
    <w:p>
      <w:pPr>
        <w:pStyle w:val="BodyText"/>
      </w:pPr>
      <w:r>
        <w:rPr>
          <w:iCs/>
          <w:i/>
        </w:rPr>
        <w:t xml:space="preserve">Overview of</w:t>
      </w:r>
      <w:r>
        <w:rPr>
          <w:iCs/>
          <w:i/>
        </w:rPr>
        <w:t xml:space="preserve"> </w:t>
      </w:r>
      <w:r>
        <w:rPr>
          <w:iCs/>
          <w:i/>
        </w:rPr>
        <w:t xml:space="preserve">“</w:t>
      </w:r>
      <w:r>
        <w:rPr>
          <w:iCs/>
          <w:i/>
        </w:rPr>
        <w:t xml:space="preserve">A mixed method exploration of student perceptions of assessment in nursing and biomedicine</w:t>
      </w:r>
      <w:r>
        <w:rPr>
          <w:iCs/>
          <w:i/>
        </w:rPr>
        <w:t xml:space="preserve">”</w:t>
      </w:r>
      <w:r>
        <w:rPr>
          <w:iCs/>
          <w:i/>
        </w:rPr>
        <w:t xml:space="preserve"> </w:t>
      </w:r>
      <w:r>
        <w:rPr>
          <w:iCs/>
          <w:i/>
        </w:rPr>
        <w:t xml:space="preserve">(</w:t>
      </w:r>
      <w:hyperlink w:anchor="ref-garveyMixedMethodExploration2021">
        <w:r>
          <w:rPr>
            <w:rStyle w:val="Hyperlink"/>
            <w:iCs/>
            <w:i/>
          </w:rPr>
          <w:t xml:space="preserve">Garvey, Hodgson, and Tighe 2021</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Concurrent</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Consecutive</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Open-ended (qualitative) responses were gathered along with quantitative responses and were designed to elicit clarifying views.</w:t>
            </w:r>
          </w:p>
        </w:tc>
      </w:tr>
      <w:tr>
        <w:tc>
          <w:tcPr/>
          <w:p>
            <w:pPr>
              <w:pStyle w:val="Compact"/>
            </w:pPr>
          </w:p>
        </w:tc>
        <w:tc>
          <w:tcPr/>
          <w:p>
            <w:pPr>
              <w:pStyle w:val="Compact"/>
              <w:jc w:val="left"/>
            </w:pPr>
            <w:r>
              <w:t xml:space="preserve">Data Analysis</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deeper levels of complexity compared to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First-year university learners indicated positive views of assessment, regardless of their program.</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Universities should recognize that first-year learners tend to have positive views of assessment and should communicate often with them about the purposes of assessment.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showed areas of misalignment with the quantitative analysis.</w:t>
            </w:r>
          </w:p>
        </w:tc>
        <w:tc>
          <w:tcPr/>
          <w:p>
            <w:pPr>
              <w:pStyle w:val="Compact"/>
            </w:pPr>
          </w:p>
        </w:tc>
        <w:tc>
          <w:tcPr/>
          <w:p>
            <w:pPr>
              <w:pStyle w:val="Compact"/>
            </w:pPr>
          </w:p>
        </w:tc>
      </w:tr>
    </w:tbl>
    <w:p>
      <w:pPr>
        <w:pStyle w:val="BodyText"/>
      </w:pPr>
      <w:r>
        <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
      </w:r>
    </w:p>
    <w:bookmarkEnd w:id="44"/>
    <w:bookmarkStart w:id="45" w:name="X350539635d56d9f0201567718af9c7f9fea4cce"/>
    <w:p>
      <w:pPr>
        <w:pStyle w:val="Heading3"/>
      </w:pPr>
      <w:r>
        <w:t xml:space="preserve">Epistemological Alignment with Purpose of the Research</w:t>
      </w:r>
    </w:p>
    <w:p>
      <w:pPr>
        <w:pStyle w:val="FirstParagraph"/>
      </w:pPr>
      <w:r>
        <w:t xml:space="preserve">The purpose of this project is to investigate a multi-dimensional construct, assessment literacy, that is influenced by factors both internal (for example: beliefs, values, and past experiences) and external (for example: assessment culture</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r>
        <w:t xml:space="preserve">or government regulations) to instructors</w:t>
      </w:r>
      <w:r>
        <w:t xml:space="preserve"> </w:t>
      </w:r>
      <w:r>
        <w:t xml:space="preserve">(</w:t>
      </w:r>
      <w:hyperlink w:anchor="ref-delucaDifferentialSituatedView2019">
        <w:r>
          <w:rPr>
            <w:rStyle w:val="Hyperlink"/>
          </w:rPr>
          <w:t xml:space="preserve">DeLuca, Coombs, et al. 2019</w:t>
        </w:r>
      </w:hyperlink>
      <w:r>
        <w:t xml:space="preserve">)</w:t>
      </w:r>
      <w:r>
        <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
      </w:r>
      <w:r>
        <w:t xml:space="preserve"> </w:t>
      </w:r>
      <w:r>
        <w:t xml:space="preserve">(</w:t>
      </w:r>
      <w:hyperlink w:anchor="ref-bazeleyIntegratingAnalysesMixed2018">
        <w:r>
          <w:rPr>
            <w:rStyle w:val="Hyperlink"/>
          </w:rPr>
          <w:t xml:space="preserve">Bazeley 2018, 62</w:t>
        </w:r>
      </w:hyperlink>
      <w:r>
        <w:t xml:space="preserve">)</w:t>
      </w:r>
      <w:r>
        <w:t xml:space="preserve"> </w:t>
      </w:r>
      <w:r>
        <w:t xml:space="preserve">from the integration of analyses. As such, I propose a mixed research investigation, which will be described in greater detail in the following sections.</w:t>
      </w:r>
    </w:p>
    <w:bookmarkEnd w:id="45"/>
    <w:bookmarkEnd w:id="46"/>
    <w:bookmarkStart w:id="50" w:name="X3d3420124ca80fee0d7765f0c4c2011fc210ba0"/>
    <w:p>
      <w:pPr>
        <w:pStyle w:val="Heading2"/>
      </w:pPr>
      <w:r>
        <w:t xml:space="preserve">Visualization of a Mixed Research Project</w:t>
      </w:r>
    </w:p>
    <w:p>
      <w:pPr>
        <w:pStyle w:val="FirstParagraph"/>
      </w:pPr>
      <w:r>
        <w:t xml:space="preserve">Researchers who use mixed approaches often include visual overviews of their research project as mixed research projects can be very complex</w:t>
      </w:r>
      <w:r>
        <w:t xml:space="preserve"> </w:t>
      </w:r>
      <w:r>
        <w:t xml:space="preserve">(</w:t>
      </w:r>
      <w:hyperlink w:anchor="X19c097a02df9fa745c62b1a0ce793f7d18e0b41">
        <w:r>
          <w:rPr>
            <w:rStyle w:val="Hyperlink"/>
          </w:rPr>
          <w:t xml:space="preserve">Creamer 2018</w:t>
        </w:r>
      </w:hyperlink>
      <w:r>
        <w:t xml:space="preserve">)</w:t>
      </w:r>
      <w:r>
        <w:t xml:space="preserve">. Figure 1 below is a visual representation of the present project. It is helpful to understand some of the conventions of visualizing mixed research projects as seen in figure 1. According to Tashakkori et al.</w:t>
      </w:r>
      <w:r>
        <w:t xml:space="preserve"> </w:t>
      </w:r>
      <w:r>
        <w:t xml:space="preserve">(</w:t>
      </w:r>
      <w:hyperlink w:anchor="X8daae7541e4c079ce301a7c9a89f7da03d2db6f">
        <w:r>
          <w:rPr>
            <w:rStyle w:val="Hyperlink"/>
          </w:rPr>
          <w:t xml:space="preserve">2020</w:t>
        </w:r>
      </w:hyperlink>
      <w:r>
        <w:t xml:space="preserve">)</w:t>
      </w:r>
      <w:r>
        <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
      </w:r>
      <w:r>
        <w:t xml:space="preserve"> </w:t>
      </w:r>
      <w:r>
        <w:t xml:space="preserve">‘</w:t>
      </w:r>
      <w:r>
        <w:t xml:space="preserve">+</w:t>
      </w:r>
      <w:r>
        <w:t xml:space="preserve">’</w:t>
      </w:r>
      <w:r>
        <w:t xml:space="preserve"> </w:t>
      </w:r>
      <w:r>
        <w:t xml:space="preserve">indicates that two or more types of data are collected and/or analyzed concurrently, while a ’ → ’ indicates that two or more types of data are collected or analyzed consecutively or sequentially. So, the notation</w:t>
      </w:r>
      <w:r>
        <w:t xml:space="preserve"> </w:t>
      </w:r>
      <w:r>
        <w:t xml:space="preserve">‘</w:t>
      </w:r>
      <w:r>
        <w:t xml:space="preserve">QUAN+qual</w:t>
      </w:r>
      <w:r>
        <w:t xml:space="preserve">’</w:t>
      </w:r>
      <w:r>
        <w:t xml:space="preserve"> </w:t>
      </w:r>
      <w:r>
        <w:t xml:space="preserve">indicates that both quantitative and qualitative data are collected and analyzed concurrently with quantitative data and analysis being prioritized. The notation</w:t>
      </w:r>
      <w:r>
        <w:t xml:space="preserve"> </w:t>
      </w:r>
      <w:r>
        <w:t xml:space="preserve">‘</w:t>
      </w:r>
      <w:r>
        <w:t xml:space="preserve">QUAN → QUAL</w:t>
      </w:r>
      <w:r>
        <w:t xml:space="preserve">’</w:t>
      </w:r>
      <w:r>
        <w:t xml:space="preserve"> </w:t>
      </w:r>
      <w:r>
        <w:t xml:space="preserve">indicates that quantitative data are being collected and/or analyzed before qualitative data, and both types of data and analysis have equal weight.</w:t>
      </w:r>
    </w:p>
    <w:p>
      <w:pPr>
        <w:pStyle w:val="BodyText"/>
      </w:pPr>
      <w:r>
        <w:rPr>
          <w:bCs/>
          <w:b/>
        </w:rPr>
        <w:t xml:space="preserve">Figure 1</w:t>
      </w:r>
    </w:p>
    <w:p>
      <w:pPr>
        <w:pStyle w:val="BodyText"/>
      </w:pPr>
      <w:r>
        <w:rPr>
          <w:iCs/>
          <w:i/>
        </w:rPr>
        <w:t xml:space="preserve">A Visualization of a QUAN+qual → QUAL Sequential Exploratory Mixed Research Study.</w:t>
      </w:r>
    </w:p>
    <w:p>
      <w:pPr>
        <w:pStyle w:val="BodyText"/>
      </w:pPr>
      <w:r>
        <w:drawing>
          <wp:inline>
            <wp:extent cx="5943600" cy="3368755"/>
            <wp:effectExtent b="0" l="0" r="0" t="0"/>
            <wp:docPr descr="" title="" id="48" name="Picture"/>
            <a:graphic>
              <a:graphicData uri="http://schemas.openxmlformats.org/drawingml/2006/picture">
                <pic:pic>
                  <pic:nvPicPr>
                    <pic:cNvPr descr="images/methods-viz.png" id="49" name="Picture"/>
                    <pic:cNvPicPr>
                      <a:picLocks noChangeArrowheads="1" noChangeAspect="1"/>
                    </pic:cNvPicPr>
                  </pic:nvPicPr>
                  <pic:blipFill>
                    <a:blip r:embed="rId47"/>
                    <a:stretch>
                      <a:fillRect/>
                    </a:stretch>
                  </pic:blipFill>
                  <pic:spPr bwMode="auto">
                    <a:xfrm>
                      <a:off x="0" y="0"/>
                      <a:ext cx="5943600" cy="3368755"/>
                    </a:xfrm>
                    <a:prstGeom prst="rect">
                      <a:avLst/>
                    </a:prstGeom>
                    <a:noFill/>
                    <a:ln w="9525">
                      <a:noFill/>
                      <a:headEnd/>
                      <a:tailEnd/>
                    </a:ln>
                  </pic:spPr>
                </pic:pic>
              </a:graphicData>
            </a:graphic>
          </wp:inline>
        </w:drawing>
      </w:r>
    </w:p>
    <w:p>
      <w:pPr>
        <w:pStyle w:val="BodyText"/>
      </w:pPr>
      <w:r>
        <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
      </w:r>
    </w:p>
    <w:p>
      <w:pPr>
        <w:numPr>
          <w:ilvl w:val="0"/>
          <w:numId w:val="1029"/>
        </w:numPr>
        <w:pStyle w:val="Compact"/>
      </w:pPr>
      <w:r>
        <w:t xml:space="preserve">Are there distinct patterns in higher education instructors’ approaches to assessment in Canada?</w:t>
      </w:r>
    </w:p>
    <w:p>
      <w:pPr>
        <w:numPr>
          <w:ilvl w:val="0"/>
          <w:numId w:val="1029"/>
        </w:numPr>
        <w:pStyle w:val="Compact"/>
      </w:pPr>
      <w:r>
        <w:t xml:space="preserve">Does the prevalence of these patterns differ by:</w:t>
      </w:r>
    </w:p>
    <w:p>
      <w:pPr>
        <w:numPr>
          <w:ilvl w:val="0"/>
          <w:numId w:val="1030"/>
        </w:numPr>
        <w:pStyle w:val="Compact"/>
      </w:pPr>
      <w:r>
        <w:t xml:space="preserve">instructors’ levels of experience in teaching face-to-face versus online?</w:t>
      </w:r>
    </w:p>
    <w:p>
      <w:pPr>
        <w:numPr>
          <w:ilvl w:val="0"/>
          <w:numId w:val="1030"/>
        </w:numPr>
        <w:pStyle w:val="Compact"/>
      </w:pPr>
      <w:r>
        <w:t xml:space="preserve">instructors’ levels of experience using technology?</w:t>
      </w:r>
    </w:p>
    <w:p>
      <w:pPr>
        <w:pStyle w:val="FirstParagraph"/>
      </w:pPr>
      <w:r>
        <w:t xml:space="preserve">This will be supplemented in phase 1b by the</w:t>
      </w:r>
      <w:r>
        <w:t xml:space="preserve"> </w:t>
      </w:r>
      <w:r>
        <w:rPr>
          <w:iCs/>
          <w:i/>
        </w:rPr>
        <w:t xml:space="preserve">concurrent collection</w:t>
      </w:r>
      <w:r>
        <w:t xml:space="preserve"> </w:t>
      </w:r>
      <w:r>
        <w:t xml:space="preserve">and</w:t>
      </w:r>
      <w:r>
        <w:t xml:space="preserve"> </w:t>
      </w:r>
      <w:r>
        <w:rPr>
          <w:iCs/>
          <w:i/>
        </w:rPr>
        <w:t xml:space="preserve">subsequent analysis</w:t>
      </w:r>
      <w:r>
        <w:t xml:space="preserve"> </w:t>
      </w:r>
      <w:r>
        <w:t xml:space="preserve">of qualitative data to answer research question 3.</w:t>
      </w:r>
    </w:p>
    <w:p>
      <w:pPr>
        <w:numPr>
          <w:ilvl w:val="0"/>
          <w:numId w:val="1031"/>
        </w:numPr>
        <w:pStyle w:val="Compact"/>
      </w:pPr>
      <w:r>
        <w:t xml:space="preserve">What factors influence instructors’ approaches to assessment?</w:t>
      </w:r>
    </w:p>
    <w:p>
      <w:pPr>
        <w:pStyle w:val="FirstParagraph"/>
      </w:pPr>
      <w:r>
        <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
      </w:r>
    </w:p>
    <w:p>
      <w:pPr>
        <w:numPr>
          <w:ilvl w:val="0"/>
          <w:numId w:val="1032"/>
        </w:numPr>
        <w:pStyle w:val="Compact"/>
      </w:pPr>
      <w:r>
        <w:t xml:space="preserve">How do instructors’ assessment approaches affect learners’ experiences?</w:t>
      </w:r>
    </w:p>
    <w:p>
      <w:pPr>
        <w:pStyle w:val="FirstParagraph"/>
      </w:pPr>
      <w:r>
        <w:t xml:space="preserve">Since research question 4 is an integrative question</w:t>
      </w:r>
      <w:r>
        <w:t xml:space="preserve"> </w:t>
      </w:r>
      <w:r>
        <w:t xml:space="preserve">(</w:t>
      </w:r>
      <w:hyperlink w:anchor="X19c097a02df9fa745c62b1a0ce793f7d18e0b41">
        <w:r>
          <w:rPr>
            <w:rStyle w:val="Hyperlink"/>
          </w:rPr>
          <w:t xml:space="preserve">Creamer 2018</w:t>
        </w:r>
      </w:hyperlink>
      <w:r>
        <w:t xml:space="preserve">)</w:t>
      </w:r>
      <w:r>
        <w:t xml:space="preserve">, it cannot be answered fully until the inferences from phase 1 and phase 2 are integrated into one or more meta-inferences.</w:t>
      </w:r>
    </w:p>
    <w:bookmarkEnd w:id="50"/>
    <w:bookmarkStart w:id="51" w:name="participants-and-sampling-strategy"/>
    <w:p>
      <w:pPr>
        <w:pStyle w:val="Heading2"/>
      </w:pPr>
      <w:r>
        <w:t xml:space="preserve">Participants and Sampling Strategy</w:t>
      </w:r>
    </w:p>
    <w:p>
      <w:pPr>
        <w:pStyle w:val="FirstParagraph"/>
      </w:pPr>
      <w:r>
        <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 Care will be taken to ensure the sample is representative of the whole population by engaging in a stratified random sampling technique at the institutional level</w:t>
      </w:r>
      <w:r>
        <w:t xml:space="preserve"> </w:t>
      </w:r>
      <w:r>
        <w:t xml:space="preserve">(</w:t>
      </w:r>
      <w:hyperlink w:anchor="ref-hibbertsCommonSurveySampling2012">
        <w:r>
          <w:rPr>
            <w:rStyle w:val="Hyperlink"/>
          </w:rPr>
          <w:t xml:space="preserve">Hibberts, Burke Johnson, and Hudson 2012</w:t>
        </w:r>
      </w:hyperlink>
      <w:r>
        <w:t xml:space="preserve">)</w:t>
      </w:r>
      <w:r>
        <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
      </w:r>
      <w:r>
        <w:t xml:space="preserve"> </w:t>
      </w:r>
      <w:r>
        <w:t xml:space="preserve">“</w:t>
      </w:r>
      <w:r>
        <w:t xml:space="preserve">linked data</w:t>
      </w:r>
      <w:r>
        <w:t xml:space="preserve">”</w:t>
      </w:r>
      <w:r>
        <w:t xml:space="preserve"> </w:t>
      </w:r>
      <w:r>
        <w:t xml:space="preserve">(</w:t>
      </w:r>
      <w:hyperlink w:anchor="ref-bazeleyIntegratingAnalysesMixed2018">
        <w:r>
          <w:rPr>
            <w:rStyle w:val="Hyperlink"/>
          </w:rPr>
          <w:t xml:space="preserve">2018, 126</w:t>
        </w:r>
      </w:hyperlink>
      <w:r>
        <w:t xml:space="preserve">)</w:t>
      </w:r>
      <w:r>
        <w:t xml:space="preserve">, allowing for greater explanatory power due to being able to match specific instructor approaches with learner impacts.</w:t>
      </w:r>
    </w:p>
    <w:bookmarkEnd w:id="51"/>
    <w:bookmarkStart w:id="54" w:name="data-collection-strategy"/>
    <w:p>
      <w:pPr>
        <w:pStyle w:val="Heading2"/>
      </w:pPr>
      <w:r>
        <w:t xml:space="preserve">Data Collection Strategy</w:t>
      </w:r>
    </w:p>
    <w:bookmarkStart w:id="52" w:name="phase-1"/>
    <w:p>
      <w:pPr>
        <w:pStyle w:val="Heading3"/>
      </w:pPr>
      <w:r>
        <w:t xml:space="preserve">Phase 1</w:t>
      </w:r>
    </w:p>
    <w:p>
      <w:pPr>
        <w:pStyle w:val="FirstParagraph"/>
      </w:pPr>
      <w:r>
        <w:t xml:space="preserve">I propose that the phase 1 data collection instrument be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
      </w:r>
      <w:r>
        <w:t xml:space="preserve"> </w:t>
      </w:r>
      <w:r>
        <w:rPr>
          <w:iCs/>
          <w:i/>
        </w:rPr>
        <w:t xml:space="preserve">Beliefs about Assessment</w:t>
      </w:r>
      <w:r>
        <w:t xml:space="preserve"> </w:t>
      </w:r>
      <w:r>
        <w:t xml:space="preserve">scale</w:t>
      </w:r>
      <w:r>
        <w:t xml:space="preserve"> </w:t>
      </w:r>
      <w:r>
        <w:t xml:space="preserve">(</w:t>
      </w:r>
      <w:hyperlink w:anchor="ref-smithPreparingTeachersUse2014">
        <w:r>
          <w:rPr>
            <w:rStyle w:val="Hyperlink"/>
          </w:rPr>
          <w:t xml:space="preserve">Smith et al. 2014</w:t>
        </w:r>
      </w:hyperlink>
      <w:r>
        <w:t xml:space="preserve">)</w:t>
      </w:r>
      <w:r>
        <w:t xml:space="preserve">. The ACAI has been used in a wide variety of studies within the instrument’s author’s research group</w:t>
      </w:r>
      <w:r>
        <w:t xml:space="preserve"> </w:t>
      </w:r>
      <w:r>
        <w:t xml:space="preserve">(</w:t>
      </w:r>
      <w:hyperlink w:anchor="X3310b036a234cdf230045cc2106e53d723808d6">
        <w:r>
          <w:rPr>
            <w:rStyle w:val="Hyperlink"/>
          </w:rPr>
          <w:t xml:space="preserve">Coombs et al. 2018</w:t>
        </w:r>
      </w:hyperlink>
      <w:r>
        <w:t xml:space="preserve">;</w:t>
      </w:r>
      <w:r>
        <w:t xml:space="preserve"> </w:t>
      </w:r>
      <w:hyperlink w:anchor="Xfe48ff53c3a3416066f58f9a41b535978fae869">
        <w:r>
          <w:rPr>
            <w:rStyle w:val="Hyperlink"/>
          </w:rPr>
          <w:t xml:space="preserve">Coombs, DeLuca, and MacGregor 2020</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73f46dba91e2266ea33fc285a547bc86776461">
        <w:r>
          <w:rPr>
            <w:rStyle w:val="Hyperlink"/>
          </w:rPr>
          <w:t xml:space="preserve">DeLuca et al. 2016</w:t>
        </w:r>
      </w:hyperlink>
      <w:r>
        <w:t xml:space="preserve">;</w:t>
      </w:r>
      <w:r>
        <w:t xml:space="preserve"> </w:t>
      </w:r>
      <w:hyperlink w:anchor="ref-delucaPoliciesProgramsPractices2019">
        <w:r>
          <w:rPr>
            <w:rStyle w:val="Hyperlink"/>
          </w:rPr>
          <w:t xml:space="preserve">DeLuca, Willis, et al. 2019</w:t>
        </w:r>
      </w:hyperlink>
      <w:r>
        <w:t xml:space="preserve">;</w:t>
      </w:r>
      <w:r>
        <w:t xml:space="preserve"> </w:t>
      </w:r>
      <w:hyperlink w:anchor="X9107aa38217f38eb2a3cd58416130c5f29e300a">
        <w:r>
          <w:rPr>
            <w:rStyle w:val="Hyperlink"/>
          </w:rPr>
          <w:t xml:space="preserve">Schneider et al. 2020</w:t>
        </w:r>
      </w:hyperlink>
      <w:r>
        <w:t xml:space="preserve">)</w:t>
      </w:r>
      <w:r>
        <w:t xml:space="preserve">, and also by other researchers</w:t>
      </w:r>
      <w:r>
        <w:t xml:space="preserve"> </w:t>
      </w:r>
      <w:r>
        <w:t xml:space="preserve">(</w:t>
      </w:r>
      <w:hyperlink w:anchor="X2e9d1b0270cc3e67622e0de93917b7ce91abfb6">
        <w:r>
          <w:rPr>
            <w:rStyle w:val="Hyperlink"/>
          </w:rPr>
          <w:t xml:space="preserve">Nayagi N and Rajendran 2020</w:t>
        </w:r>
      </w:hyperlink>
      <w:r>
        <w:t xml:space="preserve">)</w:t>
      </w:r>
      <w:r>
        <w:t xml:space="preserve">. In several of these studies, the ACAI has been modified somewhat to fit the particular context or research design.</w:t>
      </w:r>
    </w:p>
    <w:p>
      <w:pPr>
        <w:pStyle w:val="BodyText"/>
      </w:pPr>
      <w:r>
        <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w:t>
      </w:r>
    </w:p>
    <w:bookmarkEnd w:id="52"/>
    <w:bookmarkStart w:id="53" w:name="phase-2"/>
    <w:p>
      <w:pPr>
        <w:pStyle w:val="Heading3"/>
      </w:pPr>
      <w:r>
        <w:t xml:space="preserve">Phase 2</w:t>
      </w:r>
    </w:p>
    <w:p>
      <w:pPr>
        <w:pStyle w:val="FirstParagraph"/>
      </w:pPr>
      <w:r>
        <w:t xml:space="preserve">The semi-structured interviews in phase 2 will include questions similar to the following:</w:t>
      </w:r>
    </w:p>
    <w:p>
      <w:pPr>
        <w:numPr>
          <w:ilvl w:val="0"/>
          <w:numId w:val="1033"/>
        </w:numPr>
        <w:pStyle w:val="Compact"/>
      </w:pPr>
      <w:r>
        <w:t xml:space="preserve">Please describe what you understand assessment to be.</w:t>
      </w:r>
    </w:p>
    <w:p>
      <w:pPr>
        <w:numPr>
          <w:ilvl w:val="0"/>
          <w:numId w:val="1033"/>
        </w:numPr>
        <w:pStyle w:val="Compact"/>
      </w:pPr>
      <w:r>
        <w:t xml:space="preserve">Did the assessment strategies that your instructor used help you to learn the course material?</w:t>
      </w:r>
    </w:p>
    <w:p>
      <w:pPr>
        <w:numPr>
          <w:ilvl w:val="0"/>
          <w:numId w:val="1033"/>
        </w:numPr>
        <w:pStyle w:val="Compact"/>
      </w:pPr>
      <w:r>
        <w:t xml:space="preserve">Did [instructor] use technology to administer assessments?</w:t>
      </w:r>
    </w:p>
    <w:p>
      <w:pPr>
        <w:numPr>
          <w:ilvl w:val="1"/>
          <w:numId w:val="1034"/>
        </w:numPr>
        <w:pStyle w:val="Compact"/>
      </w:pPr>
      <w:r>
        <w:t xml:space="preserve">How did their use/not use of technology impact your performance on the assessments?</w:t>
      </w:r>
    </w:p>
    <w:p>
      <w:pPr>
        <w:numPr>
          <w:ilvl w:val="0"/>
          <w:numId w:val="1033"/>
        </w:numPr>
        <w:pStyle w:val="Compact"/>
      </w:pPr>
      <w:r>
        <w:t xml:space="preserve">Please describe your</w:t>
      </w:r>
      <w:r>
        <w:t xml:space="preserve"> </w:t>
      </w:r>
      <w:r>
        <w:rPr>
          <w:iCs/>
          <w:i/>
        </w:rPr>
        <w:t xml:space="preserve">favourite</w:t>
      </w:r>
      <w:r>
        <w:t xml:space="preserve"> </w:t>
      </w:r>
      <w:r>
        <w:t xml:space="preserve">assessment from [instructor]’s course [course name]?</w:t>
      </w:r>
    </w:p>
    <w:p>
      <w:pPr>
        <w:numPr>
          <w:ilvl w:val="1"/>
          <w:numId w:val="1035"/>
        </w:numPr>
        <w:pStyle w:val="Compact"/>
      </w:pPr>
      <w:r>
        <w:t xml:space="preserve">What made that assessment your favourite?</w:t>
      </w:r>
    </w:p>
    <w:p>
      <w:pPr>
        <w:numPr>
          <w:ilvl w:val="0"/>
          <w:numId w:val="1033"/>
        </w:numPr>
        <w:pStyle w:val="Compact"/>
      </w:pPr>
      <w:r>
        <w:t xml:space="preserve">Please describe your</w:t>
      </w:r>
      <w:r>
        <w:t xml:space="preserve"> </w:t>
      </w:r>
      <w:r>
        <w:rPr>
          <w:iCs/>
          <w:i/>
        </w:rPr>
        <w:t xml:space="preserve">least favourite</w:t>
      </w:r>
      <w:r>
        <w:t xml:space="preserve"> </w:t>
      </w:r>
      <w:r>
        <w:t xml:space="preserve">assessment from [instructor]’s course [course name]?</w:t>
      </w:r>
    </w:p>
    <w:p>
      <w:pPr>
        <w:numPr>
          <w:ilvl w:val="1"/>
          <w:numId w:val="1036"/>
        </w:numPr>
        <w:pStyle w:val="Compact"/>
      </w:pPr>
      <w:r>
        <w:t xml:space="preserve">What made that assessment your least favourite?</w:t>
      </w:r>
    </w:p>
    <w:p>
      <w:pPr>
        <w:numPr>
          <w:ilvl w:val="0"/>
          <w:numId w:val="1033"/>
        </w:numPr>
        <w:pStyle w:val="Compact"/>
      </w:pPr>
      <w:r>
        <w:t xml:space="preserve">What factors made it</w:t>
      </w:r>
      <w:r>
        <w:t xml:space="preserve"> </w:t>
      </w:r>
      <w:r>
        <w:rPr>
          <w:iCs/>
          <w:i/>
        </w:rPr>
        <w:t xml:space="preserve">easier</w:t>
      </w:r>
      <w:r>
        <w:t xml:space="preserve"> </w:t>
      </w:r>
      <w:r>
        <w:t xml:space="preserve">to do well on the assessments in [course]?</w:t>
      </w:r>
    </w:p>
    <w:p>
      <w:pPr>
        <w:numPr>
          <w:ilvl w:val="0"/>
          <w:numId w:val="1033"/>
        </w:numPr>
        <w:pStyle w:val="Compact"/>
      </w:pPr>
      <w:r>
        <w:t xml:space="preserve">What factors made it</w:t>
      </w:r>
      <w:r>
        <w:t xml:space="preserve"> </w:t>
      </w:r>
      <w:r>
        <w:rPr>
          <w:iCs/>
          <w:i/>
        </w:rPr>
        <w:t xml:space="preserve">more difficult</w:t>
      </w:r>
      <w:r>
        <w:t xml:space="preserve"> </w:t>
      </w:r>
      <w:r>
        <w:t xml:space="preserve">to do well on the assessments in [course]?</w:t>
      </w:r>
    </w:p>
    <w:p>
      <w:pPr>
        <w:numPr>
          <w:ilvl w:val="0"/>
          <w:numId w:val="1033"/>
        </w:numPr>
        <w:pStyle w:val="Compact"/>
      </w:pPr>
      <w:r>
        <w:t xml:space="preserve">How did the assessment strategies your instructor used make you feel?</w:t>
      </w:r>
    </w:p>
    <w:p>
      <w:pPr>
        <w:numPr>
          <w:ilvl w:val="0"/>
          <w:numId w:val="1033"/>
        </w:numPr>
        <w:pStyle w:val="Compact"/>
      </w:pPr>
      <w:r>
        <w:t xml:space="preserve">Do you receive any support or accommodations to allow you to complete assessments?</w:t>
      </w:r>
    </w:p>
    <w:bookmarkEnd w:id="53"/>
    <w:bookmarkEnd w:id="54"/>
    <w:bookmarkStart w:id="57" w:name="types-of-data-and-analysis"/>
    <w:p>
      <w:pPr>
        <w:pStyle w:val="Heading2"/>
      </w:pPr>
      <w:r>
        <w:t xml:space="preserve">Types of Data and Analysis</w:t>
      </w:r>
    </w:p>
    <w:p>
      <w:pPr>
        <w:pStyle w:val="FirstParagraph"/>
      </w:pPr>
      <w:r>
        <w:t xml:space="preserve">As shown in the visualization of the research project (Figure 1), both quantitative and qualitative data will be gathered for analysis. The following sections will describe the data I intend to gather and how it may address the research questions.</w:t>
      </w:r>
    </w:p>
    <w:bookmarkStart w:id="55" w:name="quantitative-data"/>
    <w:p>
      <w:pPr>
        <w:pStyle w:val="Heading3"/>
      </w:pPr>
      <w:r>
        <w:t xml:space="preserve">Quantitative data</w:t>
      </w:r>
    </w:p>
    <w:p>
      <w:pPr>
        <w:pStyle w:val="FirstParagraph"/>
      </w:pPr>
      <w:r>
        <w:t xml:space="preserve">During phase 1a, quantitative data will be gathered using the ACAI and will primarily be in the form of responses to 6-point Likert scale items. Similar to Flores et al.</w:t>
      </w:r>
      <w:r>
        <w:t xml:space="preserve"> </w:t>
      </w:r>
      <w:r>
        <w:t xml:space="preserve">(</w:t>
      </w:r>
      <w:hyperlink w:anchor="X21a54516e2b8ef032e69ea54eb24962d0415dba">
        <w:r>
          <w:rPr>
            <w:rStyle w:val="Hyperlink"/>
          </w:rPr>
          <w:t xml:space="preserve">2020</w:t>
        </w:r>
      </w:hyperlink>
      <w:r>
        <w:t xml:space="preserve">)</w:t>
      </w:r>
      <w:r>
        <w:t xml:space="preserve">, the first step will be to engage in a confirmatory factor analysis to determine the fit of the data with the</w:t>
      </w:r>
      <w:r>
        <w:t xml:space="preserve"> </w:t>
      </w:r>
      <w:r>
        <w:rPr>
          <w:iCs/>
          <w:i/>
        </w:rPr>
        <w:t xml:space="preserve">Approaches to Classroom Assessment</w:t>
      </w:r>
      <w:r>
        <w:t xml:space="preserve"> </w:t>
      </w:r>
      <w:r>
        <w:t xml:space="preserve">model. This step will address research question 1. Then, as the data will be</w:t>
      </w:r>
      <w:r>
        <w:t xml:space="preserve"> </w:t>
      </w:r>
      <w:r>
        <w:rPr>
          <w:iCs/>
          <w:i/>
        </w:rPr>
        <w:t xml:space="preserve">ordinal</w:t>
      </w:r>
      <w:r>
        <w:t xml:space="preserve"> </w:t>
      </w:r>
      <w:r>
        <w:t xml:space="preserve">data (i.e. a score of five is greater than a score of three), but not</w:t>
      </w:r>
      <w:r>
        <w:t xml:space="preserve"> </w:t>
      </w:r>
      <w:r>
        <w:rPr>
          <w:iCs/>
          <w:i/>
        </w:rPr>
        <w:t xml:space="preserve">interval</w:t>
      </w:r>
      <w:r>
        <w:t xml:space="preserve"> </w:t>
      </w:r>
      <w:r>
        <w:t xml:space="preserve">data (i.e. it is not possible to determine</w:t>
      </w:r>
      <w:r>
        <w:t xml:space="preserve"> </w:t>
      </w:r>
      <w:r>
        <w:rPr>
          <w:iCs/>
          <w:i/>
        </w:rPr>
        <w:t xml:space="preserve">how much greater</w:t>
      </w:r>
      <w:r>
        <w:t xml:space="preserve"> </w:t>
      </w:r>
      <w:r>
        <w:t xml:space="preserve">a score of five is compared to a score of three)</w:t>
      </w:r>
      <w:r>
        <w:t xml:space="preserve"> </w:t>
      </w:r>
      <w:r>
        <w:t xml:space="preserve">(</w:t>
      </w:r>
      <w:hyperlink w:anchor="ref-bulutLikertScalesFriend2021">
        <w:r>
          <w:rPr>
            <w:rStyle w:val="Hyperlink"/>
          </w:rPr>
          <w:t xml:space="preserve">Bulut 2021</w:t>
        </w:r>
      </w:hyperlink>
      <w:r>
        <w:t xml:space="preserve">;</w:t>
      </w:r>
      <w:r>
        <w:t xml:space="preserve"> </w:t>
      </w:r>
      <w:hyperlink w:anchor="ref-jamiesonLikertScalesHow2004">
        <w:r>
          <w:rPr>
            <w:rStyle w:val="Hyperlink"/>
          </w:rPr>
          <w:t xml:space="preserve">Jamieson 2004</w:t>
        </w:r>
      </w:hyperlink>
      <w:r>
        <w:t xml:space="preserve">)</w:t>
      </w:r>
      <w:r>
        <w:t xml:space="preserve">, it will not be appropriate to use the data to calculate common statistics such as mean or standard deviation (i.e. there is no way to calculate the mean of</w:t>
      </w:r>
      <w:r>
        <w:t xml:space="preserve"> </w:t>
      </w:r>
      <w:r>
        <w:t xml:space="preserve">“</w:t>
      </w:r>
      <w:r>
        <w:t xml:space="preserve">highly likely</w:t>
      </w:r>
      <w:r>
        <w:t xml:space="preserve">”</w:t>
      </w:r>
      <w:r>
        <w:t xml:space="preserve"> </w:t>
      </w:r>
      <w:r>
        <w:t xml:space="preserve">and</w:t>
      </w:r>
      <w:r>
        <w:t xml:space="preserve"> </w:t>
      </w:r>
      <w:r>
        <w:t xml:space="preserve">“</w:t>
      </w:r>
      <w:r>
        <w:t xml:space="preserve">highly unlikely</w:t>
      </w:r>
      <w:r>
        <w:t xml:space="preserve">”</w:t>
      </w:r>
      <w:r>
        <w:t xml:space="preserve">). Consequently, more advanced statistical techniques which rely on the mean and standard deviation (i.e. </w:t>
      </w:r>
      <w:r>
        <w:rPr>
          <w:iCs/>
          <w:i/>
        </w:rPr>
        <w:t xml:space="preserve">t</w:t>
      </w:r>
      <w:r>
        <w:t xml:space="preserve"> </w:t>
      </w:r>
      <w:r>
        <w:t xml:space="preserve">test, analysis of variance), otherwise known as</w:t>
      </w:r>
      <w:r>
        <w:t xml:space="preserve"> </w:t>
      </w:r>
      <w:r>
        <w:rPr>
          <w:iCs/>
          <w:i/>
        </w:rPr>
        <w:t xml:space="preserve">parametric</w:t>
      </w:r>
      <w:r>
        <w:t xml:space="preserve"> </w:t>
      </w:r>
      <w:r>
        <w:t xml:space="preserve">tests, are not appropriate for ordinal data</w:t>
      </w:r>
      <w:r>
        <w:t xml:space="preserve"> </w:t>
      </w:r>
      <w:r>
        <w:t xml:space="preserve">(</w:t>
      </w:r>
      <w:hyperlink w:anchor="ref-fieldDiscoveringStatisticsUsing2018">
        <w:r>
          <w:rPr>
            <w:rStyle w:val="Hyperlink"/>
          </w:rPr>
          <w:t xml:space="preserve">Field 2018</w:t>
        </w:r>
      </w:hyperlink>
      <w:r>
        <w:t xml:space="preserve">)</w:t>
      </w:r>
      <w:r>
        <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
      </w:r>
      <w:r>
        <w:t xml:space="preserve"> </w:t>
      </w:r>
      <w:r>
        <w:rPr>
          <w:iCs/>
          <w:i/>
        </w:rPr>
        <w:t xml:space="preserve">Mann-Whitney-Wilcoxon</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w:t>
      </w:r>
      <w:r>
        <w:t xml:space="preserve">(MWW). Instead of calculating based on the mean scores of different samples, the MWW test requires the researcher to first rank the scores and then calculate the differences between the samples based on the ranked scores. If I am to compare 3 or more groups, the</w:t>
      </w:r>
      <w:r>
        <w:t xml:space="preserve"> </w:t>
      </w:r>
      <w:r>
        <w:rPr>
          <w:iCs/>
          <w:i/>
        </w:rPr>
        <w:t xml:space="preserve">Kruskal-Wallis</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based on the same ranking procedure, would be more appropriate. These two tests will be used to address research question 2.</w:t>
      </w:r>
    </w:p>
    <w:bookmarkEnd w:id="55"/>
    <w:bookmarkStart w:id="56" w:name="qualitative-data"/>
    <w:p>
      <w:pPr>
        <w:pStyle w:val="Heading3"/>
      </w:pPr>
      <w:r>
        <w:t xml:space="preserve">Qualitative data</w:t>
      </w:r>
    </w:p>
    <w:p>
      <w:pPr>
        <w:pStyle w:val="FirstParagraph"/>
      </w:pPr>
      <w:r>
        <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
      </w:r>
      <w:r>
        <w:t xml:space="preserve"> </w:t>
      </w:r>
      <w:r>
        <w:t xml:space="preserve">(</w:t>
      </w:r>
      <w:hyperlink w:anchor="ref-delucaACAIInstrumentSpecificationsND">
        <w:r>
          <w:rPr>
            <w:rStyle w:val="Hyperlink"/>
          </w:rPr>
          <w:t xml:space="preserve">DeLuca ND</w:t>
        </w:r>
      </w:hyperlink>
      <w:r>
        <w:t xml:space="preserve">)</w:t>
      </w:r>
      <w:r>
        <w:t xml:space="preserve">. Below are some open-ended questions which might be added to Part A (demographics) of the ACAI:</w:t>
      </w:r>
    </w:p>
    <w:p>
      <w:pPr>
        <w:numPr>
          <w:ilvl w:val="0"/>
          <w:numId w:val="1037"/>
        </w:numPr>
        <w:pStyle w:val="Compact"/>
      </w:pPr>
      <w:r>
        <w:t xml:space="preserve">In a few sentences or point form notes, please describe the most important factors you consider when planning how you will assess learners in an upcoming course.</w:t>
      </w:r>
    </w:p>
    <w:p>
      <w:pPr>
        <w:numPr>
          <w:ilvl w:val="0"/>
          <w:numId w:val="1037"/>
        </w:numPr>
        <w:pStyle w:val="Compact"/>
      </w:pPr>
      <w:r>
        <w:t xml:space="preserve">In a few sentences or point form notes, please describe what you understand assessment to be.</w:t>
      </w:r>
    </w:p>
    <w:p>
      <w:pPr>
        <w:numPr>
          <w:ilvl w:val="0"/>
          <w:numId w:val="1037"/>
        </w:numPr>
        <w:pStyle w:val="Compact"/>
      </w:pPr>
      <w:r>
        <w:t xml:space="preserve">In what ways do you use digital technology in your assessment practice?</w:t>
      </w:r>
    </w:p>
    <w:p>
      <w:pPr>
        <w:pStyle w:val="FirstParagraph"/>
      </w:pPr>
      <w:r>
        <w:t xml:space="preserve">The current and proposed open-ended questions in the ACAI are intended to provide qualitative data which will be analyzed using a theory-driven thematic coding process</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ref-nameyDataReductionTechniques2008">
        <w:r>
          <w:rPr>
            <w:rStyle w:val="Hyperlink"/>
          </w:rPr>
          <w:t xml:space="preserve">Namey et al. 2008</w:t>
        </w:r>
      </w:hyperlink>
      <w:r>
        <w:t xml:space="preserve">)</w:t>
      </w:r>
      <w:r>
        <w:t xml:space="preserve"> </w:t>
      </w:r>
      <w:r>
        <w:t xml:space="preserve">to explore in greater depth the factors that influence instructors to approach assessment as they do in their courses (research question 3).</w:t>
      </w:r>
    </w:p>
    <w:p>
      <w:pPr>
        <w:pStyle w:val="BodyText"/>
      </w:pPr>
      <w:r>
        <w:t xml:space="preserve">Namey et al.</w:t>
      </w:r>
      <w:r>
        <w:t xml:space="preserve"> </w:t>
      </w:r>
      <w:r>
        <w:t xml:space="preserve">(</w:t>
      </w:r>
      <w:hyperlink w:anchor="ref-nameyDataReductionTechniques2008">
        <w:r>
          <w:rPr>
            <w:rStyle w:val="Hyperlink"/>
          </w:rPr>
          <w:t xml:space="preserve">2008</w:t>
        </w:r>
      </w:hyperlink>
      <w:r>
        <w:t xml:space="preserve">)</w:t>
      </w:r>
      <w:r>
        <w:t xml:space="preserve"> </w:t>
      </w:r>
      <w:r>
        <w:t xml:space="preserve">describe two general approaches to the analysis of qualitative data: content analysis and thematic analysis. In content analysis, the researcher</w:t>
      </w:r>
      <w:r>
        <w:t xml:space="preserve"> </w:t>
      </w:r>
      <w:r>
        <w:t xml:space="preserve">“</w:t>
      </w:r>
      <w:r>
        <w:t xml:space="preserve">evaluates the frequency and saliency of particular words or phrases in a body of original text data in order to identify keywords or repeated ideas</w:t>
      </w:r>
      <w:r>
        <w:t xml:space="preserve">”</w:t>
      </w:r>
      <w:r>
        <w:t xml:space="preserve"> </w:t>
      </w:r>
      <w:r>
        <w:t xml:space="preserve">(p. 138), but with the drawback that there is limited interpretation or consideration of context. In thematic analysis, researchers consider not only specific words and phrases, but also</w:t>
      </w:r>
      <w:r>
        <w:t xml:space="preserve"> </w:t>
      </w:r>
      <w:r>
        <w:t xml:space="preserve">“</w:t>
      </w:r>
      <w:r>
        <w:t xml:space="preserve">implicit and explicit ideas</w:t>
      </w:r>
      <w:r>
        <w:t xml:space="preserve">”</w:t>
      </w:r>
      <w:r>
        <w:t xml:space="preserve"> </w:t>
      </w:r>
      <w:r>
        <w:t xml:space="preserve">(p. 138). They further describe</w:t>
      </w:r>
      <w:r>
        <w:t xml:space="preserve"> </w:t>
      </w:r>
      <w:r>
        <w:t xml:space="preserve">“</w:t>
      </w:r>
      <w:r>
        <w:t xml:space="preserve">data-driven</w:t>
      </w:r>
      <w:r>
        <w:t xml:space="preserve">”</w:t>
      </w:r>
      <w:r>
        <w:t xml:space="preserve"> </w:t>
      </w:r>
      <w:r>
        <w:t xml:space="preserve">(themes emerge from the data) and</w:t>
      </w:r>
      <w:r>
        <w:t xml:space="preserve"> </w:t>
      </w:r>
      <w:r>
        <w:t xml:space="preserve">“</w:t>
      </w:r>
      <w:r>
        <w:t xml:space="preserve">theory-driven</w:t>
      </w:r>
      <w:r>
        <w:t xml:space="preserve">”</w:t>
      </w:r>
      <w:r>
        <w:t xml:space="preserve"> </w:t>
      </w:r>
      <w:r>
        <w:t xml:space="preserve">(the researcher identifies themes</w:t>
      </w:r>
      <w:r>
        <w:t xml:space="preserve"> </w:t>
      </w:r>
      <w:r>
        <w:rPr>
          <w:iCs/>
          <w:i/>
        </w:rPr>
        <w:t xml:space="preserve">a priori</w:t>
      </w:r>
      <w:r>
        <w:t xml:space="preserve">, without consulting the data)(p. 138) approaches</w:t>
      </w:r>
      <w:r>
        <w:t xml:space="preserve"> </w:t>
      </w:r>
      <w:r>
        <w:t xml:space="preserve">(see also:</w:t>
      </w:r>
      <w:r>
        <w:t xml:space="preserve"> </w:t>
      </w:r>
      <w:hyperlink w:anchor="X8daae7541e4c079ce301a7c9a89f7da03d2db6f">
        <w:r>
          <w:rPr>
            <w:rStyle w:val="Hyperlink"/>
          </w:rPr>
          <w:t xml:space="preserve">Tashakkori, Johnson, and Teddlie 2020</w:t>
        </w:r>
      </w:hyperlink>
      <w:r>
        <w:t xml:space="preserve">)</w:t>
      </w:r>
      <w:r>
        <w:t xml:space="preserve">. In phase 1b of the proposed project, I will take a theory-driven approach to a thematic analysis where data will be coded in alignment with the four dimensions of the</w:t>
      </w:r>
      <w:r>
        <w:t xml:space="preserve"> </w:t>
      </w:r>
      <w:r>
        <w:rPr>
          <w:iCs/>
          <w:i/>
        </w:rPr>
        <w:t xml:space="preserve">Approaches to Classroom Assessment</w:t>
      </w:r>
      <w:r>
        <w:t xml:space="preserve"> </w:t>
      </w:r>
      <w:r>
        <w:t xml:space="preserve">framework</w:t>
      </w:r>
      <w:r>
        <w:t xml:space="preserve"> </w:t>
      </w:r>
      <w:r>
        <w:t xml:space="preserve">(</w:t>
      </w:r>
      <w:hyperlink w:anchor="X773f46dba91e2266ea33fc285a547bc86776461">
        <w:r>
          <w:rPr>
            <w:rStyle w:val="Hyperlink"/>
          </w:rPr>
          <w:t xml:space="preserve">DeLuca et al. 2016</w:t>
        </w:r>
      </w:hyperlink>
      <w:r>
        <w:t xml:space="preserve">)</w:t>
      </w:r>
      <w:r>
        <w:t xml:space="preserve"> </w:t>
      </w:r>
      <w:r>
        <w:t xml:space="preserve">(the dotted line connecting</w:t>
      </w:r>
      <w:r>
        <w:t xml:space="preserve"> </w:t>
      </w:r>
      <w:r>
        <w:t xml:space="preserve">“</w:t>
      </w:r>
      <w:r>
        <w:t xml:space="preserve">Phase 1a Inferences</w:t>
      </w:r>
      <w:r>
        <w:t xml:space="preserve">”</w:t>
      </w:r>
      <w:r>
        <w:t xml:space="preserve"> </w:t>
      </w:r>
      <w:r>
        <w:t xml:space="preserve">to</w:t>
      </w:r>
      <w:r>
        <w:t xml:space="preserve"> </w:t>
      </w:r>
      <w:r>
        <w:t xml:space="preserve">“</w:t>
      </w:r>
      <w:r>
        <w:t xml:space="preserve">Phase 1b Analysis</w:t>
      </w:r>
      <w:r>
        <w:t xml:space="preserve">”</w:t>
      </w:r>
      <w:r>
        <w:t xml:space="preserve"> </w:t>
      </w:r>
      <w:r>
        <w:t xml:space="preserve">in figure 1). In addition, I will be particularly mindful that emergent themes may become clear in the data and I will be especially interested in those not represented in, or which are in contradiction to, the quantitative analysis</w:t>
      </w:r>
      <w:r>
        <w:t xml:space="preserve"> </w:t>
      </w:r>
      <w:r>
        <w:t xml:space="preserve">(</w:t>
      </w:r>
      <w:hyperlink w:anchor="X8daae7541e4c079ce301a7c9a89f7da03d2db6f">
        <w:r>
          <w:rPr>
            <w:rStyle w:val="Hyperlink"/>
          </w:rPr>
          <w:t xml:space="preserve">Tashakkori, Johnson, and Teddlie 2020</w:t>
        </w:r>
      </w:hyperlink>
      <w:r>
        <w:t xml:space="preserve">)</w:t>
      </w:r>
      <w:r>
        <w:t xml:space="preserve">.</w:t>
      </w:r>
    </w:p>
    <w:p>
      <w:pPr>
        <w:pStyle w:val="BodyText"/>
      </w:pPr>
      <w:r>
        <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
      </w:r>
      <w:r>
        <w:t xml:space="preserve"> </w:t>
      </w:r>
      <w:r>
        <w:t xml:space="preserve">“</w:t>
      </w:r>
      <w:r>
        <w:t xml:space="preserve">Phase 1a Analysis</w:t>
      </w:r>
      <w:r>
        <w:t xml:space="preserve">”</w:t>
      </w:r>
      <w:r>
        <w:t xml:space="preserve">,</w:t>
      </w:r>
      <w:r>
        <w:t xml:space="preserve"> </w:t>
      </w:r>
      <w:r>
        <w:t xml:space="preserve">“</w:t>
      </w:r>
      <w:r>
        <w:t xml:space="preserve">Phase 1b Analysis</w:t>
      </w:r>
      <w:r>
        <w:t xml:space="preserve">”</w:t>
      </w:r>
      <w:r>
        <w:t xml:space="preserve">, and</w:t>
      </w:r>
      <w:r>
        <w:t xml:space="preserve"> </w:t>
      </w:r>
      <w:r>
        <w:t xml:space="preserve">“</w:t>
      </w:r>
      <w:r>
        <w:t xml:space="preserve">Phase 1 Meta-inferences</w:t>
      </w:r>
      <w:r>
        <w:t xml:space="preserve">”</w:t>
      </w:r>
      <w:r>
        <w:t xml:space="preserve"> </w:t>
      </w:r>
      <w:r>
        <w:t xml:space="preserve">to</w:t>
      </w:r>
      <w:r>
        <w:t xml:space="preserve"> </w:t>
      </w:r>
      <w:r>
        <w:t xml:space="preserve">“</w:t>
      </w:r>
      <w:r>
        <w:t xml:space="preserve">Semi-structured Interviews</w:t>
      </w:r>
      <w:r>
        <w:t xml:space="preserve">”</w:t>
      </w:r>
      <w:r>
        <w:t xml:space="preserve">).</w:t>
      </w:r>
    </w:p>
    <w:p>
      <w:pPr>
        <w:pStyle w:val="BodyText"/>
      </w:pPr>
      <w:r>
        <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
      </w:r>
    </w:p>
    <w:p>
      <w:pPr>
        <w:pStyle w:val="BodyText"/>
      </w:pPr>
      <w:r>
        <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
      </w:r>
    </w:p>
    <w:bookmarkEnd w:id="56"/>
    <w:bookmarkEnd w:id="57"/>
    <w:bookmarkStart w:id="58" w:name="research-procedures"/>
    <w:p>
      <w:pPr>
        <w:pStyle w:val="Heading2"/>
      </w:pPr>
      <w:r>
        <w:t xml:space="preserve">Research Procedures</w:t>
      </w:r>
    </w:p>
    <w:p>
      <w:pPr>
        <w:pStyle w:val="FirstParagraph"/>
      </w:pPr>
      <w:r>
        <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
      </w:r>
    </w:p>
    <w:p>
      <w:pPr>
        <w:pStyle w:val="BodyText"/>
      </w:pPr>
      <w:r>
        <w:rPr>
          <w:bCs/>
          <w:b/>
        </w:rPr>
        <w:t xml:space="preserve">Table 5</w:t>
      </w:r>
    </w:p>
    <w:p>
      <w:pPr>
        <w:pStyle w:val="BodyText"/>
      </w:pPr>
      <w:r>
        <w:rPr>
          <w:iCs/>
          <w:i/>
          <w:bCs/>
          <w:b/>
        </w:rPr>
        <w:t xml:space="preserve">Projected Timeline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Projected Date</w:t>
            </w:r>
          </w:p>
        </w:tc>
        <w:tc>
          <w:tcPr/>
          <w:p>
            <w:pPr>
              <w:pStyle w:val="Compact"/>
              <w:jc w:val="left"/>
            </w:pPr>
            <w:r>
              <w:t xml:space="preserve">Project Stage</w:t>
            </w:r>
          </w:p>
        </w:tc>
      </w:tr>
      <w:tr>
        <w:tc>
          <w:tcPr/>
          <w:p>
            <w:pPr>
              <w:pStyle w:val="Compact"/>
              <w:jc w:val="left"/>
            </w:pPr>
            <w:r>
              <w:t xml:space="preserve">December 2021</w:t>
            </w:r>
          </w:p>
        </w:tc>
        <w:tc>
          <w:tcPr/>
          <w:p>
            <w:pPr>
              <w:pStyle w:val="Compact"/>
              <w:jc w:val="left"/>
            </w:pPr>
            <w:r>
              <w:t xml:space="preserve">UVic HREB Approval</w:t>
            </w:r>
          </w:p>
        </w:tc>
      </w:tr>
      <w:tr>
        <w:tc>
          <w:tcPr/>
          <w:p>
            <w:pPr>
              <w:pStyle w:val="Compact"/>
              <w:jc w:val="left"/>
            </w:pPr>
            <w:r>
              <w:t xml:space="preserve">January 2022</w:t>
            </w:r>
          </w:p>
        </w:tc>
        <w:tc>
          <w:tcPr/>
          <w:p>
            <w:pPr>
              <w:pStyle w:val="Compact"/>
              <w:jc w:val="left"/>
            </w:pPr>
            <w:r>
              <w:t xml:space="preserve">Pilot Phase</w:t>
            </w:r>
          </w:p>
        </w:tc>
      </w:tr>
      <w:tr>
        <w:tc>
          <w:tcPr/>
          <w:p>
            <w:pPr>
              <w:pStyle w:val="Compact"/>
              <w:jc w:val="left"/>
            </w:pPr>
            <w:r>
              <w:t xml:space="preserve">February 2022</w:t>
            </w:r>
          </w:p>
        </w:tc>
        <w:tc>
          <w:tcPr/>
          <w:p>
            <w:pPr>
              <w:pStyle w:val="Compact"/>
              <w:jc w:val="left"/>
            </w:pPr>
            <w:r>
              <w:t xml:space="preserve">Phase 1 Data Collection</w:t>
            </w:r>
          </w:p>
        </w:tc>
      </w:tr>
      <w:tr>
        <w:tc>
          <w:tcPr/>
          <w:p>
            <w:pPr>
              <w:pStyle w:val="Compact"/>
              <w:jc w:val="left"/>
            </w:pPr>
            <w:r>
              <w:t xml:space="preserve">July 2022</w:t>
            </w:r>
          </w:p>
        </w:tc>
        <w:tc>
          <w:tcPr/>
          <w:p>
            <w:pPr>
              <w:pStyle w:val="Compact"/>
              <w:jc w:val="left"/>
            </w:pPr>
            <w:r>
              <w:t xml:space="preserve">Phase 1a and 1b Data Analysis</w:t>
            </w:r>
          </w:p>
        </w:tc>
      </w:tr>
      <w:tr>
        <w:tc>
          <w:tcPr/>
          <w:p>
            <w:pPr>
              <w:pStyle w:val="Compact"/>
              <w:jc w:val="left"/>
            </w:pPr>
            <w:r>
              <w:t xml:space="preserve">September 2022</w:t>
            </w:r>
          </w:p>
        </w:tc>
        <w:tc>
          <w:tcPr/>
          <w:p>
            <w:pPr>
              <w:pStyle w:val="Compact"/>
              <w:jc w:val="left"/>
            </w:pPr>
            <w:r>
              <w:t xml:space="preserve">Phase 2 Data Collection</w:t>
            </w:r>
          </w:p>
        </w:tc>
      </w:tr>
      <w:tr>
        <w:tc>
          <w:tcPr/>
          <w:p>
            <w:pPr>
              <w:pStyle w:val="Compact"/>
              <w:jc w:val="left"/>
            </w:pPr>
            <w:r>
              <w:t xml:space="preserve">November 2022</w:t>
            </w:r>
          </w:p>
        </w:tc>
        <w:tc>
          <w:tcPr/>
          <w:p>
            <w:pPr>
              <w:pStyle w:val="Compact"/>
              <w:jc w:val="left"/>
            </w:pPr>
            <w:r>
              <w:t xml:space="preserve">Phase 2 Data Analysis</w:t>
            </w:r>
          </w:p>
        </w:tc>
      </w:tr>
      <w:tr>
        <w:tc>
          <w:tcPr/>
          <w:p>
            <w:pPr>
              <w:pStyle w:val="Compact"/>
              <w:jc w:val="left"/>
            </w:pPr>
            <w:r>
              <w:t xml:space="preserve">January 2023</w:t>
            </w:r>
          </w:p>
        </w:tc>
        <w:tc>
          <w:tcPr/>
          <w:p>
            <w:pPr>
              <w:pStyle w:val="Compact"/>
              <w:jc w:val="left"/>
            </w:pPr>
            <w:r>
              <w:t xml:space="preserve">Integration and Write-Up</w:t>
            </w:r>
          </w:p>
        </w:tc>
      </w:tr>
    </w:tbl>
    <w:bookmarkEnd w:id="58"/>
    <w:bookmarkStart w:id="59" w:name="chapter-summary"/>
    <w:p>
      <w:pPr>
        <w:pStyle w:val="Heading2"/>
      </w:pPr>
      <w:r>
        <w:t xml:space="preserve">Chapter Summary</w:t>
      </w:r>
    </w:p>
    <w:p>
      <w:pPr>
        <w:pStyle w:val="FirstParagraph"/>
      </w:pPr>
      <w:r>
        <w:t xml:space="preserve">In this chapter, I have discussed the three major approaches to research,</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
      </w:r>
      <w:r>
        <w:t xml:space="preserve"> </w:t>
      </w:r>
      <w:r>
        <w:rPr>
          <w:iCs/>
          <w:i/>
        </w:rPr>
        <w:t xml:space="preserve">and</w:t>
      </w:r>
      <w:r>
        <w:t xml:space="preserve"> </w:t>
      </w:r>
      <w:r>
        <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
      </w:r>
    </w:p>
    <w:p>
      <w:pPr>
        <w:pStyle w:val="BodyText"/>
      </w:pPr>
      <w:r>
        <w:t xml:space="preserve">[^1] If funding for translation services is secured, I would extend the sample population to include French-speaking instructors and learners.</w:t>
      </w:r>
    </w:p>
    <w:bookmarkEnd w:id="59"/>
    <w:bookmarkEnd w:id="60"/>
    <w:bookmarkStart w:id="61" w:name="references"/>
    <w:p>
      <w:pPr>
        <w:pStyle w:val="Heading1"/>
      </w:pPr>
      <w:r>
        <w:t xml:space="preserve">References</w:t>
      </w:r>
    </w:p>
    <w:bookmarkEnd w:id="61"/>
    <w:bookmarkStart w:id="77" w:name="assessment-in-digital-learning"/>
    <w:p>
      <w:pPr>
        <w:pStyle w:val="Heading1"/>
      </w:pPr>
      <w:r>
        <w:t xml:space="preserve">Assessment in Digital Learning</w:t>
      </w:r>
    </w:p>
    <w:p>
      <w:pPr>
        <w:numPr>
          <w:ilvl w:val="0"/>
          <w:numId w:val="1038"/>
        </w:numPr>
        <w:pStyle w:val="Compact"/>
      </w:pPr>
      <w:r>
        <w:t xml:space="preserve">Emergent themes based on first two papers, which</w:t>
      </w:r>
      <w:r>
        <w:t xml:space="preserve"> </w:t>
      </w:r>
      <w:r>
        <w:rPr>
          <w:iCs/>
          <w:i/>
          <w:bCs/>
          <w:b/>
        </w:rPr>
        <w:t xml:space="preserve">may</w:t>
      </w:r>
      <w:r>
        <w:t xml:space="preserve"> </w:t>
      </w:r>
      <w:r>
        <w:t xml:space="preserve">include:</w:t>
      </w:r>
    </w:p>
    <w:p>
      <w:pPr>
        <w:numPr>
          <w:ilvl w:val="1"/>
          <w:numId w:val="1039"/>
        </w:numPr>
        <w:pStyle w:val="Compact"/>
      </w:pPr>
      <w:r>
        <w:t xml:space="preserve">technology for adaptive testing, automated item generation, large-scale assessments (NCLEX, PISA, FSA, etc)</w:t>
      </w:r>
    </w:p>
    <w:p>
      <w:pPr>
        <w:numPr>
          <w:ilvl w:val="1"/>
          <w:numId w:val="1039"/>
        </w:numPr>
        <w:pStyle w:val="Compact"/>
      </w:pPr>
      <w:r>
        <w:t xml:space="preserve">technology for surveillance or academic integrity (Turnitin, Proctorio, etc)</w:t>
      </w:r>
    </w:p>
    <w:p>
      <w:pPr>
        <w:numPr>
          <w:ilvl w:val="1"/>
          <w:numId w:val="1039"/>
        </w:numPr>
        <w:pStyle w:val="Compact"/>
      </w:pPr>
      <w:r>
        <w:t xml:space="preserve">technology to enable new forms of learning- and learner-centred assessments (portfolios, collaboration, version control, learner contributors)</w:t>
      </w:r>
    </w:p>
    <w:p>
      <w:pPr>
        <w:numPr>
          <w:ilvl w:val="1"/>
          <w:numId w:val="1039"/>
        </w:numPr>
        <w:pStyle w:val="Compact"/>
      </w:pPr>
      <w:r>
        <w:t xml:space="preserve">ethical applications of technology in assessment</w:t>
      </w:r>
    </w:p>
    <w:bookmarkStart w:id="62" w:name="introduction-1"/>
    <w:p>
      <w:pPr>
        <w:pStyle w:val="Heading3"/>
      </w:pPr>
      <w:r>
        <w:t xml:space="preserve">Introduction</w:t>
      </w:r>
    </w:p>
    <w:bookmarkEnd w:id="62"/>
    <w:bookmarkStart w:id="63" w:name="literature"/>
    <w:p>
      <w:pPr>
        <w:pStyle w:val="Heading3"/>
      </w:pPr>
      <w:r>
        <w:t xml:space="preserve">Literature</w:t>
      </w:r>
    </w:p>
    <w:bookmarkEnd w:id="63"/>
    <w:bookmarkStart w:id="64" w:name="theoretical-conceptual-framework"/>
    <w:p>
      <w:pPr>
        <w:pStyle w:val="Heading3"/>
      </w:pPr>
      <w:r>
        <w:t xml:space="preserve">Theoretical / Conceptual Framework</w:t>
      </w:r>
    </w:p>
    <w:bookmarkEnd w:id="64"/>
    <w:bookmarkStart w:id="65" w:name="research-method"/>
    <w:p>
      <w:pPr>
        <w:pStyle w:val="Heading3"/>
      </w:pPr>
      <w:r>
        <w:t xml:space="preserve">Research Method</w:t>
      </w:r>
    </w:p>
    <w:bookmarkEnd w:id="65"/>
    <w:bookmarkStart w:id="66" w:name="analysis"/>
    <w:p>
      <w:pPr>
        <w:pStyle w:val="Heading3"/>
      </w:pPr>
      <w:r>
        <w:t xml:space="preserve">Analysis</w:t>
      </w:r>
    </w:p>
    <w:bookmarkEnd w:id="66"/>
    <w:bookmarkStart w:id="67" w:name="findings-and-limitations"/>
    <w:p>
      <w:pPr>
        <w:pStyle w:val="Heading3"/>
      </w:pPr>
      <w:r>
        <w:t xml:space="preserve">Findings and Limitations</w:t>
      </w:r>
    </w:p>
    <w:bookmarkEnd w:id="67"/>
    <w:bookmarkStart w:id="68" w:name="discussion"/>
    <w:p>
      <w:pPr>
        <w:pStyle w:val="Heading3"/>
      </w:pPr>
      <w:r>
        <w:t xml:space="preserve">Discussion</w:t>
      </w:r>
    </w:p>
    <w:bookmarkEnd w:id="68"/>
    <w:bookmarkStart w:id="69" w:name="impact-on-theory-andor-practice"/>
    <w:p>
      <w:pPr>
        <w:pStyle w:val="Heading3"/>
      </w:pPr>
      <w:r>
        <w:t xml:space="preserve">Impact on Theory and/or Practice</w:t>
      </w:r>
    </w:p>
    <w:bookmarkEnd w:id="69"/>
    <w:bookmarkStart w:id="70" w:name="recommendations-for-future-research"/>
    <w:p>
      <w:pPr>
        <w:pStyle w:val="Heading3"/>
      </w:pPr>
      <w:r>
        <w:t xml:space="preserve">Recommendations for Future Research</w:t>
      </w:r>
    </w:p>
    <w:bookmarkEnd w:id="70"/>
    <w:bookmarkStart w:id="71" w:name="conclusion"/>
    <w:p>
      <w:pPr>
        <w:pStyle w:val="Heading3"/>
      </w:pPr>
      <w:r>
        <w:t xml:space="preserve">Conclusion</w:t>
      </w:r>
    </w:p>
    <w:bookmarkEnd w:id="71"/>
    <w:bookmarkStart w:id="72" w:name="data-availability"/>
    <w:p>
      <w:pPr>
        <w:pStyle w:val="Heading3"/>
      </w:pPr>
      <w:r>
        <w:t xml:space="preserve">Data Availability</w:t>
      </w:r>
    </w:p>
    <w:bookmarkEnd w:id="72"/>
    <w:bookmarkStart w:id="73" w:name="references-1"/>
    <w:p>
      <w:pPr>
        <w:pStyle w:val="Heading3"/>
      </w:pPr>
      <w:r>
        <w:t xml:space="preserve">References</w:t>
      </w:r>
    </w:p>
    <w:bookmarkEnd w:id="73"/>
    <w:bookmarkStart w:id="74" w:name="conclusions-and-recommendations"/>
    <w:p>
      <w:pPr>
        <w:pStyle w:val="Heading2"/>
      </w:pPr>
      <w:r>
        <w:t xml:space="preserve">Conclusions and Recommendations</w:t>
      </w:r>
    </w:p>
    <w:bookmarkEnd w:id="74"/>
    <w:bookmarkStart w:id="75" w:name="references-2"/>
    <w:p>
      <w:pPr>
        <w:pStyle w:val="Heading2"/>
      </w:pPr>
      <w:r>
        <w:t xml:space="preserve">References</w:t>
      </w:r>
    </w:p>
    <w:bookmarkEnd w:id="75"/>
    <w:bookmarkStart w:id="76" w:name="appendices"/>
    <w:p>
      <w:pPr>
        <w:pStyle w:val="Heading2"/>
      </w:pPr>
      <w:r>
        <w:t xml:space="preserve">Appendices</w:t>
      </w:r>
    </w:p>
    <w:bookmarkEnd w:id="76"/>
    <w:bookmarkEnd w:id="77"/>
    <w:bookmarkStart w:id="78" w:name="discussion-1"/>
    <w:p>
      <w:pPr>
        <w:pStyle w:val="Heading1"/>
      </w:pPr>
      <w:r>
        <w:t xml:space="preserve">Discussion</w:t>
      </w:r>
    </w:p>
    <w:p>
      <w:pPr>
        <w:pStyle w:val="FirstParagraph"/>
      </w:pPr>
      <w:r>
        <w:t xml:space="preserve">We have finished a nice book.</w:t>
      </w:r>
    </w:p>
    <w:bookmarkEnd w:id="78"/>
    <w:bookmarkStart w:id="304" w:name="conclusion-1"/>
    <w:p>
      <w:pPr>
        <w:pStyle w:val="Heading1"/>
      </w:pPr>
      <w:r>
        <w:t xml:space="preserve">Conclusion</w:t>
      </w:r>
    </w:p>
    <w:p>
      <w:pPr>
        <w:pStyle w:val="FirstParagraph"/>
      </w:pPr>
      <w:r>
        <w:t xml:space="preserve">This is from OSF</w:t>
      </w:r>
    </w:p>
    <w:bookmarkStart w:id="303" w:name="refs"/>
    <w:bookmarkStart w:id="80"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79">
        <w:r>
          <w:rPr>
            <w:rStyle w:val="Hyperlink"/>
          </w:rPr>
          <w:t xml:space="preserve">https://eric.ed.gov/?id=ED323186</w:t>
        </w:r>
      </w:hyperlink>
      <w:r>
        <w:t xml:space="preserve">.</w:t>
      </w:r>
    </w:p>
    <w:bookmarkEnd w:id="80"/>
    <w:bookmarkStart w:id="82" w:name="Xbba0a94855ee53d1a354f9bd150ed2bbefe54df"/>
    <w:p>
      <w:pPr>
        <w:pStyle w:val="Bibliography"/>
      </w:pPr>
      <w:r>
        <w:t xml:space="preserve">Alkharusi, Hussain, Said Aldhafri, Hilal Alnabhani, and Muna Alkalbani. 2012.</w:t>
      </w:r>
      <w:r>
        <w:t xml:space="preserve"> </w:t>
      </w:r>
      <w:r>
        <w:t xml:space="preserve">“Educational</w:t>
      </w:r>
      <w:r>
        <w:t xml:space="preserve"> </w:t>
      </w:r>
      <w:r>
        <w:t xml:space="preserve">Assessment Attitudes</w:t>
      </w:r>
      <w:r>
        <w:t xml:space="preserve">,</w:t>
      </w:r>
      <w:r>
        <w:t xml:space="preserve"> </w:t>
      </w:r>
      <w:r>
        <w:t xml:space="preserve">Competence</w:t>
      </w:r>
      <w:r>
        <w:t xml:space="preserve">,</w:t>
      </w:r>
      <w:r>
        <w:t xml:space="preserve"> </w:t>
      </w:r>
      <w:r>
        <w:t xml:space="preserve">Knowledge</w:t>
      </w:r>
      <w:r>
        <w:t xml:space="preserve">, and</w:t>
      </w:r>
      <w:r>
        <w:t xml:space="preserve"> </w:t>
      </w:r>
      <w:r>
        <w:t xml:space="preserve">Practices</w:t>
      </w:r>
      <w:r>
        <w:t xml:space="preserve">:</w:t>
      </w:r>
      <w:r>
        <w:t xml:space="preserve"> </w:t>
      </w:r>
      <w:r>
        <w:t xml:space="preserve">An Exploratory Study</w:t>
      </w:r>
      <w:r>
        <w:t xml:space="preserve"> </w:t>
      </w:r>
      <w:r>
        <w:t xml:space="preserve">of</w:t>
      </w:r>
      <w:r>
        <w:t xml:space="preserve"> </w:t>
      </w:r>
      <w:r>
        <w:t xml:space="preserve">Muscat Teachers</w:t>
      </w:r>
      <w:r>
        <w:t xml:space="preserve"> </w:t>
      </w:r>
      <w:r>
        <w:t xml:space="preserve">in the</w:t>
      </w:r>
      <w:r>
        <w:t xml:space="preserve"> </w:t>
      </w:r>
      <w:r>
        <w:t xml:space="preserve">Sultanate</w:t>
      </w:r>
      <w:r>
        <w:t xml:space="preserve"> </w:t>
      </w:r>
      <w:r>
        <w:t xml:space="preserve">of</w:t>
      </w:r>
      <w:r>
        <w:t xml:space="preserve"> </w:t>
      </w:r>
      <w:r>
        <w:t xml:space="preserve">Oman</w:t>
      </w:r>
      <w:r>
        <w:t xml:space="preserve">.”</w:t>
      </w:r>
      <w:r>
        <w:t xml:space="preserve"> </w:t>
      </w:r>
      <w:r>
        <w:rPr>
          <w:iCs/>
          <w:i/>
        </w:rPr>
        <w:t xml:space="preserve">Journal of Education and Learning</w:t>
      </w:r>
      <w:r>
        <w:t xml:space="preserve"> </w:t>
      </w:r>
      <w:r>
        <w:t xml:space="preserve">1 (2): p217.</w:t>
      </w:r>
      <w:r>
        <w:t xml:space="preserve"> </w:t>
      </w:r>
      <w:hyperlink r:id="rId81">
        <w:r>
          <w:rPr>
            <w:rStyle w:val="Hyperlink"/>
          </w:rPr>
          <w:t xml:space="preserve">https://doi.org/r7f</w:t>
        </w:r>
      </w:hyperlink>
      <w:r>
        <w:t xml:space="preserve">.</w:t>
      </w:r>
    </w:p>
    <w:bookmarkEnd w:id="82"/>
    <w:bookmarkStart w:id="84" w:name="ref-bazeleyIntegratingAnalysesMixed2018"/>
    <w:p>
      <w:pPr>
        <w:pStyle w:val="Bibliography"/>
      </w:pPr>
      <w:r>
        <w:t xml:space="preserve">Bazeley, Patricia. 2018.</w:t>
      </w:r>
      <w:r>
        <w:t xml:space="preserve"> </w:t>
      </w:r>
      <w:r>
        <w:rPr>
          <w:iCs/>
          <w:i/>
        </w:rPr>
        <w:t xml:space="preserve">Integrating</w:t>
      </w:r>
      <w:r>
        <w:rPr>
          <w:iCs/>
          <w:i/>
        </w:rPr>
        <w:t xml:space="preserve"> </w:t>
      </w:r>
      <w:r>
        <w:rPr>
          <w:iCs/>
          <w:i/>
        </w:rPr>
        <w:t xml:space="preserve">Analyses</w:t>
      </w:r>
      <w:r>
        <w:rPr>
          <w:iCs/>
          <w:i/>
        </w:rPr>
        <w:t xml:space="preserve"> </w:t>
      </w:r>
      <w:r>
        <w:rPr>
          <w:iCs/>
          <w:i/>
        </w:rPr>
        <w:t xml:space="preserve">in</w:t>
      </w:r>
      <w:r>
        <w:rPr>
          <w:iCs/>
          <w:i/>
        </w:rPr>
        <w:t xml:space="preserve"> </w:t>
      </w:r>
      <w:r>
        <w:rPr>
          <w:iCs/>
          <w:i/>
        </w:rPr>
        <w:t xml:space="preserve">Mixed Methods Research</w:t>
      </w:r>
      <w:r>
        <w:t xml:space="preserve">.</w:t>
      </w:r>
      <w:r>
        <w:t xml:space="preserve"> </w:t>
      </w:r>
      <w:r>
        <w:t xml:space="preserve">1 Oliver’s Yard, 55 City Road London EC1Y 1SP</w:t>
      </w:r>
      <w:r>
        <w:t xml:space="preserve">:</w:t>
      </w:r>
      <w:r>
        <w:t xml:space="preserve"> </w:t>
      </w:r>
      <w:r>
        <w:t xml:space="preserve">SAGE Publications Ltd</w:t>
      </w:r>
      <w:r>
        <w:t xml:space="preserve">.</w:t>
      </w:r>
      <w:r>
        <w:t xml:space="preserve"> </w:t>
      </w:r>
      <w:hyperlink r:id="rId83">
        <w:r>
          <w:rPr>
            <w:rStyle w:val="Hyperlink"/>
          </w:rPr>
          <w:t xml:space="preserve">https://doi.org/10.4135/9781526417190</w:t>
        </w:r>
      </w:hyperlink>
      <w:r>
        <w:t xml:space="preserve">.</w:t>
      </w:r>
    </w:p>
    <w:bookmarkEnd w:id="84"/>
    <w:bookmarkStart w:id="86" w:name="ref-bearmanHowUniversityTeachers2017"/>
    <w:p>
      <w:pPr>
        <w:pStyle w:val="Bibliography"/>
      </w:pPr>
      <w:r>
        <w:t xml:space="preserve">Bearman, Margaret, Phillip Dawson, Sue Bennett, Matt Hall, Elizabeth Molloy, David Boud, and Gordon Joughin. 2017.</w:t>
      </w:r>
      <w:r>
        <w:t xml:space="preserve"> </w:t>
      </w:r>
      <w:r>
        <w:t xml:space="preserve">“How University Teachers Design Assessments: A Cross-Disciplinary Study.”</w:t>
      </w:r>
      <w:r>
        <w:t xml:space="preserve"> </w:t>
      </w:r>
      <w:r>
        <w:rPr>
          <w:iCs/>
          <w:i/>
        </w:rPr>
        <w:t xml:space="preserve">Higher Education</w:t>
      </w:r>
      <w:r>
        <w:t xml:space="preserve"> </w:t>
      </w:r>
      <w:r>
        <w:t xml:space="preserve">74 (1): 49–64.</w:t>
      </w:r>
      <w:r>
        <w:t xml:space="preserve"> </w:t>
      </w:r>
      <w:hyperlink r:id="rId85">
        <w:r>
          <w:rPr>
            <w:rStyle w:val="Hyperlink"/>
          </w:rPr>
          <w:t xml:space="preserve">https://doi.org/gbhr94</w:t>
        </w:r>
      </w:hyperlink>
      <w:r>
        <w:t xml:space="preserve">.</w:t>
      </w:r>
    </w:p>
    <w:bookmarkEnd w:id="86"/>
    <w:bookmarkStart w:id="88"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87">
        <w:r>
          <w:rPr>
            <w:rStyle w:val="Hyperlink"/>
          </w:rPr>
          <w:t xml:space="preserve">https://doi.org/gjsn3g</w:t>
        </w:r>
      </w:hyperlink>
      <w:r>
        <w:t xml:space="preserve">.</w:t>
      </w:r>
    </w:p>
    <w:bookmarkEnd w:id="88"/>
    <w:bookmarkStart w:id="90" w:name="X9e5ea49dd0d5d230443ad609e316cd93e10a84e"/>
    <w:p>
      <w:pPr>
        <w:pStyle w:val="Bibliography"/>
      </w:pPr>
      <w:r>
        <w:t xml:space="preserve">Benediktsson, Artëm Ingmar, and Hanna Ragnarsdóttir. 2020.</w:t>
      </w:r>
      <w:r>
        <w:t xml:space="preserve"> </w:t>
      </w:r>
      <w:r>
        <w:t xml:space="preserve">“Immigrant Students’ Experiences of Assessment Methods Used in</w:t>
      </w:r>
      <w:r>
        <w:t xml:space="preserve"> </w:t>
      </w:r>
      <w:r>
        <w:t xml:space="preserve">Icelandic</w:t>
      </w:r>
      <w:r>
        <w:t xml:space="preserve"> </w:t>
      </w:r>
      <w:r>
        <w:t xml:space="preserve">Universities.”</w:t>
      </w:r>
      <w:r>
        <w:t xml:space="preserve"> </w:t>
      </w:r>
      <w:r>
        <w:rPr>
          <w:iCs/>
          <w:i/>
        </w:rPr>
        <w:t xml:space="preserve">Multicultural Education Review</w:t>
      </w:r>
      <w:r>
        <w:t xml:space="preserve"> </w:t>
      </w:r>
      <w:r>
        <w:t xml:space="preserve">12 (2): 98–116.</w:t>
      </w:r>
      <w:r>
        <w:t xml:space="preserve"> </w:t>
      </w:r>
      <w:hyperlink r:id="rId89">
        <w:r>
          <w:rPr>
            <w:rStyle w:val="Hyperlink"/>
          </w:rPr>
          <w:t xml:space="preserve">https://doi.org/gmcv29</w:t>
        </w:r>
      </w:hyperlink>
      <w:r>
        <w:t xml:space="preserve">.</w:t>
      </w:r>
    </w:p>
    <w:bookmarkEnd w:id="90"/>
    <w:bookmarkStart w:id="92"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91">
        <w:r>
          <w:rPr>
            <w:rStyle w:val="Hyperlink"/>
          </w:rPr>
          <w:t xml:space="preserve">https://doi.org/djgzjr</w:t>
        </w:r>
      </w:hyperlink>
      <w:r>
        <w:t xml:space="preserve">.</w:t>
      </w:r>
    </w:p>
    <w:bookmarkEnd w:id="92"/>
    <w:bookmarkStart w:id="94"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93">
        <w:r>
          <w:rPr>
            <w:rStyle w:val="Hyperlink"/>
          </w:rPr>
          <w:t xml:space="preserve">https://doi.org/ftmsvc</w:t>
        </w:r>
      </w:hyperlink>
      <w:r>
        <w:t xml:space="preserve">.</w:t>
      </w:r>
    </w:p>
    <w:bookmarkEnd w:id="94"/>
    <w:bookmarkStart w:id="96"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95">
        <w:r>
          <w:rPr>
            <w:rStyle w:val="Hyperlink"/>
          </w:rPr>
          <w:t xml:space="preserve">https://doi.org/ccdmd9</w:t>
        </w:r>
      </w:hyperlink>
      <w:r>
        <w:t xml:space="preserve">.</w:t>
      </w:r>
    </w:p>
    <w:bookmarkEnd w:id="96"/>
    <w:bookmarkStart w:id="98"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97">
        <w:r>
          <w:rPr>
            <w:rStyle w:val="Hyperlink"/>
          </w:rPr>
          <w:t xml:space="preserve">https://doi.org/chx3gp</w:t>
        </w:r>
      </w:hyperlink>
      <w:r>
        <w:t xml:space="preserve">.</w:t>
      </w:r>
    </w:p>
    <w:bookmarkEnd w:id="98"/>
    <w:bookmarkStart w:id="100"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99">
        <w:r>
          <w:rPr>
            <w:rStyle w:val="Hyperlink"/>
          </w:rPr>
          <w:t xml:space="preserve">https://doi.org/drgphk</w:t>
        </w:r>
      </w:hyperlink>
      <w:r>
        <w:t xml:space="preserve">.</w:t>
      </w:r>
    </w:p>
    <w:bookmarkEnd w:id="100"/>
    <w:bookmarkStart w:id="101"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101"/>
    <w:bookmarkStart w:id="102"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102"/>
    <w:bookmarkStart w:id="103"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103"/>
    <w:bookmarkStart w:id="105"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104">
        <w:r>
          <w:rPr>
            <w:rStyle w:val="Hyperlink"/>
          </w:rPr>
          <w:t xml:space="preserve">https://doi.org/cqgvs8</w:t>
        </w:r>
      </w:hyperlink>
      <w:r>
        <w:t xml:space="preserve">.</w:t>
      </w:r>
    </w:p>
    <w:bookmarkEnd w:id="105"/>
    <w:bookmarkStart w:id="107"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106">
        <w:r>
          <w:rPr>
            <w:rStyle w:val="Hyperlink"/>
          </w:rPr>
          <w:t xml:space="preserve">https://doi.org/fpnss4</w:t>
        </w:r>
      </w:hyperlink>
      <w:r>
        <w:t xml:space="preserve">.</w:t>
      </w:r>
    </w:p>
    <w:bookmarkEnd w:id="107"/>
    <w:bookmarkStart w:id="109"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108">
        <w:r>
          <w:rPr>
            <w:rStyle w:val="Hyperlink"/>
          </w:rPr>
          <w:t xml:space="preserve">https://eric.ed.gov/?id=ED053419</w:t>
        </w:r>
      </w:hyperlink>
      <w:r>
        <w:t xml:space="preserve">.</w:t>
      </w:r>
    </w:p>
    <w:bookmarkEnd w:id="109"/>
    <w:bookmarkStart w:id="111"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110">
        <w:r>
          <w:rPr>
            <w:rStyle w:val="Hyperlink"/>
          </w:rPr>
          <w:t xml:space="preserve">https://doi.org/gjvpw5</w:t>
        </w:r>
      </w:hyperlink>
      <w:r>
        <w:t xml:space="preserve">.</w:t>
      </w:r>
    </w:p>
    <w:bookmarkEnd w:id="111"/>
    <w:bookmarkStart w:id="113" w:name="ref-boudWhatFeedbackLiterate2021"/>
    <w:p>
      <w:pPr>
        <w:pStyle w:val="Bibliography"/>
      </w:pPr>
      <w:r>
        <w:t xml:space="preserve">Boud, David, and Phillip Dawson. 2021.</w:t>
      </w:r>
      <w:r>
        <w:t xml:space="preserve"> </w:t>
      </w:r>
      <w:r>
        <w:t xml:space="preserve">“What Feedback Literate Teachers Do: An Empirically-Derived Competency Framework.”</w:t>
      </w:r>
      <w:r>
        <w:t xml:space="preserve"> </w:t>
      </w:r>
      <w:r>
        <w:rPr>
          <w:iCs/>
          <w:i/>
        </w:rPr>
        <w:t xml:space="preserve">Assessment &amp; Evaluation in Higher Education</w:t>
      </w:r>
      <w:r>
        <w:t xml:space="preserve">, April, 1–14.</w:t>
      </w:r>
      <w:r>
        <w:t xml:space="preserve"> </w:t>
      </w:r>
      <w:hyperlink r:id="rId112">
        <w:r>
          <w:rPr>
            <w:rStyle w:val="Hyperlink"/>
          </w:rPr>
          <w:t xml:space="preserve">https://doi.org/gjrsqx</w:t>
        </w:r>
      </w:hyperlink>
      <w:r>
        <w:t xml:space="preserve">.</w:t>
      </w:r>
    </w:p>
    <w:bookmarkEnd w:id="113"/>
    <w:bookmarkStart w:id="115"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114">
        <w:r>
          <w:rPr>
            <w:rStyle w:val="Hyperlink"/>
          </w:rPr>
          <w:t xml:space="preserve">https://pure.mpg.de/rest/items/item_3326892/component/file_3327086/content</w:t>
        </w:r>
      </w:hyperlink>
      <w:r>
        <w:t xml:space="preserve">.</w:t>
      </w:r>
    </w:p>
    <w:bookmarkEnd w:id="115"/>
    <w:bookmarkStart w:id="117"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116">
        <w:r>
          <w:rPr>
            <w:rStyle w:val="Hyperlink"/>
          </w:rPr>
          <w:t xml:space="preserve">https://doi.org/10.1007/978-3-319-17727-4_64-1</w:t>
        </w:r>
      </w:hyperlink>
      <w:r>
        <w:t xml:space="preserve">.</w:t>
      </w:r>
    </w:p>
    <w:bookmarkEnd w:id="117"/>
    <w:bookmarkStart w:id="119"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118">
        <w:r>
          <w:rPr>
            <w:rStyle w:val="Hyperlink"/>
          </w:rPr>
          <w:t xml:space="preserve">https://doi.org/cwcqj4</w:t>
        </w:r>
      </w:hyperlink>
      <w:r>
        <w:t xml:space="preserve">.</w:t>
      </w:r>
    </w:p>
    <w:bookmarkEnd w:id="119"/>
    <w:bookmarkStart w:id="121"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120">
        <w:r>
          <w:rPr>
            <w:rStyle w:val="Hyperlink"/>
          </w:rPr>
          <w:t xml:space="preserve">https://doi.org/gj4tz6</w:t>
        </w:r>
      </w:hyperlink>
      <w:r>
        <w:t xml:space="preserve">.</w:t>
      </w:r>
    </w:p>
    <w:bookmarkEnd w:id="121"/>
    <w:bookmarkStart w:id="123"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122">
        <w:r>
          <w:rPr>
            <w:rStyle w:val="Hyperlink"/>
          </w:rPr>
          <w:t xml:space="preserve">https://doi.org/c3k8f5</w:t>
        </w:r>
      </w:hyperlink>
      <w:r>
        <w:t xml:space="preserve">.</w:t>
      </w:r>
    </w:p>
    <w:bookmarkEnd w:id="123"/>
    <w:bookmarkStart w:id="125" w:name="ref-bulutLikertScalesFriend2021"/>
    <w:p>
      <w:pPr>
        <w:pStyle w:val="Bibliography"/>
      </w:pPr>
      <w:r>
        <w:t xml:space="preserve">Bulut, Okan. 2021.</w:t>
      </w:r>
      <w:r>
        <w:t xml:space="preserve"> </w:t>
      </w:r>
      <w:r>
        <w:t xml:space="preserve">“Likert</w:t>
      </w:r>
      <w:r>
        <w:t xml:space="preserve"> </w:t>
      </w:r>
      <w:r>
        <w:t xml:space="preserve">Scales</w:t>
      </w:r>
      <w:r>
        <w:t xml:space="preserve">:</w:t>
      </w:r>
      <w:r>
        <w:t xml:space="preserve"> </w:t>
      </w:r>
      <w:r>
        <w:t xml:space="preserve">Friend</w:t>
      </w:r>
      <w:r>
        <w:t xml:space="preserve"> </w:t>
      </w:r>
      <w:r>
        <w:t xml:space="preserve">or</w:t>
      </w:r>
      <w:r>
        <w:t xml:space="preserve"> </w:t>
      </w:r>
      <w:r>
        <w:t xml:space="preserve">Foe</w:t>
      </w:r>
      <w:r>
        <w:t xml:space="preserve">?”</w:t>
      </w:r>
      <w:r>
        <w:t xml:space="preserve"> </w:t>
      </w:r>
      <w:r>
        <w:t xml:space="preserve">Medium</w:t>
      </w:r>
      <w:r>
        <w:t xml:space="preserve">. August 4, 2021.</w:t>
      </w:r>
      <w:r>
        <w:t xml:space="preserve"> </w:t>
      </w:r>
      <w:hyperlink r:id="rId124">
        <w:r>
          <w:rPr>
            <w:rStyle w:val="Hyperlink"/>
          </w:rPr>
          <w:t xml:space="preserve">https://towardsdatascience.com/likert-scales-friend-or-foe-76f865786fb7</w:t>
        </w:r>
      </w:hyperlink>
      <w:r>
        <w:t xml:space="preserve">.</w:t>
      </w:r>
    </w:p>
    <w:bookmarkEnd w:id="125"/>
    <w:bookmarkStart w:id="127"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126">
        <w:r>
          <w:rPr>
            <w:rStyle w:val="Hyperlink"/>
          </w:rPr>
          <w:t xml:space="preserve">https://doi.org/d8wq</w:t>
        </w:r>
      </w:hyperlink>
      <w:r>
        <w:t xml:space="preserve">.</w:t>
      </w:r>
    </w:p>
    <w:bookmarkEnd w:id="127"/>
    <w:bookmarkStart w:id="129"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128">
        <w:r>
          <w:rPr>
            <w:rStyle w:val="Hyperlink"/>
          </w:rPr>
          <w:t xml:space="preserve">https://doi.org/ghdnhh</w:t>
        </w:r>
      </w:hyperlink>
      <w:r>
        <w:t xml:space="preserve">.</w:t>
      </w:r>
    </w:p>
    <w:bookmarkEnd w:id="129"/>
    <w:bookmarkStart w:id="131" w:name="X3310b036a234cdf230045cc2106e53d723808d6"/>
    <w:p>
      <w:pPr>
        <w:pStyle w:val="Bibliography"/>
      </w:pPr>
      <w:r>
        <w:t xml:space="preserve">Coombs, Andrew, Christopher DeLuca, Danielle LaPointe-McEwan, and Agnieszka Chalas. 2018.</w:t>
      </w:r>
      <w:r>
        <w:t xml:space="preserve"> </w:t>
      </w:r>
      <w:r>
        <w:t xml:space="preserve">“Changing Approaches to Classroom Assessment:</w:t>
      </w:r>
      <w:r>
        <w:t xml:space="preserve"> </w:t>
      </w:r>
      <w:r>
        <w:t xml:space="preserve">An</w:t>
      </w:r>
      <w:r>
        <w:t xml:space="preserve"> </w:t>
      </w:r>
      <w:r>
        <w:t xml:space="preserve">Empirical Study Across Teacher Career Stages.”</w:t>
      </w:r>
      <w:r>
        <w:t xml:space="preserve"> </w:t>
      </w:r>
      <w:r>
        <w:rPr>
          <w:iCs/>
          <w:i/>
        </w:rPr>
        <w:t xml:space="preserve">Teaching and Teacher Education</w:t>
      </w:r>
      <w:r>
        <w:t xml:space="preserve"> </w:t>
      </w:r>
      <w:r>
        <w:t xml:space="preserve">71 (April): 134–44.</w:t>
      </w:r>
      <w:r>
        <w:t xml:space="preserve"> </w:t>
      </w:r>
      <w:hyperlink r:id="rId130">
        <w:r>
          <w:rPr>
            <w:rStyle w:val="Hyperlink"/>
          </w:rPr>
          <w:t xml:space="preserve">https://doi.org/gdfmcv</w:t>
        </w:r>
      </w:hyperlink>
      <w:r>
        <w:t xml:space="preserve">.</w:t>
      </w:r>
    </w:p>
    <w:bookmarkEnd w:id="131"/>
    <w:bookmarkStart w:id="133" w:name="Xfe48ff53c3a3416066f58f9a41b535978fae869"/>
    <w:p>
      <w:pPr>
        <w:pStyle w:val="Bibliography"/>
      </w:pPr>
      <w:r>
        <w:t xml:space="preserve">Coombs, Andrew, Christopher DeLuca, and Stephen MacGregor. 2020.</w:t>
      </w:r>
      <w:r>
        <w:t xml:space="preserve"> </w:t>
      </w:r>
      <w:r>
        <w:t xml:space="preserve">“A Person-Centered Analysis of Teacher Candidates’ Approaches to Assessment.”</w:t>
      </w:r>
      <w:r>
        <w:t xml:space="preserve"> </w:t>
      </w:r>
      <w:r>
        <w:rPr>
          <w:iCs/>
          <w:i/>
        </w:rPr>
        <w:t xml:space="preserve">Teaching and Teacher Education</w:t>
      </w:r>
      <w:r>
        <w:t xml:space="preserve"> </w:t>
      </w:r>
      <w:r>
        <w:t xml:space="preserve">87 (January): 102952.</w:t>
      </w:r>
      <w:r>
        <w:t xml:space="preserve"> </w:t>
      </w:r>
      <w:hyperlink r:id="rId132">
        <w:r>
          <w:rPr>
            <w:rStyle w:val="Hyperlink"/>
          </w:rPr>
          <w:t xml:space="preserve">https://doi.org/gh5k6v</w:t>
        </w:r>
      </w:hyperlink>
      <w:r>
        <w:t xml:space="preserve">.</w:t>
      </w:r>
    </w:p>
    <w:bookmarkEnd w:id="133"/>
    <w:bookmarkStart w:id="135" w:name="ref-coombsSeaSeaCanadian2020"/>
    <w:p>
      <w:pPr>
        <w:pStyle w:val="Bibliography"/>
      </w:pPr>
      <w:r>
        <w:t xml:space="preserve">Coombs, Andrew, Jenny Ge, and Christopher DeLuca. 2020.</w:t>
      </w:r>
      <w:r>
        <w:t xml:space="preserve"> </w:t>
      </w:r>
      <w:r>
        <w:t xml:space="preserve">“From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October, 1–17.</w:t>
      </w:r>
      <w:r>
        <w:t xml:space="preserve"> </w:t>
      </w:r>
      <w:hyperlink r:id="rId134">
        <w:r>
          <w:rPr>
            <w:rStyle w:val="Hyperlink"/>
          </w:rPr>
          <w:t xml:space="preserve">https://doi.org/gh5k4z</w:t>
        </w:r>
      </w:hyperlink>
      <w:r>
        <w:t xml:space="preserve">.</w:t>
      </w:r>
    </w:p>
    <w:bookmarkEnd w:id="135"/>
    <w:bookmarkStart w:id="137" w:name="X19c097a02df9fa745c62b1a0ce793f7d18e0b41"/>
    <w:p>
      <w:pPr>
        <w:pStyle w:val="Bibliography"/>
      </w:pPr>
      <w:r>
        <w:t xml:space="preserve">Creamer, Elizabeth G. 2018.</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Fully Integrated Mixed Methods Research</w:t>
      </w:r>
      <w:r>
        <w:t xml:space="preserve">.</w:t>
      </w:r>
      <w:r>
        <w:t xml:space="preserve"> </w:t>
      </w:r>
      <w:r>
        <w:t xml:space="preserve">2455 Teller Road, Thousand Oaks California 91320</w:t>
      </w:r>
      <w:r>
        <w:t xml:space="preserve">:</w:t>
      </w:r>
      <w:r>
        <w:t xml:space="preserve"> </w:t>
      </w:r>
      <w:r>
        <w:t xml:space="preserve">SAGE Publications, Inc.</w:t>
      </w:r>
      <w:r>
        <w:t xml:space="preserve"> </w:t>
      </w:r>
      <w:hyperlink r:id="rId136">
        <w:r>
          <w:rPr>
            <w:rStyle w:val="Hyperlink"/>
          </w:rPr>
          <w:t xml:space="preserve">https://doi.org/10.4135/9781071802823</w:t>
        </w:r>
      </w:hyperlink>
      <w:r>
        <w:t xml:space="preserve">.</w:t>
      </w:r>
    </w:p>
    <w:bookmarkEnd w:id="137"/>
    <w:bookmarkStart w:id="138" w:name="X15e33d0567975f2cdc7cfc47dc9f1173f938850"/>
    <w:p>
      <w:pPr>
        <w:pStyle w:val="Bibliography"/>
      </w:pPr>
      <w:r>
        <w:t xml:space="preserve">Creswell, John W. 2009.</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 Quantitative and Mixed Method Approaches</w:t>
      </w:r>
      <w:r>
        <w:t xml:space="preserve">. 3rd ed.</w:t>
      </w:r>
      <w:r>
        <w:t xml:space="preserve"> </w:t>
      </w:r>
      <w:r>
        <w:t xml:space="preserve">Thousand Oaks, CA</w:t>
      </w:r>
      <w:r>
        <w:t xml:space="preserve">:</w:t>
      </w:r>
      <w:r>
        <w:t xml:space="preserve"> </w:t>
      </w:r>
      <w:r>
        <w:t xml:space="preserve">Sage Publications</w:t>
      </w:r>
      <w:r>
        <w:t xml:space="preserve">.</w:t>
      </w:r>
    </w:p>
    <w:bookmarkEnd w:id="138"/>
    <w:bookmarkStart w:id="140"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139">
        <w:r>
          <w:rPr>
            <w:rStyle w:val="Hyperlink"/>
          </w:rPr>
          <w:t xml:space="preserve">https://doi.org/dvd8nf</w:t>
        </w:r>
      </w:hyperlink>
      <w:r>
        <w:t xml:space="preserve">.</w:t>
      </w:r>
    </w:p>
    <w:bookmarkEnd w:id="140"/>
    <w:bookmarkStart w:id="141" w:name="ref-delucaACAIInstrumentSpecificationsND"/>
    <w:p>
      <w:pPr>
        <w:pStyle w:val="Bibliography"/>
      </w:pPr>
      <w:r>
        <w:t xml:space="preserve">DeLuca, Christopher. ND.</w:t>
      </w:r>
      <w:r>
        <w:t xml:space="preserve"> </w:t>
      </w:r>
      <w:r>
        <w:t xml:space="preserve">“</w:t>
      </w:r>
      <w:r>
        <w:t xml:space="preserve">ACAI Instrument</w:t>
      </w:r>
      <w:r>
        <w:t xml:space="preserve">,</w:t>
      </w:r>
      <w:r>
        <w:t xml:space="preserve"> </w:t>
      </w:r>
      <w:r>
        <w:t xml:space="preserve">Specifications</w:t>
      </w:r>
      <w:r>
        <w:t xml:space="preserve">, and</w:t>
      </w:r>
      <w:r>
        <w:t xml:space="preserve"> </w:t>
      </w:r>
      <w:r>
        <w:t xml:space="preserve">Related Material</w:t>
      </w:r>
      <w:r>
        <w:t xml:space="preserve">.”</w:t>
      </w:r>
      <w:r>
        <w:t xml:space="preserve"> </w:t>
      </w:r>
      <w:r>
        <w:t xml:space="preserve">Classroom Assessment Research Team (CART)</w:t>
      </w:r>
      <w:r>
        <w:t xml:space="preserve">.</w:t>
      </w:r>
    </w:p>
    <w:bookmarkEnd w:id="141"/>
    <w:bookmarkStart w:id="143" w:name="ref-delucaPreparingTeachersAge2012"/>
    <w:p>
      <w:pPr>
        <w:pStyle w:val="Bibliography"/>
      </w:pPr>
      <w:r>
        <w:t xml:space="preserve">———.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42">
        <w:r>
          <w:rPr>
            <w:rStyle w:val="Hyperlink"/>
          </w:rPr>
          <w:t xml:space="preserve">https://doi.org/10.1080/01626620.2012.730347</w:t>
        </w:r>
      </w:hyperlink>
      <w:r>
        <w:t xml:space="preserve">.</w:t>
      </w:r>
    </w:p>
    <w:bookmarkEnd w:id="143"/>
    <w:bookmarkStart w:id="145" w:name="X07c7affd66fd5d0adbce197f0384e7e89f12100"/>
    <w:p>
      <w:pPr>
        <w:pStyle w:val="Bibliography"/>
      </w:pPr>
      <w:r>
        <w:t xml:space="preserve">DeLuca, Christopher, Allison E. A. Chapman-Chin, Danielle LaPointe-McEwan, and Don A. Klinger. 2018.</w:t>
      </w:r>
      <w:r>
        <w:t xml:space="preserve"> </w:t>
      </w:r>
      <w:r>
        <w:t xml:space="preserve">“Student Perspectives on Assessment for Learning.”</w:t>
      </w:r>
      <w:r>
        <w:t xml:space="preserve"> </w:t>
      </w:r>
      <w:r>
        <w:rPr>
          <w:iCs/>
          <w:i/>
        </w:rPr>
        <w:t xml:space="preserve">The Curriculum Journal</w:t>
      </w:r>
      <w:r>
        <w:t xml:space="preserve"> </w:t>
      </w:r>
      <w:r>
        <w:t xml:space="preserve">29 (1): 77–94.</w:t>
      </w:r>
      <w:r>
        <w:t xml:space="preserve"> </w:t>
      </w:r>
      <w:hyperlink r:id="rId144">
        <w:r>
          <w:rPr>
            <w:rStyle w:val="Hyperlink"/>
          </w:rPr>
          <w:t xml:space="preserve">https://doi.org/gf4xvc</w:t>
        </w:r>
      </w:hyperlink>
      <w:r>
        <w:t xml:space="preserve">.</w:t>
      </w:r>
    </w:p>
    <w:bookmarkEnd w:id="145"/>
    <w:bookmarkStart w:id="147"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46">
        <w:r>
          <w:rPr>
            <w:rStyle w:val="Hyperlink"/>
          </w:rPr>
          <w:t xml:space="preserve">https://doi.org/gj5v98</w:t>
        </w:r>
      </w:hyperlink>
      <w:r>
        <w:t xml:space="preserve">.</w:t>
      </w:r>
    </w:p>
    <w:bookmarkEnd w:id="147"/>
    <w:bookmarkStart w:id="149"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48">
        <w:r>
          <w:rPr>
            <w:rStyle w:val="Hyperlink"/>
          </w:rPr>
          <w:t xml:space="preserve">https://doi.org/gh5k63</w:t>
        </w:r>
      </w:hyperlink>
      <w:r>
        <w:t xml:space="preserve">.</w:t>
      </w:r>
    </w:p>
    <w:bookmarkEnd w:id="149"/>
    <w:bookmarkStart w:id="151"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50">
        <w:r>
          <w:rPr>
            <w:rStyle w:val="Hyperlink"/>
          </w:rPr>
          <w:t xml:space="preserve">https://doi.org/gfgtsg</w:t>
        </w:r>
      </w:hyperlink>
      <w:r>
        <w:t xml:space="preserve">.</w:t>
      </w:r>
    </w:p>
    <w:bookmarkEnd w:id="151"/>
    <w:bookmarkStart w:id="153"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52">
        <w:r>
          <w:rPr>
            <w:rStyle w:val="Hyperlink"/>
          </w:rPr>
          <w:t xml:space="preserve">https://doi.org/f828mh</w:t>
        </w:r>
      </w:hyperlink>
      <w:r>
        <w:t xml:space="preserve">.</w:t>
      </w:r>
    </w:p>
    <w:bookmarkEnd w:id="153"/>
    <w:bookmarkStart w:id="155"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54">
        <w:r>
          <w:rPr>
            <w:rStyle w:val="Hyperlink"/>
          </w:rPr>
          <w:t xml:space="preserve">https://doi.org/gjxvc7</w:t>
        </w:r>
      </w:hyperlink>
      <w:r>
        <w:t xml:space="preserve">.</w:t>
      </w:r>
    </w:p>
    <w:bookmarkEnd w:id="155"/>
    <w:bookmarkStart w:id="157" w:name="ref-delucaPedagogySlowSignificant2021"/>
    <w:p>
      <w:pPr>
        <w:pStyle w:val="Bibliography"/>
      </w:pPr>
      <w:r>
        <w:t xml:space="preserve">DeLuca, Christopher, Michelle Searle, Katrina Carbone, Jenny Ge, and Danielle LaPointe-McEwan. 2021.</w:t>
      </w:r>
      <w:r>
        <w:t xml:space="preserve"> </w:t>
      </w:r>
      <w:r>
        <w:t xml:space="preserve">“Toward a Pedagogy for Slow and Significant Learning about Assessment in Teacher Education.”</w:t>
      </w:r>
      <w:r>
        <w:t xml:space="preserve"> </w:t>
      </w:r>
      <w:r>
        <w:rPr>
          <w:iCs/>
          <w:i/>
        </w:rPr>
        <w:t xml:space="preserve">Teaching and Teacher Education</w:t>
      </w:r>
      <w:r>
        <w:t xml:space="preserve"> </w:t>
      </w:r>
      <w:r>
        <w:t xml:space="preserve">101 (May): 103316.</w:t>
      </w:r>
      <w:r>
        <w:t xml:space="preserve"> </w:t>
      </w:r>
      <w:hyperlink r:id="rId156">
        <w:r>
          <w:rPr>
            <w:rStyle w:val="Hyperlink"/>
          </w:rPr>
          <w:t xml:space="preserve">https://doi.org/gh7mjt</w:t>
        </w:r>
      </w:hyperlink>
      <w:r>
        <w:t xml:space="preserve">.</w:t>
      </w:r>
    </w:p>
    <w:bookmarkEnd w:id="157"/>
    <w:bookmarkStart w:id="159"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58">
        <w:r>
          <w:rPr>
            <w:rStyle w:val="Hyperlink"/>
          </w:rPr>
          <w:t xml:space="preserve">https://doi.org/gh5k6p</w:t>
        </w:r>
      </w:hyperlink>
      <w:r>
        <w:t xml:space="preserve">.</w:t>
      </w:r>
    </w:p>
    <w:bookmarkEnd w:id="159"/>
    <w:bookmarkStart w:id="161" w:name="ref-delucaPoliciesProgramsPractices2019"/>
    <w:p>
      <w:pPr>
        <w:pStyle w:val="Bibliography"/>
      </w:pPr>
      <w:r>
        <w:t xml:space="preserve">DeLuca, Christopher, Jill Willis, Bronwen Cowie, Christine Harrison, Andrew Coombs, Andrew Gibson, and Suzanne Trask. 2019.</w:t>
      </w:r>
      <w:r>
        <w:t xml:space="preserve"> </w:t>
      </w:r>
      <w:r>
        <w:t xml:space="preserve">“Policies,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 </w:t>
      </w:r>
      <w:r>
        <w:t xml:space="preserve">4 (November): 132.</w:t>
      </w:r>
      <w:r>
        <w:t xml:space="preserve"> </w:t>
      </w:r>
      <w:hyperlink r:id="rId160">
        <w:r>
          <w:rPr>
            <w:rStyle w:val="Hyperlink"/>
          </w:rPr>
          <w:t xml:space="preserve">https://doi.org/gh5k2r</w:t>
        </w:r>
      </w:hyperlink>
      <w:r>
        <w:t xml:space="preserve">.</w:t>
      </w:r>
    </w:p>
    <w:bookmarkEnd w:id="161"/>
    <w:bookmarkStart w:id="162"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62"/>
    <w:bookmarkStart w:id="164" w:name="ref-earleBalancingDemandsValidity2020"/>
    <w:p>
      <w:pPr>
        <w:pStyle w:val="Bibliography"/>
      </w:pPr>
      <w:r>
        <w:t xml:space="preserve">Earle, Sarah. 2020.</w:t>
      </w:r>
      <w:r>
        <w:t xml:space="preserve"> </w:t>
      </w:r>
      <w:r>
        <w:t xml:space="preserve">“Balancing the Demands of Validity and Reliability in Practice: Case Study of a Changing System of Primary Science Summative Assessment.”</w:t>
      </w:r>
      <w:r>
        <w:t xml:space="preserve"> </w:t>
      </w:r>
      <w:r>
        <w:rPr>
          <w:iCs/>
          <w:i/>
        </w:rPr>
        <w:t xml:space="preserve">London Review of Education</w:t>
      </w:r>
      <w:r>
        <w:t xml:space="preserve">.</w:t>
      </w:r>
      <w:r>
        <w:t xml:space="preserve"> </w:t>
      </w:r>
      <w:hyperlink r:id="rId163">
        <w:r>
          <w:rPr>
            <w:rStyle w:val="Hyperlink"/>
          </w:rPr>
          <w:t xml:space="preserve">https://doi.org/gmgbps</w:t>
        </w:r>
      </w:hyperlink>
      <w:r>
        <w:t xml:space="preserve">.</w:t>
      </w:r>
    </w:p>
    <w:bookmarkEnd w:id="164"/>
    <w:bookmarkStart w:id="166" w:name="Xfda91508ee188109dcf716fe680285d6d978b80"/>
    <w:p>
      <w:pPr>
        <w:pStyle w:val="Bibliography"/>
      </w:pPr>
      <w:r>
        <w:t xml:space="preserve">Esfandiari, Rajab, Imam Khomeini International University, Qazvin, Razieh Nouri, and Imam Khomeini International University, Qazvin. 2016.</w:t>
      </w:r>
      <w:r>
        <w:t xml:space="preserve"> </w:t>
      </w:r>
      <w:r>
        <w:t xml:space="preserve">“A</w:t>
      </w:r>
      <w:r>
        <w:t xml:space="preserve"> </w:t>
      </w:r>
      <w:r>
        <w:t xml:space="preserve">Mixed</w:t>
      </w:r>
      <w:r>
        <w:t xml:space="preserve">-Methods,</w:t>
      </w:r>
      <w:r>
        <w:t xml:space="preserve"> </w:t>
      </w:r>
      <w:r>
        <w:t xml:space="preserve">Cross</w:t>
      </w:r>
      <w:r>
        <w:t xml:space="preserve">-Sectional</w:t>
      </w:r>
      <w:r>
        <w:t xml:space="preserve"> </w:t>
      </w:r>
      <w:r>
        <w:t xml:space="preserve">Study</w:t>
      </w:r>
      <w:r>
        <w:t xml:space="preserve"> </w:t>
      </w:r>
      <w:r>
        <w:t xml:space="preserve">of</w:t>
      </w:r>
      <w:r>
        <w:t xml:space="preserve"> </w:t>
      </w:r>
      <w:r>
        <w:t xml:space="preserve">Assessment Literacy</w:t>
      </w:r>
      <w:r>
        <w:t xml:space="preserve"> </w:t>
      </w:r>
      <w:r>
        <w:t xml:space="preserve">of</w:t>
      </w:r>
      <w:r>
        <w:t xml:space="preserve"> </w:t>
      </w:r>
      <w:r>
        <w:t xml:space="preserve">Iranian University Instructors</w:t>
      </w:r>
      <w:r>
        <w:t xml:space="preserve">:</w:t>
      </w:r>
      <w:r>
        <w:t xml:space="preserve"> </w:t>
      </w:r>
      <w:r>
        <w:t xml:space="preserve">Implications</w:t>
      </w:r>
      <w:r>
        <w:t xml:space="preserve"> </w:t>
      </w:r>
      <w:r>
        <w:t xml:space="preserve">for</w:t>
      </w:r>
      <w:r>
        <w:t xml:space="preserve"> </w:t>
      </w:r>
      <w:r>
        <w:t xml:space="preserve">Teachers</w:t>
      </w:r>
      <w:r>
        <w:t xml:space="preserve">’</w:t>
      </w:r>
      <w:r>
        <w:t xml:space="preserve"> </w:t>
      </w:r>
      <w:r>
        <w:t xml:space="preserve">Professional Development</w:t>
      </w:r>
      <w:r>
        <w:t xml:space="preserve">.”</w:t>
      </w:r>
      <w:r>
        <w:t xml:space="preserve"> </w:t>
      </w:r>
      <w:r>
        <w:rPr>
          <w:iCs/>
          <w:i/>
        </w:rPr>
        <w:t xml:space="preserve">Iranian Journal of Applied Linguistics</w:t>
      </w:r>
      <w:r>
        <w:t xml:space="preserve"> </w:t>
      </w:r>
      <w:r>
        <w:t xml:space="preserve">19 (2): 115–54.</w:t>
      </w:r>
      <w:r>
        <w:t xml:space="preserve"> </w:t>
      </w:r>
      <w:hyperlink r:id="rId165">
        <w:r>
          <w:rPr>
            <w:rStyle w:val="Hyperlink"/>
          </w:rPr>
          <w:t xml:space="preserve">https://doi.org/gmdnd9</w:t>
        </w:r>
      </w:hyperlink>
      <w:r>
        <w:t xml:space="preserve">.</w:t>
      </w:r>
    </w:p>
    <w:bookmarkEnd w:id="166"/>
    <w:bookmarkStart w:id="167" w:name="ref-fieldDiscoveringStatisticsUsing2018"/>
    <w:p>
      <w:pPr>
        <w:pStyle w:val="Bibliography"/>
      </w:pPr>
      <w:r>
        <w:t xml:space="preserve">Field, Andy P. 2018.</w:t>
      </w:r>
      <w:r>
        <w:t xml:space="preserve"> </w:t>
      </w:r>
      <w:r>
        <w:rPr>
          <w:iCs/>
          <w:i/>
        </w:rPr>
        <w:t xml:space="preserve">Discovering Statistics Using</w:t>
      </w:r>
      <w:r>
        <w:rPr>
          <w:iCs/>
          <w:i/>
        </w:rPr>
        <w:t xml:space="preserve"> </w:t>
      </w:r>
      <w:r>
        <w:rPr>
          <w:iCs/>
          <w:i/>
        </w:rPr>
        <w:t xml:space="preserve">IBM SPSS</w:t>
      </w:r>
      <w:r>
        <w:rPr>
          <w:iCs/>
          <w:i/>
        </w:rPr>
        <w:t xml:space="preserve"> </w:t>
      </w:r>
      <w:r>
        <w:rPr>
          <w:iCs/>
          <w:i/>
        </w:rPr>
        <w:t xml:space="preserve">Statistics</w:t>
      </w:r>
      <w:r>
        <w:t xml:space="preserve">. 5th edition, North American edition.</w:t>
      </w:r>
      <w:r>
        <w:t xml:space="preserve"> </w:t>
      </w:r>
      <w:r>
        <w:t xml:space="preserve">Thousand Oaks, California</w:t>
      </w:r>
      <w:r>
        <w:t xml:space="preserve">:</w:t>
      </w:r>
      <w:r>
        <w:t xml:space="preserve"> </w:t>
      </w:r>
      <w:r>
        <w:t xml:space="preserve">Sage Publications Inc</w:t>
      </w:r>
      <w:r>
        <w:t xml:space="preserve">.</w:t>
      </w:r>
    </w:p>
    <w:bookmarkEnd w:id="167"/>
    <w:bookmarkStart w:id="169" w:name="ref-fivesNavigatingComplexCognitive2020"/>
    <w:p>
      <w:pPr>
        <w:pStyle w:val="Bibliography"/>
      </w:pPr>
      <w:r>
        <w:t xml:space="preserve">Fives, Helenrose, and Nicole Barnes. 2020.</w:t>
      </w:r>
      <w:r>
        <w:t xml:space="preserve"> </w:t>
      </w:r>
      <w:r>
        <w:t xml:space="preserve">“Navigating the Complex Cognitive Task of Classroom Assessment.”</w:t>
      </w:r>
      <w:r>
        <w:t xml:space="preserve"> </w:t>
      </w:r>
      <w:r>
        <w:rPr>
          <w:iCs/>
          <w:i/>
        </w:rPr>
        <w:t xml:space="preserve">Teaching and Teacher Education</w:t>
      </w:r>
      <w:r>
        <w:t xml:space="preserve"> </w:t>
      </w:r>
      <w:r>
        <w:t xml:space="preserve">92 (June): 103063.</w:t>
      </w:r>
      <w:r>
        <w:t xml:space="preserve"> </w:t>
      </w:r>
      <w:hyperlink r:id="rId168">
        <w:r>
          <w:rPr>
            <w:rStyle w:val="Hyperlink"/>
          </w:rPr>
          <w:t xml:space="preserve">https://doi.org/gmbws5</w:t>
        </w:r>
      </w:hyperlink>
      <w:r>
        <w:t xml:space="preserve">.</w:t>
      </w:r>
    </w:p>
    <w:bookmarkEnd w:id="169"/>
    <w:bookmarkStart w:id="171"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70">
        <w:r>
          <w:rPr>
            <w:rStyle w:val="Hyperlink"/>
          </w:rPr>
          <w:t xml:space="preserve">https://doi.org/ctccpq</w:t>
        </w:r>
      </w:hyperlink>
      <w:r>
        <w:t xml:space="preserve">.</w:t>
      </w:r>
    </w:p>
    <w:bookmarkEnd w:id="171"/>
    <w:bookmarkStart w:id="173" w:name="X21a54516e2b8ef032e69ea54eb24962d0415dba"/>
    <w:p>
      <w:pPr>
        <w:pStyle w:val="Bibliography"/>
      </w:pPr>
      <w:r>
        <w:t xml:space="preserve">Flores, Maria Assunção, Gavin Brown, Diana Pereira, Clara Coutinho, Patrícia Santos, and Cláudia Pinheiro. 2020.</w:t>
      </w:r>
      <w:r>
        <w:t xml:space="preserve"> </w:t>
      </w:r>
      <w:r>
        <w:t xml:space="preserve">“Portuguese University Students’ Conceptions of Assessment: Taking Responsibility for Achievement.”</w:t>
      </w:r>
      <w:r>
        <w:t xml:space="preserve"> </w:t>
      </w:r>
      <w:r>
        <w:rPr>
          <w:iCs/>
          <w:i/>
        </w:rPr>
        <w:t xml:space="preserve">Higher Education</w:t>
      </w:r>
      <w:r>
        <w:t xml:space="preserve"> </w:t>
      </w:r>
      <w:r>
        <w:t xml:space="preserve">79 (3): 377–94.</w:t>
      </w:r>
      <w:r>
        <w:t xml:space="preserve"> </w:t>
      </w:r>
      <w:hyperlink r:id="rId172">
        <w:r>
          <w:rPr>
            <w:rStyle w:val="Hyperlink"/>
          </w:rPr>
          <w:t xml:space="preserve">https://doi.org/gk4j65</w:t>
        </w:r>
      </w:hyperlink>
      <w:r>
        <w:t xml:space="preserve">.</w:t>
      </w:r>
    </w:p>
    <w:bookmarkEnd w:id="173"/>
    <w:bookmarkStart w:id="175"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74">
        <w:r>
          <w:rPr>
            <w:rStyle w:val="Hyperlink"/>
          </w:rPr>
          <w:t xml:space="preserve">https://doi.org/gfz39k</w:t>
        </w:r>
      </w:hyperlink>
      <w:r>
        <w:t xml:space="preserve">.</w:t>
      </w:r>
    </w:p>
    <w:bookmarkEnd w:id="175"/>
    <w:bookmarkStart w:id="177"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76">
        <w:r>
          <w:rPr>
            <w:rStyle w:val="Hyperlink"/>
          </w:rPr>
          <w:t xml:space="preserve">https://www.weforum.org/reports/the-future-of-jobs-report-2020/</w:t>
        </w:r>
      </w:hyperlink>
      <w:r>
        <w:t xml:space="preserve">.</w:t>
      </w:r>
    </w:p>
    <w:bookmarkEnd w:id="177"/>
    <w:bookmarkStart w:id="179"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78">
        <w:r>
          <w:rPr>
            <w:rStyle w:val="Hyperlink"/>
          </w:rPr>
          <w:t xml:space="preserve">http://cnx.org/contents/b3014cd9-6e3a-474f-bbaa-c948cbc8e205@5.12.</w:t>
        </w:r>
      </w:hyperlink>
    </w:p>
    <w:bookmarkEnd w:id="179"/>
    <w:bookmarkStart w:id="181" w:name="ref-gaoNonparametricStatistics2010"/>
    <w:p>
      <w:pPr>
        <w:pStyle w:val="Bibliography"/>
      </w:pPr>
      <w:r>
        <w:t xml:space="preserve">Gao, Xin. 2010.</w:t>
      </w:r>
      <w:r>
        <w:t xml:space="preserve"> </w:t>
      </w:r>
      <w:r>
        <w:t xml:space="preserve">“Nonparametric</w:t>
      </w:r>
      <w:r>
        <w:t xml:space="preserve"> </w:t>
      </w:r>
      <w:r>
        <w:t xml:space="preserve">Statistics</w:t>
      </w:r>
      <w:r>
        <w:t xml:space="preserve">.”</w:t>
      </w:r>
      <w:r>
        <w:t xml:space="preserve"> </w:t>
      </w:r>
      <w:r>
        <w:t xml:space="preserve">In</w:t>
      </w:r>
      <w:r>
        <w:t xml:space="preserve"> </w:t>
      </w:r>
      <w:r>
        <w:rPr>
          <w:iCs/>
          <w:i/>
        </w:rPr>
        <w:t xml:space="preserve">Encyclopedia of</w:t>
      </w:r>
      <w:r>
        <w:rPr>
          <w:iCs/>
          <w:i/>
        </w:rPr>
        <w:t xml:space="preserve"> </w:t>
      </w:r>
      <w:r>
        <w:rPr>
          <w:iCs/>
          <w:i/>
        </w:rPr>
        <w:t xml:space="preserve">Research Design</w:t>
      </w:r>
      <w:r>
        <w:t xml:space="preserve">, edited by Neil Salkind.</w:t>
      </w:r>
      <w:r>
        <w:t xml:space="preserve"> </w:t>
      </w:r>
      <w:r>
        <w:t xml:space="preserve">2455 Teller Road, Thousand Oaks California 91320 United States</w:t>
      </w:r>
      <w:r>
        <w:t xml:space="preserve">:</w:t>
      </w:r>
      <w:r>
        <w:t xml:space="preserve"> </w:t>
      </w:r>
      <w:r>
        <w:t xml:space="preserve">SAGE Publications, Inc.</w:t>
      </w:r>
      <w:r>
        <w:t xml:space="preserve"> </w:t>
      </w:r>
      <w:hyperlink r:id="rId180">
        <w:r>
          <w:rPr>
            <w:rStyle w:val="Hyperlink"/>
          </w:rPr>
          <w:t xml:space="preserve">https://doi.org/10.4135/9781412961288.n272</w:t>
        </w:r>
      </w:hyperlink>
      <w:r>
        <w:t xml:space="preserve">.</w:t>
      </w:r>
    </w:p>
    <w:bookmarkEnd w:id="181"/>
    <w:bookmarkStart w:id="183" w:name="ref-garveyMixedMethodExploration2021"/>
    <w:p>
      <w:pPr>
        <w:pStyle w:val="Bibliography"/>
      </w:pPr>
      <w:r>
        <w:t xml:space="preserve">Garvey, Loretta, Yvonne Hodgson, and Josephine Tighe. 2021.</w:t>
      </w:r>
      <w:r>
        <w:t xml:space="preserve"> </w:t>
      </w:r>
      <w:r>
        <w:t xml:space="preserve">“A Mixed Method Exploration of Student Perceptions of Assessment in Nursing and Biomedicine.”</w:t>
      </w:r>
      <w:r>
        <w:t xml:space="preserve"> </w:t>
      </w:r>
      <w:r>
        <w:rPr>
          <w:iCs/>
          <w:i/>
        </w:rPr>
        <w:t xml:space="preserve">Journal of Further and Higher Education</w:t>
      </w:r>
      <w:r>
        <w:t xml:space="preserve">, March, 1–14.</w:t>
      </w:r>
      <w:r>
        <w:t xml:space="preserve"> </w:t>
      </w:r>
      <w:hyperlink r:id="rId182">
        <w:r>
          <w:rPr>
            <w:rStyle w:val="Hyperlink"/>
          </w:rPr>
          <w:t xml:space="preserve">https://doi.org/gmb9k6</w:t>
        </w:r>
      </w:hyperlink>
      <w:r>
        <w:t xml:space="preserve">.</w:t>
      </w:r>
    </w:p>
    <w:bookmarkEnd w:id="183"/>
    <w:bookmarkStart w:id="185" w:name="ref-gotchSystematicReviewAssessment2014"/>
    <w:p>
      <w:pPr>
        <w:pStyle w:val="Bibliography"/>
      </w:pPr>
      <w:r>
        <w:t xml:space="preserve">Gotch, Chad, and Brian F. French. 2014.</w:t>
      </w:r>
      <w:r>
        <w:t xml:space="preserve"> </w:t>
      </w:r>
      <w:r>
        <w:t xml:space="preserve">“A Systematic Review of Assessment Literacy Measures.”</w:t>
      </w:r>
      <w:r>
        <w:t xml:space="preserve"> </w:t>
      </w:r>
      <w:r>
        <w:rPr>
          <w:iCs/>
          <w:i/>
        </w:rPr>
        <w:t xml:space="preserve">Educational Measurement: Issues and Practice</w:t>
      </w:r>
      <w:r>
        <w:t xml:space="preserve"> </w:t>
      </w:r>
      <w:r>
        <w:t xml:space="preserve">33: 14–18.</w:t>
      </w:r>
      <w:r>
        <w:t xml:space="preserve"> </w:t>
      </w:r>
      <w:hyperlink r:id="rId184">
        <w:r>
          <w:rPr>
            <w:rStyle w:val="Hyperlink"/>
          </w:rPr>
          <w:t xml:space="preserve">https://doi.org/gcpg4p</w:t>
        </w:r>
      </w:hyperlink>
      <w:r>
        <w:t xml:space="preserve">.</w:t>
      </w:r>
    </w:p>
    <w:bookmarkEnd w:id="185"/>
    <w:bookmarkStart w:id="187" w:name="ref-gubaFourthGenerationEvaluation1989"/>
    <w:p>
      <w:pPr>
        <w:pStyle w:val="Bibliography"/>
      </w:pPr>
      <w:r>
        <w:t xml:space="preserve">Guba, E. G., and Y. S. Lincoln. 1989.</w:t>
      </w:r>
      <w:r>
        <w:t xml:space="preserve"> </w:t>
      </w:r>
      <w:r>
        <w:rPr>
          <w:iCs/>
          <w:i/>
        </w:rPr>
        <w:t xml:space="preserve">Fourth Generation Evaluation</w:t>
      </w:r>
      <w:r>
        <w:t xml:space="preserve">.</w:t>
      </w:r>
      <w:r>
        <w:t xml:space="preserve"> </w:t>
      </w:r>
      <w:r>
        <w:t xml:space="preserve">SAGE Publications</w:t>
      </w:r>
      <w:r>
        <w:t xml:space="preserve">.</w:t>
      </w:r>
      <w:r>
        <w:t xml:space="preserve"> </w:t>
      </w:r>
      <w:hyperlink r:id="rId186">
        <w:r>
          <w:rPr>
            <w:rStyle w:val="Hyperlink"/>
          </w:rPr>
          <w:t xml:space="preserve">https://books.google.ca/books?id=k_zxEUst46UC</w:t>
        </w:r>
      </w:hyperlink>
      <w:r>
        <w:t xml:space="preserve">.</w:t>
      </w:r>
    </w:p>
    <w:bookmarkEnd w:id="187"/>
    <w:bookmarkStart w:id="188" w:name="ref-gubaParadigmDialog1990"/>
    <w:p>
      <w:pPr>
        <w:pStyle w:val="Bibliography"/>
      </w:pPr>
      <w:r>
        <w:t xml:space="preserve">Guba, Egon G., ed. 1990.</w:t>
      </w:r>
      <w:r>
        <w:t xml:space="preserve"> </w:t>
      </w:r>
      <w:r>
        <w:rPr>
          <w:iCs/>
          <w:i/>
        </w:rPr>
        <w:t xml:space="preserve">The</w:t>
      </w:r>
      <w:r>
        <w:rPr>
          <w:iCs/>
          <w:i/>
        </w:rPr>
        <w:t xml:space="preserve"> </w:t>
      </w:r>
      <w:r>
        <w:rPr>
          <w:iCs/>
          <w:i/>
        </w:rPr>
        <w:t xml:space="preserve">Paradigm</w:t>
      </w:r>
      <w:r>
        <w:rPr>
          <w:iCs/>
          <w:i/>
        </w:rPr>
        <w:t xml:space="preserve"> </w:t>
      </w:r>
      <w:r>
        <w:rPr>
          <w:iCs/>
          <w:i/>
        </w:rPr>
        <w:t xml:space="preserve">Dialog</w:t>
      </w:r>
      <w:r>
        <w:t xml:space="preserve">.</w:t>
      </w:r>
      <w:r>
        <w:t xml:space="preserve"> </w:t>
      </w:r>
      <w:r>
        <w:t xml:space="preserve">Newbury Park, Calif</w:t>
      </w:r>
      <w:r>
        <w:t xml:space="preserve">:</w:t>
      </w:r>
      <w:r>
        <w:t xml:space="preserve"> </w:t>
      </w:r>
      <w:r>
        <w:t xml:space="preserve">Sage Publications</w:t>
      </w:r>
      <w:r>
        <w:t xml:space="preserve">.</w:t>
      </w:r>
    </w:p>
    <w:bookmarkEnd w:id="188"/>
    <w:bookmarkStart w:id="190"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89">
        <w:r>
          <w:rPr>
            <w:rStyle w:val="Hyperlink"/>
          </w:rPr>
          <w:t xml:space="preserve">https://eppi.ioe.ac.uk/cms/Default.aspx?tabid=108</w:t>
        </w:r>
      </w:hyperlink>
      <w:r>
        <w:t xml:space="preserve">.</w:t>
      </w:r>
    </w:p>
    <w:bookmarkEnd w:id="190"/>
    <w:bookmarkStart w:id="192" w:name="Xb8f3a9a2f170bfdd5d9f8060668a5719d9f5be2"/>
    <w:p>
      <w:pPr>
        <w:pStyle w:val="Bibliography"/>
      </w:pPr>
      <w:r>
        <w:t xml:space="preserve">Held, Mirjam B. E. 2019.</w:t>
      </w:r>
      <w:r>
        <w:t xml:space="preserve"> </w:t>
      </w:r>
      <w:r>
        <w:t xml:space="preserve">“Decolonizing</w:t>
      </w:r>
      <w:r>
        <w:t xml:space="preserve"> </w:t>
      </w:r>
      <w:r>
        <w:t xml:space="preserve">Research Paradigms</w:t>
      </w:r>
      <w:r>
        <w:t xml:space="preserve"> </w:t>
      </w:r>
      <w:r>
        <w:t xml:space="preserve">in the</w:t>
      </w:r>
      <w:r>
        <w:t xml:space="preserve"> </w:t>
      </w:r>
      <w:r>
        <w:t xml:space="preserve">Context</w:t>
      </w:r>
      <w:r>
        <w:t xml:space="preserve"> </w:t>
      </w:r>
      <w:r>
        <w:t xml:space="preserve">of</w:t>
      </w:r>
      <w:r>
        <w:t xml:space="preserve"> </w:t>
      </w:r>
      <w:r>
        <w:t xml:space="preserve">Settler Colonialism</w:t>
      </w:r>
      <w:r>
        <w:t xml:space="preserve">:</w:t>
      </w:r>
      <w:r>
        <w:t xml:space="preserve"> </w:t>
      </w:r>
      <w:r>
        <w:t xml:space="preserve">An Unsettling</w:t>
      </w:r>
      <w:r>
        <w:t xml:space="preserve">,</w:t>
      </w:r>
      <w:r>
        <w:t xml:space="preserve"> </w:t>
      </w:r>
      <w:r>
        <w:t xml:space="preserve">Mutual</w:t>
      </w:r>
      <w:r>
        <w:t xml:space="preserve">, and</w:t>
      </w:r>
      <w:r>
        <w:t xml:space="preserve"> </w:t>
      </w:r>
      <w:r>
        <w:t xml:space="preserve">Collaborative Effort</w:t>
      </w:r>
      <w:r>
        <w:t xml:space="preserve">.”</w:t>
      </w:r>
      <w:r>
        <w:t xml:space="preserve"> </w:t>
      </w:r>
      <w:r>
        <w:rPr>
          <w:iCs/>
          <w:i/>
        </w:rPr>
        <w:t xml:space="preserve">International Journal of Qualitative Methods</w:t>
      </w:r>
      <w:r>
        <w:t xml:space="preserve"> </w:t>
      </w:r>
      <w:r>
        <w:t xml:space="preserve">18 (January).</w:t>
      </w:r>
      <w:r>
        <w:t xml:space="preserve"> </w:t>
      </w:r>
      <w:hyperlink r:id="rId191">
        <w:r>
          <w:rPr>
            <w:rStyle w:val="Hyperlink"/>
          </w:rPr>
          <w:t xml:space="preserve">https://doi.org/10.1177/1609406918821574</w:t>
        </w:r>
      </w:hyperlink>
      <w:r>
        <w:t xml:space="preserve">.</w:t>
      </w:r>
    </w:p>
    <w:bookmarkEnd w:id="192"/>
    <w:bookmarkStart w:id="194"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93">
        <w:r>
          <w:rPr>
            <w:rStyle w:val="Hyperlink"/>
          </w:rPr>
          <w:t xml:space="preserve">https://doi.org/gfjsvn</w:t>
        </w:r>
      </w:hyperlink>
      <w:r>
        <w:t xml:space="preserve">.</w:t>
      </w:r>
    </w:p>
    <w:bookmarkEnd w:id="194"/>
    <w:bookmarkStart w:id="196" w:name="ref-hibbertsCommonSurveySampling2012"/>
    <w:p>
      <w:pPr>
        <w:pStyle w:val="Bibliography"/>
      </w:pPr>
      <w:r>
        <w:t xml:space="preserve">Hibberts, Mary, R. Burke Johnson, and Kenneth Hudson. 2012.</w:t>
      </w:r>
      <w:r>
        <w:t xml:space="preserve"> </w:t>
      </w:r>
      <w:r>
        <w:t xml:space="preserve">“Common</w:t>
      </w:r>
      <w:r>
        <w:t xml:space="preserve"> </w:t>
      </w:r>
      <w:r>
        <w:t xml:space="preserve">Survey Sampling Techniques</w:t>
      </w:r>
      <w:r>
        <w:t xml:space="preserve">.”</w:t>
      </w:r>
      <w:r>
        <w:t xml:space="preserve"> </w:t>
      </w:r>
      <w:r>
        <w:t xml:space="preserve">In</w:t>
      </w:r>
      <w:r>
        <w:t xml:space="preserve"> </w:t>
      </w:r>
      <w:r>
        <w:rPr>
          <w:iCs/>
          <w:i/>
        </w:rPr>
        <w:t xml:space="preserve">Handbook of</w:t>
      </w:r>
      <w:r>
        <w:rPr>
          <w:iCs/>
          <w:i/>
        </w:rPr>
        <w:t xml:space="preserve"> </w:t>
      </w:r>
      <w:r>
        <w:rPr>
          <w:iCs/>
          <w:i/>
        </w:rPr>
        <w:t xml:space="preserve">Survey Methodology</w:t>
      </w:r>
      <w:r>
        <w:rPr>
          <w:iCs/>
          <w:i/>
        </w:rPr>
        <w:t xml:space="preserve"> </w:t>
      </w:r>
      <w:r>
        <w:rPr>
          <w:iCs/>
          <w:i/>
        </w:rPr>
        <w:t xml:space="preserve">for the</w:t>
      </w:r>
      <w:r>
        <w:rPr>
          <w:iCs/>
          <w:i/>
        </w:rPr>
        <w:t xml:space="preserve"> </w:t>
      </w:r>
      <w:r>
        <w:rPr>
          <w:iCs/>
          <w:i/>
        </w:rPr>
        <w:t xml:space="preserve">Social Sciences</w:t>
      </w:r>
      <w:r>
        <w:t xml:space="preserve">, edited by Lior Gideon, 53–74.</w:t>
      </w:r>
      <w:r>
        <w:t xml:space="preserve"> </w:t>
      </w:r>
      <w:r>
        <w:t xml:space="preserve">New York, NY</w:t>
      </w:r>
      <w:r>
        <w:t xml:space="preserve">:</w:t>
      </w:r>
      <w:r>
        <w:t xml:space="preserve"> </w:t>
      </w:r>
      <w:r>
        <w:t xml:space="preserve">Springer New York</w:t>
      </w:r>
      <w:r>
        <w:t xml:space="preserve">.</w:t>
      </w:r>
      <w:r>
        <w:t xml:space="preserve"> </w:t>
      </w:r>
      <w:hyperlink r:id="rId195">
        <w:r>
          <w:rPr>
            <w:rStyle w:val="Hyperlink"/>
          </w:rPr>
          <w:t xml:space="preserve">https://doi.org/10.1007/978-1-4614-3876-2_5</w:t>
        </w:r>
      </w:hyperlink>
      <w:r>
        <w:t xml:space="preserve">.</w:t>
      </w:r>
    </w:p>
    <w:bookmarkEnd w:id="196"/>
    <w:bookmarkStart w:id="198" w:name="ref-iannoneImpactHighStakes2020"/>
    <w:p>
      <w:pPr>
        <w:pStyle w:val="Bibliography"/>
      </w:pPr>
      <w:r>
        <w:t xml:space="preserve">Iannone, Paola, Christoph Czichowsky, and Johannes Ruf. 2020.</w:t>
      </w:r>
      <w:r>
        <w:t xml:space="preserve"> </w:t>
      </w:r>
      <w:r>
        <w:t xml:space="preserve">“The Impact of High Stakes Oral Performance Assessment on Students’ Approaches to Learning: A Case Study.”</w:t>
      </w:r>
      <w:r>
        <w:t xml:space="preserve"> </w:t>
      </w:r>
      <w:r>
        <w:rPr>
          <w:iCs/>
          <w:i/>
        </w:rPr>
        <w:t xml:space="preserve">Educational Studies in Mathematics</w:t>
      </w:r>
      <w:r>
        <w:t xml:space="preserve"> </w:t>
      </w:r>
      <w:r>
        <w:t xml:space="preserve">103 (3): 313–37.</w:t>
      </w:r>
      <w:r>
        <w:t xml:space="preserve"> </w:t>
      </w:r>
      <w:hyperlink r:id="rId197">
        <w:r>
          <w:rPr>
            <w:rStyle w:val="Hyperlink"/>
          </w:rPr>
          <w:t xml:space="preserve">https://doi.org/gmcvbf</w:t>
        </w:r>
      </w:hyperlink>
      <w:r>
        <w:t xml:space="preserve">.</w:t>
      </w:r>
    </w:p>
    <w:bookmarkEnd w:id="198"/>
    <w:bookmarkStart w:id="200"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99">
        <w:r>
          <w:rPr>
            <w:rStyle w:val="Hyperlink"/>
          </w:rPr>
          <w:t xml:space="preserve">https://er.educause.edu/articles/2020/10/the-landscape-of-merging-modalities</w:t>
        </w:r>
      </w:hyperlink>
      <w:r>
        <w:t xml:space="preserve">.</w:t>
      </w:r>
    </w:p>
    <w:bookmarkEnd w:id="200"/>
    <w:bookmarkStart w:id="202" w:name="ref-jamiesonLikertScalesHow2004"/>
    <w:p>
      <w:pPr>
        <w:pStyle w:val="Bibliography"/>
      </w:pPr>
      <w:r>
        <w:t xml:space="preserve">Jamieson, Susan. 2004.</w:t>
      </w:r>
      <w:r>
        <w:t xml:space="preserve"> </w:t>
      </w:r>
      <w:r>
        <w:t xml:space="preserve">“Likert Scales: How to (Ab)use Them.”</w:t>
      </w:r>
      <w:r>
        <w:t xml:space="preserve"> </w:t>
      </w:r>
      <w:r>
        <w:rPr>
          <w:iCs/>
          <w:i/>
        </w:rPr>
        <w:t xml:space="preserve">Medical Education</w:t>
      </w:r>
      <w:r>
        <w:t xml:space="preserve"> </w:t>
      </w:r>
      <w:r>
        <w:t xml:space="preserve">38 (12): 1217–18.</w:t>
      </w:r>
      <w:r>
        <w:t xml:space="preserve"> </w:t>
      </w:r>
      <w:hyperlink r:id="rId201">
        <w:r>
          <w:rPr>
            <w:rStyle w:val="Hyperlink"/>
          </w:rPr>
          <w:t xml:space="preserve">https://doi.org/b5gxwx</w:t>
        </w:r>
      </w:hyperlink>
      <w:r>
        <w:t xml:space="preserve">.</w:t>
      </w:r>
    </w:p>
    <w:bookmarkEnd w:id="202"/>
    <w:bookmarkStart w:id="204" w:name="X2a9d46c1f6093f71abf8d69f6e33d54cbf46084"/>
    <w:p>
      <w:pPr>
        <w:pStyle w:val="Bibliography"/>
      </w:pPr>
      <w:r>
        <w:t xml:space="preserve">Jarr, Karoline Ann. 2012.</w:t>
      </w:r>
      <w:r>
        <w:t xml:space="preserve"> </w:t>
      </w:r>
      <w:r>
        <w:t xml:space="preserve">“Education Practitioners’ Interpretation and Use of Assessment Results.”</w:t>
      </w:r>
      <w:r>
        <w:t xml:space="preserve"> </w:t>
      </w:r>
      <w:r>
        <w:t xml:space="preserve">Doctor of Philosophy,</w:t>
      </w:r>
      <w:r>
        <w:t xml:space="preserve"> </w:t>
      </w:r>
      <w:r>
        <w:t xml:space="preserve">University of Iowa</w:t>
      </w:r>
      <w:r>
        <w:t xml:space="preserve">.</w:t>
      </w:r>
      <w:r>
        <w:t xml:space="preserve"> </w:t>
      </w:r>
      <w:hyperlink r:id="rId203">
        <w:r>
          <w:rPr>
            <w:rStyle w:val="Hyperlink"/>
          </w:rPr>
          <w:t xml:space="preserve">https://doi.org/10.17077/etd.35vh2oc1</w:t>
        </w:r>
      </w:hyperlink>
      <w:r>
        <w:t xml:space="preserve">.</w:t>
      </w:r>
    </w:p>
    <w:bookmarkEnd w:id="204"/>
    <w:bookmarkStart w:id="205" w:name="Xa4c49e3464cfac336b39022a66be02a09c2ed7e"/>
    <w:p>
      <w:pPr>
        <w:pStyle w:val="Bibliography"/>
      </w:pPr>
      <w:r>
        <w:t xml:space="preserve">Johnson, R. Burke, and Larry Christensen. 2017.</w:t>
      </w:r>
      <w:r>
        <w:t xml:space="preserve"> </w:t>
      </w:r>
      <w:r>
        <w:rPr>
          <w:iCs/>
          <w:i/>
        </w:rPr>
        <w:t xml:space="preserve">Educational Research:</w:t>
      </w:r>
      <w:r>
        <w:rPr>
          <w:iCs/>
          <w:i/>
        </w:rPr>
        <w:t xml:space="preserve"> </w:t>
      </w:r>
      <w:r>
        <w:rPr>
          <w:iCs/>
          <w:i/>
        </w:rPr>
        <w:t xml:space="preserve">Quantitative</w:t>
      </w:r>
      <w:r>
        <w:rPr>
          <w:iCs/>
          <w:i/>
        </w:rPr>
        <w:t xml:space="preserve">, Qualitative and Mixed Approaches</w:t>
      </w:r>
      <w:r>
        <w:t xml:space="preserve">. 6th ed.</w:t>
      </w:r>
      <w:r>
        <w:t xml:space="preserve"> </w:t>
      </w:r>
      <w:r>
        <w:t xml:space="preserve">Thousand Oaks, CA</w:t>
      </w:r>
      <w:r>
        <w:t xml:space="preserve">:</w:t>
      </w:r>
      <w:r>
        <w:t xml:space="preserve"> </w:t>
      </w:r>
      <w:r>
        <w:t xml:space="preserve">Sage Publications</w:t>
      </w:r>
      <w:r>
        <w:t xml:space="preserve">.</w:t>
      </w:r>
    </w:p>
    <w:bookmarkEnd w:id="205"/>
    <w:bookmarkStart w:id="207" w:name="ref-johnsonMixedMethodsResearch2004"/>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 </w:t>
      </w:r>
      <w:r>
        <w:t xml:space="preserve">33 (7): 14–26.</w:t>
      </w:r>
      <w:r>
        <w:t xml:space="preserve"> </w:t>
      </w:r>
      <w:hyperlink r:id="rId206">
        <w:r>
          <w:rPr>
            <w:rStyle w:val="Hyperlink"/>
          </w:rPr>
          <w:t xml:space="preserve">https://doi.org/cg679w</w:t>
        </w:r>
      </w:hyperlink>
      <w:r>
        <w:t xml:space="preserve">.</w:t>
      </w:r>
    </w:p>
    <w:bookmarkEnd w:id="207"/>
    <w:bookmarkStart w:id="209" w:name="ref-johnsonDefinitionMixedMethods2007"/>
    <w:p>
      <w:pPr>
        <w:pStyle w:val="Bibliography"/>
      </w:pPr>
      <w:r>
        <w:t xml:space="preserve">Johnson, R. Burke, Anthony J. Onwuegbuzie, and Lisa A. Turner. 2007.</w:t>
      </w:r>
      <w:r>
        <w:t xml:space="preserve"> </w:t>
      </w:r>
      <w:r>
        <w:t xml:space="preserve">“Toward a Definition of Mixed Methods Research.”</w:t>
      </w:r>
      <w:r>
        <w:t xml:space="preserve"> </w:t>
      </w:r>
      <w:r>
        <w:rPr>
          <w:iCs/>
          <w:i/>
        </w:rPr>
        <w:t xml:space="preserve">Journal of Mixed Methods Research</w:t>
      </w:r>
      <w:r>
        <w:t xml:space="preserve"> </w:t>
      </w:r>
      <w:r>
        <w:t xml:space="preserve">1 (April): 112–33.</w:t>
      </w:r>
      <w:r>
        <w:t xml:space="preserve"> </w:t>
      </w:r>
      <w:hyperlink r:id="rId208">
        <w:r>
          <w:rPr>
            <w:rStyle w:val="Hyperlink"/>
          </w:rPr>
          <w:t xml:space="preserve">https://doi.org/10.1177/1558689806298224</w:t>
        </w:r>
      </w:hyperlink>
      <w:r>
        <w:t xml:space="preserve">.</w:t>
      </w:r>
    </w:p>
    <w:bookmarkEnd w:id="209"/>
    <w:bookmarkStart w:id="211"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210">
        <w:r>
          <w:rPr>
            <w:rStyle w:val="Hyperlink"/>
          </w:rPr>
          <w:t xml:space="preserve">https://doi.org/gk36pd</w:t>
        </w:r>
      </w:hyperlink>
      <w:r>
        <w:t xml:space="preserve">.</w:t>
      </w:r>
    </w:p>
    <w:bookmarkEnd w:id="211"/>
    <w:bookmarkStart w:id="213"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212">
        <w:r>
          <w:rPr>
            <w:rStyle w:val="Hyperlink"/>
          </w:rPr>
          <w:t xml:space="preserve">https://www.amazon.ca/Classroom-Assessment-Standards-PreK-12-Teachers-ebook/dp/B00V6C9RVO?asin=B00V6C9RVO&amp;revisionId=d45424dd&amp;format=1&amp;depth=1</w:t>
        </w:r>
      </w:hyperlink>
      <w:r>
        <w:t xml:space="preserve">.</w:t>
      </w:r>
    </w:p>
    <w:bookmarkEnd w:id="213"/>
    <w:bookmarkStart w:id="215"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214">
        <w:r>
          <w:rPr>
            <w:rStyle w:val="Hyperlink"/>
          </w:rPr>
          <w:t xml:space="preserve">https://doi.org/b25nb2</w:t>
        </w:r>
      </w:hyperlink>
      <w:r>
        <w:t xml:space="preserve">.</w:t>
      </w:r>
    </w:p>
    <w:bookmarkEnd w:id="215"/>
    <w:bookmarkStart w:id="217"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216">
        <w:r>
          <w:rPr>
            <w:rStyle w:val="Hyperlink"/>
          </w:rPr>
          <w:t xml:space="preserve">https://doi.org/ghgzp9</w:t>
        </w:r>
      </w:hyperlink>
      <w:r>
        <w:t xml:space="preserve">.</w:t>
      </w:r>
    </w:p>
    <w:bookmarkEnd w:id="217"/>
    <w:bookmarkStart w:id="219"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218">
        <w:r>
          <w:rPr>
            <w:rStyle w:val="Hyperlink"/>
          </w:rPr>
          <w:t xml:space="preserve">https://doi.org/ghjw3k</w:t>
        </w:r>
      </w:hyperlink>
      <w:r>
        <w:t xml:space="preserve">.</w:t>
      </w:r>
    </w:p>
    <w:bookmarkEnd w:id="219"/>
    <w:bookmarkStart w:id="221"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220">
        <w:r>
          <w:rPr>
            <w:rStyle w:val="Hyperlink"/>
          </w:rPr>
          <w:t xml:space="preserve">https://doi.org/gj5ngz</w:t>
        </w:r>
      </w:hyperlink>
      <w:r>
        <w:t xml:space="preserve">.</w:t>
      </w:r>
    </w:p>
    <w:bookmarkEnd w:id="221"/>
    <w:bookmarkStart w:id="223" w:name="ref-mckimValueMixedMethods2017"/>
    <w:p>
      <w:pPr>
        <w:pStyle w:val="Bibliography"/>
      </w:pPr>
      <w:r>
        <w:t xml:space="preserve">McKim, Courtney A. 2017.</w:t>
      </w:r>
      <w:r>
        <w:t xml:space="preserve"> </w:t>
      </w:r>
      <w:r>
        <w:t xml:space="preserve">“The</w:t>
      </w:r>
      <w:r>
        <w:t xml:space="preserve"> </w:t>
      </w:r>
      <w:r>
        <w:t xml:space="preserve">Value</w:t>
      </w:r>
      <w:r>
        <w:t xml:space="preserve"> </w:t>
      </w:r>
      <w:r>
        <w:t xml:space="preserve">of</w:t>
      </w:r>
      <w:r>
        <w:t xml:space="preserve"> </w:t>
      </w:r>
      <w:r>
        <w:t xml:space="preserve">Mixed Methods Research</w:t>
      </w:r>
      <w:r>
        <w:t xml:space="preserve">:</w:t>
      </w:r>
      <w:r>
        <w:t xml:space="preserve"> </w:t>
      </w:r>
      <w:r>
        <w:t xml:space="preserve">A Mixed Methods Study</w:t>
      </w:r>
      <w:r>
        <w:t xml:space="preserve">.”</w:t>
      </w:r>
      <w:r>
        <w:t xml:space="preserve"> </w:t>
      </w:r>
      <w:r>
        <w:rPr>
          <w:iCs/>
          <w:i/>
        </w:rPr>
        <w:t xml:space="preserve">Journal of Mixed Methods Research</w:t>
      </w:r>
      <w:r>
        <w:t xml:space="preserve"> </w:t>
      </w:r>
      <w:r>
        <w:t xml:space="preserve">11 (2): 202–22.</w:t>
      </w:r>
      <w:r>
        <w:t xml:space="preserve"> </w:t>
      </w:r>
      <w:hyperlink r:id="rId222">
        <w:r>
          <w:rPr>
            <w:rStyle w:val="Hyperlink"/>
          </w:rPr>
          <w:t xml:space="preserve">https://doi.org/f952f7</w:t>
        </w:r>
      </w:hyperlink>
      <w:r>
        <w:t xml:space="preserve">.</w:t>
      </w:r>
    </w:p>
    <w:bookmarkEnd w:id="223"/>
    <w:bookmarkStart w:id="225"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224">
        <w:r>
          <w:rPr>
            <w:rStyle w:val="Hyperlink"/>
          </w:rPr>
          <w:t xml:space="preserve">https://doi.org/gk5sph</w:t>
        </w:r>
      </w:hyperlink>
      <w:r>
        <w:t xml:space="preserve">.</w:t>
      </w:r>
    </w:p>
    <w:bookmarkEnd w:id="225"/>
    <w:bookmarkStart w:id="227" w:name="X24013df94dd1bbf663d248dde1bf7cb672f12ec"/>
    <w:p>
      <w:pPr>
        <w:pStyle w:val="Bibliography"/>
      </w:pPr>
      <w:r>
        <w:t xml:space="preserve">———. 2019.</w:t>
      </w:r>
      <w:r>
        <w:t xml:space="preserve"> </w:t>
      </w:r>
      <w:r>
        <w:t xml:space="preserve">“</w:t>
      </w:r>
      <w:r>
        <w:t xml:space="preserve">‘</w:t>
      </w:r>
      <w:r>
        <w:t xml:space="preserve">I</w:t>
      </w:r>
      <w:r>
        <w:t xml:space="preserve">’m an Assessment Illiterate’</w:t>
      </w:r>
      <w:r>
        <w:t xml:space="preserve">: Towards a Shared Discourse of Assessment Literacy for External Examiners.”</w:t>
      </w:r>
      <w:r>
        <w:t xml:space="preserve"> </w:t>
      </w:r>
      <w:r>
        <w:rPr>
          <w:iCs/>
          <w:i/>
        </w:rPr>
        <w:t xml:space="preserve">Assessment &amp; Evaluation in Higher Education</w:t>
      </w:r>
      <w:r>
        <w:t xml:space="preserve"> </w:t>
      </w:r>
      <w:r>
        <w:t xml:space="preserve">44 (4): 565–80.</w:t>
      </w:r>
      <w:r>
        <w:t xml:space="preserve"> </w:t>
      </w:r>
      <w:hyperlink r:id="rId226">
        <w:r>
          <w:rPr>
            <w:rStyle w:val="Hyperlink"/>
          </w:rPr>
          <w:t xml:space="preserve">https://doi.org/gj47j3</w:t>
        </w:r>
      </w:hyperlink>
      <w:r>
        <w:t xml:space="preserve">.</w:t>
      </w:r>
    </w:p>
    <w:bookmarkEnd w:id="227"/>
    <w:bookmarkStart w:id="229" w:name="Xfbd32ce8d0c6cca37cc61f1c91c0db48fed46a2"/>
    <w:p>
      <w:pPr>
        <w:pStyle w:val="Bibliography"/>
      </w:pPr>
      <w:r>
        <w:t xml:space="preserve">Mertler, Craig A, and Cynthia Campbell. 2005.</w:t>
      </w:r>
      <w:r>
        <w:t xml:space="preserve"> </w:t>
      </w:r>
      <w:r>
        <w:t xml:space="preserve">“Measuring</w:t>
      </w:r>
      <w:r>
        <w:t xml:space="preserve"> </w:t>
      </w:r>
      <w:r>
        <w:t xml:space="preserve">Teachers</w:t>
      </w:r>
      <w:r>
        <w:t xml:space="preserve">’</w:t>
      </w:r>
      <w:r>
        <w:t xml:space="preserve"> </w:t>
      </w:r>
      <w:r>
        <w:t xml:space="preserve">Knowledge</w:t>
      </w:r>
      <w:r>
        <w:t xml:space="preserve"> </w:t>
      </w:r>
      <w:r>
        <w:t xml:space="preserve">&amp;</w:t>
      </w:r>
      <w:r>
        <w:t xml:space="preserve"> </w:t>
      </w:r>
      <w:r>
        <w:t xml:space="preserve">Application</w:t>
      </w:r>
      <w:r>
        <w:t xml:space="preserve"> </w:t>
      </w:r>
      <w:r>
        <w:t xml:space="preserve">of</w:t>
      </w:r>
      <w:r>
        <w:t xml:space="preserve"> </w:t>
      </w:r>
      <w:r>
        <w:t xml:space="preserve">Classroom Assessment Concepts</w:t>
      </w:r>
      <w:r>
        <w:t xml:space="preserve">:</w:t>
      </w:r>
      <w:r>
        <w:t xml:space="preserve"> </w:t>
      </w:r>
      <w:r>
        <w:t xml:space="preserve">Development</w:t>
      </w:r>
      <w:r>
        <w:t xml:space="preserve"> </w:t>
      </w:r>
      <w:r>
        <w:t xml:space="preserve">of the "</w:t>
      </w:r>
      <w:r>
        <w:t xml:space="preserve">Assessment Literacy Inventory</w:t>
      </w:r>
      <w:r>
        <w:t xml:space="preserve">".”</w:t>
      </w:r>
      <w:r>
        <w:t xml:space="preserve"> </w:t>
      </w:r>
      <w:r>
        <w:t xml:space="preserve">Presented at the Annual</w:t>
      </w:r>
      <w:r>
        <w:t xml:space="preserve"> </w:t>
      </w:r>
      <w:r>
        <w:t xml:space="preserve">Meeting</w:t>
      </w:r>
      <w:r>
        <w:t xml:space="preserve"> </w:t>
      </w:r>
      <w:r>
        <w:t xml:space="preserve">of the</w:t>
      </w:r>
      <w:r>
        <w:t xml:space="preserve"> </w:t>
      </w:r>
      <w:r>
        <w:t xml:space="preserve">American Educational Research Association</w:t>
      </w:r>
      <w:r>
        <w:t xml:space="preserve">,</w:t>
      </w:r>
      <w:r>
        <w:t xml:space="preserve"> </w:t>
      </w:r>
      <w:r>
        <w:t xml:space="preserve">Montreal, QC, CA</w:t>
      </w:r>
      <w:r>
        <w:t xml:space="preserve">, April 11–15.</w:t>
      </w:r>
      <w:r>
        <w:t xml:space="preserve"> </w:t>
      </w:r>
      <w:hyperlink r:id="rId228">
        <w:r>
          <w:rPr>
            <w:rStyle w:val="Hyperlink"/>
          </w:rPr>
          <w:t xml:space="preserve">https://eric.ed.gov/?id=ED490355</w:t>
        </w:r>
      </w:hyperlink>
      <w:r>
        <w:t xml:space="preserve">.</w:t>
      </w:r>
    </w:p>
    <w:bookmarkEnd w:id="229"/>
    <w:bookmarkStart w:id="231"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230">
        <w:r>
          <w:rPr>
            <w:rStyle w:val="Hyperlink"/>
          </w:rPr>
          <w:t xml:space="preserve">https://doi.org/gjm236</w:t>
        </w:r>
      </w:hyperlink>
      <w:r>
        <w:t xml:space="preserve">.</w:t>
      </w:r>
    </w:p>
    <w:bookmarkEnd w:id="231"/>
    <w:bookmarkStart w:id="232" w:name="ref-nameyDataReductionTechniques2008"/>
    <w:p>
      <w:pPr>
        <w:pStyle w:val="Bibliography"/>
      </w:pPr>
      <w:r>
        <w:t xml:space="preserve">Namey, Emily, Greg Guest, Lucy Thairu, and Laura Johnson. 2008.</w:t>
      </w:r>
      <w:r>
        <w:t xml:space="preserve"> </w:t>
      </w:r>
      <w:r>
        <w:t xml:space="preserve">“Data Reduction Techniques for Large Qualitative Data Sets.”</w:t>
      </w:r>
      <w:r>
        <w:t xml:space="preserve"> </w:t>
      </w:r>
      <w:r>
        <w:t xml:space="preserve">In</w:t>
      </w:r>
      <w:r>
        <w:t xml:space="preserve"> </w:t>
      </w:r>
      <w:r>
        <w:rPr>
          <w:iCs/>
          <w:i/>
        </w:rPr>
        <w:t xml:space="preserve">Handbook for</w:t>
      </w:r>
      <w:r>
        <w:rPr>
          <w:iCs/>
          <w:i/>
        </w:rPr>
        <w:t xml:space="preserve"> </w:t>
      </w:r>
      <w:r>
        <w:rPr>
          <w:iCs/>
          <w:i/>
        </w:rPr>
        <w:t xml:space="preserve">Team</w:t>
      </w:r>
      <w:r>
        <w:rPr>
          <w:iCs/>
          <w:i/>
        </w:rPr>
        <w:t xml:space="preserve">-</w:t>
      </w:r>
      <w:r>
        <w:rPr>
          <w:iCs/>
          <w:i/>
        </w:rPr>
        <w:t xml:space="preserve">Based Qualitative Research</w:t>
      </w:r>
      <w:r>
        <w:t xml:space="preserve">, 137–62.</w:t>
      </w:r>
    </w:p>
    <w:bookmarkEnd w:id="232"/>
    <w:bookmarkStart w:id="234"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233">
        <w:r>
          <w:rPr>
            <w:rStyle w:val="Hyperlink"/>
          </w:rPr>
          <w:t xml:space="preserve">https://doi.org/cgqtqx</w:t>
        </w:r>
      </w:hyperlink>
      <w:r>
        <w:t xml:space="preserve">.</w:t>
      </w:r>
    </w:p>
    <w:bookmarkEnd w:id="234"/>
    <w:bookmarkStart w:id="236" w:name="X2e9d1b0270cc3e67622e0de93917b7ce91abfb6"/>
    <w:p>
      <w:pPr>
        <w:pStyle w:val="Bibliography"/>
      </w:pPr>
      <w:r>
        <w:t xml:space="preserve">Nayagi N, Kothai, and M. Rajendran. 2020.</w:t>
      </w:r>
      <w:r>
        <w:t xml:space="preserve"> </w:t>
      </w:r>
      <w:r>
        <w:t xml:space="preserve">“Pre-Service Teachers’ Approaches to Assessment.”</w:t>
      </w:r>
      <w:r>
        <w:t xml:space="preserve"> </w:t>
      </w:r>
      <w:r>
        <w:rPr>
          <w:iCs/>
          <w:i/>
        </w:rPr>
        <w:t xml:space="preserve">Humanities &amp; Social Sciences Reviews</w:t>
      </w:r>
      <w:r>
        <w:t xml:space="preserve"> </w:t>
      </w:r>
      <w:r>
        <w:t xml:space="preserve">8 (1): 666–73.</w:t>
      </w:r>
      <w:r>
        <w:t xml:space="preserve"> </w:t>
      </w:r>
      <w:hyperlink r:id="rId235">
        <w:r>
          <w:rPr>
            <w:rStyle w:val="Hyperlink"/>
          </w:rPr>
          <w:t xml:space="preserve">https://doi.org/10.18510/hssr.2020.8180</w:t>
        </w:r>
      </w:hyperlink>
      <w:r>
        <w:t xml:space="preserve">.</w:t>
      </w:r>
    </w:p>
    <w:bookmarkEnd w:id="236"/>
    <w:bookmarkStart w:id="237" w:name="X2a2fdb822679cb457d03d450d5e80df0d02eddb"/>
    <w:p>
      <w:pPr>
        <w:pStyle w:val="Bibliography"/>
      </w:pPr>
      <w:r>
        <w:t xml:space="preserve">Nicholson, Dawn Theresa. 2018.</w:t>
      </w:r>
      <w:r>
        <w:t xml:space="preserve"> </w:t>
      </w:r>
      <w:r>
        <w:t xml:space="preserve">“Enhancing Student Engagement Through Online Portfolio Assessment.”</w:t>
      </w:r>
      <w:r>
        <w:t xml:space="preserve"> </w:t>
      </w:r>
      <w:r>
        <w:rPr>
          <w:iCs/>
          <w:i/>
        </w:rPr>
        <w:t xml:space="preserve">Practitioner Research in Higher Education</w:t>
      </w:r>
      <w:r>
        <w:t xml:space="preserve"> </w:t>
      </w:r>
      <w:r>
        <w:t xml:space="preserve">11 (1): 15–31.</w:t>
      </w:r>
    </w:p>
    <w:bookmarkEnd w:id="237"/>
    <w:bookmarkStart w:id="239" w:name="X7fc34501dcad97870adec0d2e3aefa7977be738"/>
    <w:p>
      <w:pPr>
        <w:pStyle w:val="Bibliography"/>
      </w:pPr>
      <w:r>
        <w:t xml:space="preserve">Niglas, Katrin. 2010.</w:t>
      </w:r>
      <w:r>
        <w:t xml:space="preserve"> </w:t>
      </w:r>
      <w:r>
        <w:t xml:space="preserve">“The</w:t>
      </w:r>
      <w:r>
        <w:t xml:space="preserve"> </w:t>
      </w:r>
      <w:r>
        <w:t xml:space="preserve">Multidimensional Model</w:t>
      </w:r>
      <w:r>
        <w:t xml:space="preserve"> </w:t>
      </w:r>
      <w:r>
        <w:t xml:space="preserve">of</w:t>
      </w:r>
      <w:r>
        <w:t xml:space="preserve"> </w:t>
      </w:r>
      <w:r>
        <w:t xml:space="preserve">Research Methodology</w:t>
      </w:r>
      <w:r>
        <w:t xml:space="preserve">:</w:t>
      </w:r>
      <w:r>
        <w:t xml:space="preserve"> </w:t>
      </w:r>
      <w:r>
        <w:t xml:space="preserve">An Integrated Set</w:t>
      </w:r>
      <w:r>
        <w:t xml:space="preserve"> </w:t>
      </w:r>
      <w:r>
        <w:t xml:space="preserve">of</w:t>
      </w:r>
      <w:r>
        <w:t xml:space="preserve"> </w:t>
      </w:r>
      <w:r>
        <w:t xml:space="preserve">Continua</w:t>
      </w:r>
      <w:r>
        <w:t xml:space="preserve">.”</w:t>
      </w:r>
      <w:r>
        <w:t xml:space="preserve"> </w:t>
      </w:r>
      <w:r>
        <w:t xml:space="preserve">In</w:t>
      </w:r>
      <w:r>
        <w:t xml:space="preserve"> </w:t>
      </w:r>
      <w:r>
        <w:rPr>
          <w:iCs/>
          <w:i/>
        </w:rPr>
        <w:t xml:space="preserve">SAGE Handbook</w:t>
      </w:r>
      <w:r>
        <w:rPr>
          <w:iCs/>
          <w:i/>
        </w:rPr>
        <w:t xml:space="preserve"> </w:t>
      </w:r>
      <w:r>
        <w:rPr>
          <w:iCs/>
          <w:i/>
        </w:rPr>
        <w:t xml:space="preserve">of</w:t>
      </w:r>
      <w:r>
        <w:rPr>
          <w:iCs/>
          <w:i/>
        </w:rPr>
        <w:t xml:space="preserve"> </w:t>
      </w:r>
      <w:r>
        <w:rPr>
          <w:iCs/>
          <w:i/>
        </w:rPr>
        <w:t xml:space="preserve">Mixed Methods</w:t>
      </w:r>
      <w:r>
        <w:rPr>
          <w:iCs/>
          <w:i/>
        </w:rPr>
        <w:t xml:space="preserve"> </w:t>
      </w:r>
      <w:r>
        <w:rPr>
          <w:iCs/>
          <w:i/>
        </w:rPr>
        <w:t xml:space="preserve">in</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Research</w:t>
      </w:r>
      <w:r>
        <w:t xml:space="preserve">, edited by Abbas Tashakkori and Charles Teddlie, 215–36.</w:t>
      </w:r>
      <w:r>
        <w:t xml:space="preserve"> </w:t>
      </w:r>
      <w:r>
        <w:t xml:space="preserve">2455 Teller Road, Thousand Oaks California 91320 United States</w:t>
      </w:r>
      <w:r>
        <w:t xml:space="preserve">:</w:t>
      </w:r>
      <w:r>
        <w:t xml:space="preserve"> </w:t>
      </w:r>
      <w:r>
        <w:t xml:space="preserve">SAGE Publications, Inc.</w:t>
      </w:r>
      <w:r>
        <w:t xml:space="preserve"> </w:t>
      </w:r>
      <w:hyperlink r:id="rId238">
        <w:r>
          <w:rPr>
            <w:rStyle w:val="Hyperlink"/>
          </w:rPr>
          <w:t xml:space="preserve">http://methods.sagepub.com/book/sage-handbook-of-mixed-methods-social-behavioral-research-2e/n9.xml</w:t>
        </w:r>
      </w:hyperlink>
      <w:r>
        <w:t xml:space="preserve">.</w:t>
      </w:r>
    </w:p>
    <w:bookmarkEnd w:id="239"/>
    <w:bookmarkStart w:id="241"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240">
        <w:r>
          <w:rPr>
            <w:rStyle w:val="Hyperlink"/>
          </w:rPr>
          <w:t xml:space="preserve">https://doi.org/d89z7p</w:t>
        </w:r>
      </w:hyperlink>
      <w:r>
        <w:t xml:space="preserve">.</w:t>
      </w:r>
    </w:p>
    <w:bookmarkEnd w:id="241"/>
    <w:bookmarkStart w:id="243" w:name="ref-ogan-bekirogluPreServiceTeachers2014"/>
    <w:p>
      <w:pPr>
        <w:pStyle w:val="Bibliography"/>
      </w:pPr>
      <w:r>
        <w:t xml:space="preserve">Ogan‐Bekiroglu, Feral, and Erol Suzuk. 2014.</w:t>
      </w:r>
      <w:r>
        <w:t xml:space="preserve"> </w:t>
      </w:r>
      <w:r>
        <w:t xml:space="preserve">“Pre‐service Teachers’ Assessment Literacy and Its Implementation into Practice.”</w:t>
      </w:r>
      <w:r>
        <w:t xml:space="preserve"> </w:t>
      </w:r>
      <w:r>
        <w:rPr>
          <w:iCs/>
          <w:i/>
        </w:rPr>
        <w:t xml:space="preserve">The Curriculum Journal</w:t>
      </w:r>
      <w:r>
        <w:t xml:space="preserve"> </w:t>
      </w:r>
      <w:r>
        <w:t xml:space="preserve">25 (3): 344–71.</w:t>
      </w:r>
      <w:r>
        <w:t xml:space="preserve"> </w:t>
      </w:r>
      <w:hyperlink r:id="rId242">
        <w:r>
          <w:rPr>
            <w:rStyle w:val="Hyperlink"/>
          </w:rPr>
          <w:t xml:space="preserve">https://doi.org/gmdnfr</w:t>
        </w:r>
      </w:hyperlink>
      <w:r>
        <w:t xml:space="preserve">.</w:t>
      </w:r>
    </w:p>
    <w:bookmarkEnd w:id="243"/>
    <w:bookmarkStart w:id="245"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244">
        <w:r>
          <w:rPr>
            <w:rStyle w:val="Hyperlink"/>
          </w:rPr>
          <w:t xml:space="preserve">https://www.bristol.ac.uk/media-library/sites/education/documents/researchreview.pdf</w:t>
        </w:r>
      </w:hyperlink>
      <w:r>
        <w:t xml:space="preserve">.</w:t>
      </w:r>
    </w:p>
    <w:bookmarkEnd w:id="245"/>
    <w:bookmarkStart w:id="247"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246">
        <w:r>
          <w:rPr>
            <w:rStyle w:val="Hyperlink"/>
          </w:rPr>
          <w:t xml:space="preserve">https://doi.org/gh5k7b</w:t>
        </w:r>
      </w:hyperlink>
      <w:r>
        <w:t xml:space="preserve">.</w:t>
      </w:r>
    </w:p>
    <w:bookmarkEnd w:id="247"/>
    <w:bookmarkStart w:id="249"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248">
        <w:r>
          <w:rPr>
            <w:rStyle w:val="Hyperlink"/>
          </w:rPr>
          <w:t xml:space="preserve">https://doi.org/10.17226/10019</w:t>
        </w:r>
      </w:hyperlink>
      <w:r>
        <w:t xml:space="preserve">.</w:t>
      </w:r>
    </w:p>
    <w:bookmarkEnd w:id="249"/>
    <w:bookmarkStart w:id="251"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250">
        <w:r>
          <w:rPr>
            <w:rStyle w:val="Hyperlink"/>
          </w:rPr>
          <w:t xml:space="preserve">https://doi.org/ggfh8z</w:t>
        </w:r>
      </w:hyperlink>
      <w:r>
        <w:t xml:space="preserve">.</w:t>
      </w:r>
    </w:p>
    <w:bookmarkEnd w:id="251"/>
    <w:bookmarkStart w:id="253" w:name="X278251e0a83fa345cc114b9dd1fa371f66b53da"/>
    <w:p>
      <w:pPr>
        <w:pStyle w:val="Bibliography"/>
      </w:pPr>
      <w:r>
        <w:t xml:space="preserve">Pereira, Diana, Maria Assunção Flores, and Alexandra Barros. 2017.</w:t>
      </w:r>
      <w:r>
        <w:t xml:space="preserve"> </w:t>
      </w:r>
      <w:r>
        <w:t xml:space="preserve">“Perceptions of</w:t>
      </w:r>
      <w:r>
        <w:t xml:space="preserve"> </w:t>
      </w:r>
      <w:r>
        <w:t xml:space="preserve">Portuguese</w:t>
      </w:r>
      <w:r>
        <w:t xml:space="preserve"> </w:t>
      </w:r>
      <w:r>
        <w:t xml:space="preserve">Undergraduate Students about Assessment: A Study in Five Public Universities.”</w:t>
      </w:r>
      <w:r>
        <w:t xml:space="preserve"> </w:t>
      </w:r>
      <w:r>
        <w:rPr>
          <w:iCs/>
          <w:i/>
        </w:rPr>
        <w:t xml:space="preserve">Educational Studies</w:t>
      </w:r>
      <w:r>
        <w:t xml:space="preserve"> </w:t>
      </w:r>
      <w:r>
        <w:t xml:space="preserve">43 (4): 442–63.</w:t>
      </w:r>
      <w:r>
        <w:t xml:space="preserve"> </w:t>
      </w:r>
      <w:hyperlink r:id="rId252">
        <w:r>
          <w:rPr>
            <w:rStyle w:val="Hyperlink"/>
          </w:rPr>
          <w:t xml:space="preserve">https://doi.org/gmb98n</w:t>
        </w:r>
      </w:hyperlink>
      <w:r>
        <w:t xml:space="preserve">.</w:t>
      </w:r>
    </w:p>
    <w:bookmarkEnd w:id="253"/>
    <w:bookmarkStart w:id="255" w:name="ref-pereiraHowUndergraduatesPerceive2021"/>
    <w:p>
      <w:pPr>
        <w:pStyle w:val="Bibliography"/>
      </w:pPr>
      <w:r>
        <w:t xml:space="preserve">Pereira, Diana, Irene Cadime, Gavin Brown, and Maria Assunção Flores. 2021.</w:t>
      </w:r>
      <w:r>
        <w:t xml:space="preserve"> </w:t>
      </w:r>
      <w:r>
        <w:t xml:space="preserve">“How Do Undergraduates Perceive the Use of Assessment?</w:t>
      </w:r>
      <w:r>
        <w:t xml:space="preserve"> </w:t>
      </w:r>
      <w:r>
        <w:t xml:space="preserve">A</w:t>
      </w:r>
      <w:r>
        <w:t xml:space="preserve"> </w:t>
      </w:r>
      <w:r>
        <w:t xml:space="preserve">Study in Higher Education.”</w:t>
      </w:r>
      <w:r>
        <w:t xml:space="preserve"> </w:t>
      </w:r>
      <w:r>
        <w:rPr>
          <w:iCs/>
          <w:i/>
        </w:rPr>
        <w:t xml:space="preserve">European Journal of Higher Education</w:t>
      </w:r>
      <w:r>
        <w:t xml:space="preserve">, January, 1–17.</w:t>
      </w:r>
      <w:r>
        <w:t xml:space="preserve"> </w:t>
      </w:r>
      <w:hyperlink r:id="rId254">
        <w:r>
          <w:rPr>
            <w:rStyle w:val="Hyperlink"/>
          </w:rPr>
          <w:t xml:space="preserve">https://doi.org/gk36vq</w:t>
        </w:r>
      </w:hyperlink>
      <w:r>
        <w:t xml:space="preserve">.</w:t>
      </w:r>
    </w:p>
    <w:bookmarkEnd w:id="255"/>
    <w:bookmarkStart w:id="257" w:name="ref-plakeTeacherAssessmentLiteracy1993"/>
    <w:p>
      <w:pPr>
        <w:pStyle w:val="Bibliography"/>
      </w:pPr>
      <w:r>
        <w:t xml:space="preserve">Plake, Barbara S. 1993.</w:t>
      </w:r>
      <w:r>
        <w:t xml:space="preserve"> </w:t>
      </w:r>
      <w:r>
        <w:t xml:space="preserve">“Teacher Assessment Literacy:</w:t>
      </w:r>
      <w:r>
        <w:t xml:space="preserve"> </w:t>
      </w:r>
      <w:r>
        <w:t xml:space="preserve">Teachers</w:t>
      </w:r>
      <w:r>
        <w:t xml:space="preserve">’ Competencies in the Educational Assessment of Students.”</w:t>
      </w:r>
      <w:r>
        <w:t xml:space="preserve"> </w:t>
      </w:r>
      <w:r>
        <w:rPr>
          <w:iCs/>
          <w:i/>
        </w:rPr>
        <w:t xml:space="preserve">Mid-Western Educational Researcher</w:t>
      </w:r>
      <w:r>
        <w:t xml:space="preserve"> </w:t>
      </w:r>
      <w:r>
        <w:t xml:space="preserve">6 (1): 21–27.</w:t>
      </w:r>
      <w:r>
        <w:t xml:space="preserve"> </w:t>
      </w:r>
      <w:hyperlink r:id="rId256">
        <w:r>
          <w:rPr>
            <w:rStyle w:val="Hyperlink"/>
          </w:rPr>
          <w:t xml:space="preserve">http://www.mwera.org/MWER/documents/MWER-1993-Winter-6-1.pdf</w:t>
        </w:r>
      </w:hyperlink>
      <w:r>
        <w:t xml:space="preserve">.</w:t>
      </w:r>
    </w:p>
    <w:bookmarkEnd w:id="257"/>
    <w:bookmarkStart w:id="259" w:name="Xc5689adf9e7ca8c04511cb4ee64c8c4cc5ddf8e"/>
    <w:p>
      <w:pPr>
        <w:pStyle w:val="Bibliography"/>
      </w:pPr>
      <w:r>
        <w:t xml:space="preserve">Plake, Barbara S., James C. Impara, and Jennifer J. Fager. 2005.</w:t>
      </w:r>
      <w:r>
        <w:t xml:space="preserve"> </w:t>
      </w:r>
      <w:r>
        <w:t xml:space="preserve">“Assessment</w:t>
      </w:r>
      <w:r>
        <w:t xml:space="preserve"> </w:t>
      </w:r>
      <w:r>
        <w:t xml:space="preserve">Competencies</w:t>
      </w:r>
      <w:r>
        <w:t xml:space="preserve"> </w:t>
      </w:r>
      <w:r>
        <w:t xml:space="preserve">of</w:t>
      </w:r>
      <w:r>
        <w:t xml:space="preserve"> </w:t>
      </w:r>
      <w:r>
        <w:t xml:space="preserve">Teachers</w:t>
      </w:r>
      <w:r>
        <w:t xml:space="preserve">:</w:t>
      </w:r>
      <w:r>
        <w:t xml:space="preserve"> </w:t>
      </w:r>
      <w:r>
        <w:t xml:space="preserve">A National Survey</w:t>
      </w:r>
      <w:r>
        <w:t xml:space="preserve">.”</w:t>
      </w:r>
      <w:r>
        <w:t xml:space="preserve"> </w:t>
      </w:r>
      <w:r>
        <w:rPr>
          <w:iCs/>
          <w:i/>
        </w:rPr>
        <w:t xml:space="preserve">Educational Measurement: Issues and Practice</w:t>
      </w:r>
      <w:r>
        <w:t xml:space="preserve"> </w:t>
      </w:r>
      <w:r>
        <w:t xml:space="preserve">12 (4): 10–12.</w:t>
      </w:r>
      <w:r>
        <w:t xml:space="preserve"> </w:t>
      </w:r>
      <w:hyperlink r:id="rId258">
        <w:r>
          <w:rPr>
            <w:rStyle w:val="Hyperlink"/>
          </w:rPr>
          <w:t xml:space="preserve">https://doi.org/fw7g9p</w:t>
        </w:r>
      </w:hyperlink>
      <w:r>
        <w:t xml:space="preserve">.</w:t>
      </w:r>
    </w:p>
    <w:bookmarkEnd w:id="259"/>
    <w:bookmarkStart w:id="261"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260">
        <w:r>
          <w:rPr>
            <w:rStyle w:val="Hyperlink"/>
          </w:rPr>
          <w:t xml:space="preserve">https://doi.org/dctz5h</w:t>
        </w:r>
      </w:hyperlink>
      <w:r>
        <w:t xml:space="preserve">.</w:t>
      </w:r>
    </w:p>
    <w:bookmarkEnd w:id="261"/>
    <w:bookmarkStart w:id="262"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262"/>
    <w:bookmarkStart w:id="264"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263">
        <w:r>
          <w:rPr>
            <w:rStyle w:val="Hyperlink"/>
          </w:rPr>
          <w:t xml:space="preserve">https://doi.org/d4sz5m</w:t>
        </w:r>
      </w:hyperlink>
      <w:r>
        <w:t xml:space="preserve">.</w:t>
      </w:r>
    </w:p>
    <w:bookmarkEnd w:id="264"/>
    <w:bookmarkStart w:id="265" w:name="ref-rencklyAirUniversitySampling2002"/>
    <w:p>
      <w:pPr>
        <w:pStyle w:val="Bibliography"/>
      </w:pPr>
      <w:r>
        <w:t xml:space="preserve">Renckly, Thomas R. 2002.</w:t>
      </w:r>
      <w:r>
        <w:t xml:space="preserve"> </w:t>
      </w:r>
      <w:r>
        <w:rPr>
          <w:iCs/>
          <w:i/>
        </w:rPr>
        <w:t xml:space="preserve">Air</w:t>
      </w:r>
      <w:r>
        <w:rPr>
          <w:iCs/>
          <w:i/>
        </w:rPr>
        <w:t xml:space="preserve"> </w:t>
      </w:r>
      <w:r>
        <w:rPr>
          <w:iCs/>
          <w:i/>
        </w:rPr>
        <w:t xml:space="preserve">University Sampling</w:t>
      </w:r>
      <w:r>
        <w:rPr>
          <w:iCs/>
          <w:i/>
        </w:rPr>
        <w:t xml:space="preserve"> </w:t>
      </w:r>
      <w:r>
        <w:rPr>
          <w:iCs/>
          <w:i/>
        </w:rPr>
        <w:t xml:space="preserve">and</w:t>
      </w:r>
      <w:r>
        <w:rPr>
          <w:iCs/>
          <w:i/>
        </w:rPr>
        <w:t xml:space="preserve"> </w:t>
      </w:r>
      <w:r>
        <w:rPr>
          <w:iCs/>
          <w:i/>
        </w:rPr>
        <w:t xml:space="preserve">Surveying Handbook</w:t>
      </w:r>
      <w:r>
        <w:t xml:space="preserve">.</w:t>
      </w:r>
      <w:r>
        <w:t xml:space="preserve"> </w:t>
      </w:r>
      <w:r>
        <w:t xml:space="preserve">United States of America Department of Defense</w:t>
      </w:r>
      <w:r>
        <w:t xml:space="preserve">.</w:t>
      </w:r>
    </w:p>
    <w:bookmarkEnd w:id="265"/>
    <w:bookmarkStart w:id="267" w:name="X9107aa38217f38eb2a3cd58416130c5f29e300a"/>
    <w:p>
      <w:pPr>
        <w:pStyle w:val="Bibliography"/>
      </w:pPr>
      <w:r>
        <w:t xml:space="preserve">Schneider, Christoph, Christopher DeLuca, Marcela Pozas, and Andrew Coombs. 2020.</w:t>
      </w:r>
      <w:r>
        <w:t xml:space="preserve"> </w:t>
      </w:r>
      <w:r>
        <w:t xml:space="preserve">“Linking Personality to Teachers’ Literacy in Classroom Assessment: A Cross-Cultural Study.”</w:t>
      </w:r>
      <w:r>
        <w:t xml:space="preserve"> </w:t>
      </w:r>
      <w:r>
        <w:rPr>
          <w:iCs/>
          <w:i/>
        </w:rPr>
        <w:t xml:space="preserve">Educational Research and Evaluation</w:t>
      </w:r>
      <w:r>
        <w:t xml:space="preserve"> </w:t>
      </w:r>
      <w:r>
        <w:t xml:space="preserve">26 (1-2): 53–74.</w:t>
      </w:r>
      <w:r>
        <w:t xml:space="preserve"> </w:t>
      </w:r>
      <w:hyperlink r:id="rId266">
        <w:r>
          <w:rPr>
            <w:rStyle w:val="Hyperlink"/>
          </w:rPr>
          <w:t xml:space="preserve">https://doi.org/gk5r6r</w:t>
        </w:r>
      </w:hyperlink>
      <w:r>
        <w:t xml:space="preserve">.</w:t>
      </w:r>
    </w:p>
    <w:bookmarkEnd w:id="267"/>
    <w:bookmarkStart w:id="269" w:name="ref-scrivenMethodologyEvaluation1967"/>
    <w:p>
      <w:pPr>
        <w:pStyle w:val="Bibliography"/>
      </w:pPr>
      <w:r>
        <w:t xml:space="preserve">Scriven, Michael. 1967.</w:t>
      </w:r>
      <w:r>
        <w:t xml:space="preserve"> </w:t>
      </w:r>
      <w:r>
        <w:t xml:space="preserve">“</w:t>
      </w:r>
      <w:hyperlink r:id="rId268">
        <w:r>
          <w:rPr>
            <w:rStyle w:val="Hyperlink"/>
          </w:rPr>
          <w:t xml:space="preserve">The Methodology of Evaluation</w:t>
        </w:r>
      </w:hyperlink>
      <w:r>
        <w:t xml:space="preserve">.”</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269"/>
    <w:bookmarkStart w:id="271"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270">
        <w:r>
          <w:rPr>
            <w:rStyle w:val="Hyperlink"/>
          </w:rPr>
          <w:t xml:space="preserve">https://doi.org/cw9jwc</w:t>
        </w:r>
      </w:hyperlink>
      <w:r>
        <w:t xml:space="preserve">.</w:t>
      </w:r>
    </w:p>
    <w:bookmarkEnd w:id="271"/>
    <w:bookmarkStart w:id="273"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272">
        <w:r>
          <w:rPr>
            <w:rStyle w:val="Hyperlink"/>
          </w:rPr>
          <w:t xml:space="preserve">https://doi.org/ggqh9p</w:t>
        </w:r>
      </w:hyperlink>
      <w:r>
        <w:t xml:space="preserve">.</w:t>
      </w:r>
    </w:p>
    <w:bookmarkEnd w:id="273"/>
    <w:bookmarkStart w:id="275" w:name="ref-smithPreparingTeachersUse2014"/>
    <w:p>
      <w:pPr>
        <w:pStyle w:val="Bibliography"/>
      </w:pPr>
      <w:r>
        <w:t xml:space="preserve">Smith, Lisa F., Mary F. Hill, Bronwen Cowie, and Alison Gilmore. 2014.</w:t>
      </w:r>
      <w:r>
        <w:t xml:space="preserve"> </w:t>
      </w:r>
      <w:r>
        <w:t xml:space="preserve">“Preparing</w:t>
      </w:r>
      <w:r>
        <w:t xml:space="preserve"> </w:t>
      </w:r>
      <w:r>
        <w:t xml:space="preserve">Teachers</w:t>
      </w:r>
      <w:r>
        <w:t xml:space="preserve"> </w:t>
      </w:r>
      <w:r>
        <w:t xml:space="preserve">to</w:t>
      </w:r>
      <w:r>
        <w:t xml:space="preserve"> </w:t>
      </w:r>
      <w:r>
        <w:t xml:space="preserve">Use</w:t>
      </w:r>
      <w:r>
        <w:t xml:space="preserve"> </w:t>
      </w:r>
      <w:r>
        <w:t xml:space="preserve">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In</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edited by Claire Wyatt-Smith, Valentina Klenowski, and Peta Colbert, 1:303–23. 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Dordrecht</w:t>
      </w:r>
      <w:r>
        <w:t xml:space="preserve">:</w:t>
      </w:r>
      <w:r>
        <w:t xml:space="preserve"> </w:t>
      </w:r>
      <w:r>
        <w:t xml:space="preserve">Springer Netherlands</w:t>
      </w:r>
      <w:r>
        <w:t xml:space="preserve">.</w:t>
      </w:r>
      <w:r>
        <w:t xml:space="preserve"> </w:t>
      </w:r>
      <w:hyperlink r:id="rId274">
        <w:r>
          <w:rPr>
            <w:rStyle w:val="Hyperlink"/>
          </w:rPr>
          <w:t xml:space="preserve">https://doi.org/10.1007/978-94-007-5902-2_19</w:t>
        </w:r>
      </w:hyperlink>
      <w:r>
        <w:t xml:space="preserve">.</w:t>
      </w:r>
    </w:p>
    <w:bookmarkEnd w:id="275"/>
    <w:bookmarkStart w:id="277" w:name="X78ed7c843a0a65622e4c7f10be381d21bc08632"/>
    <w:p>
      <w:pPr>
        <w:pStyle w:val="Bibliography"/>
      </w:pPr>
      <w:r>
        <w:t xml:space="preserve">Solomonidou, Georgia, and Michalis Michaelides. 2017.</w:t>
      </w:r>
      <w:r>
        <w:t xml:space="preserve"> </w:t>
      </w:r>
      <w:r>
        <w:t xml:space="preserve">“Students’ Conceptions of Assessment Purposes in a Low Stakes Secondary-School Context:</w:t>
      </w:r>
      <w:r>
        <w:t xml:space="preserve"> </w:t>
      </w:r>
      <w:r>
        <w:t xml:space="preserve">A</w:t>
      </w:r>
      <w:r>
        <w:t xml:space="preserve"> </w:t>
      </w:r>
      <w:r>
        <w:t xml:space="preserve">Mixed Methodology Approach.”</w:t>
      </w:r>
      <w:r>
        <w:t xml:space="preserve"> </w:t>
      </w:r>
      <w:r>
        <w:rPr>
          <w:iCs/>
          <w:i/>
        </w:rPr>
        <w:t xml:space="preserve">Studies in Educational Evaluation</w:t>
      </w:r>
      <w:r>
        <w:t xml:space="preserve"> </w:t>
      </w:r>
      <w:r>
        <w:t xml:space="preserve">52 (March): 35–41.</w:t>
      </w:r>
      <w:r>
        <w:t xml:space="preserve"> </w:t>
      </w:r>
      <w:hyperlink r:id="rId276">
        <w:r>
          <w:rPr>
            <w:rStyle w:val="Hyperlink"/>
          </w:rPr>
          <w:t xml:space="preserve">https://doi.org/f9w8gd</w:t>
        </w:r>
      </w:hyperlink>
      <w:r>
        <w:t xml:space="preserve">.</w:t>
      </w:r>
    </w:p>
    <w:bookmarkEnd w:id="277"/>
    <w:bookmarkStart w:id="279"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278">
        <w:r>
          <w:rPr>
            <w:rStyle w:val="Hyperlink"/>
          </w:rPr>
          <w:t xml:space="preserve">https://www.testingstandards.net/uploads/7/6/6/4/76643089/9780935302356.pdf</w:t>
        </w:r>
      </w:hyperlink>
      <w:r>
        <w:t xml:space="preserve">.</w:t>
      </w:r>
    </w:p>
    <w:bookmarkEnd w:id="279"/>
    <w:bookmarkStart w:id="281"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280">
        <w:r>
          <w:rPr>
            <w:rStyle w:val="Hyperlink"/>
          </w:rPr>
          <w:t xml:space="preserve">http://www.jstor.org.ezproxy.library.uvic.ca/stable/20404455</w:t>
        </w:r>
      </w:hyperlink>
      <w:r>
        <w:t xml:space="preserve">.</w:t>
      </w:r>
    </w:p>
    <w:bookmarkEnd w:id="281"/>
    <w:bookmarkStart w:id="283"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282">
        <w:r>
          <w:rPr>
            <w:rStyle w:val="Hyperlink"/>
          </w:rPr>
          <w:t xml:space="preserve">http://www.jstor.org.ezproxy.library.uvic.ca/stable/20405538</w:t>
        </w:r>
      </w:hyperlink>
      <w:r>
        <w:t xml:space="preserve">.</w:t>
      </w:r>
    </w:p>
    <w:bookmarkEnd w:id="283"/>
    <w:bookmarkStart w:id="284" w:name="X8daae7541e4c079ce301a7c9a89f7da03d2db6f"/>
    <w:p>
      <w:pPr>
        <w:pStyle w:val="Bibliography"/>
      </w:pPr>
      <w:r>
        <w:t xml:space="preserve">Tashakkori, Abbas, Burke Johnson, and Charles Teddlie. 2020.</w:t>
      </w:r>
      <w:r>
        <w:t xml:space="preserve"> </w:t>
      </w:r>
      <w:r>
        <w:rPr>
          <w:iCs/>
          <w:i/>
        </w:rPr>
        <w:t xml:space="preserve">Foundations of Mixed Methods Research: Integrating Quantitative and Qualitative Approaches in the Social and Behavioral Sciences</w:t>
      </w:r>
      <w:r>
        <w:t xml:space="preserve">. Second Edition.</w:t>
      </w:r>
      <w:r>
        <w:t xml:space="preserve"> </w:t>
      </w:r>
      <w:r>
        <w:t xml:space="preserve">Thousand Oaks</w:t>
      </w:r>
      <w:r>
        <w:t xml:space="preserve">:</w:t>
      </w:r>
      <w:r>
        <w:t xml:space="preserve"> </w:t>
      </w:r>
      <w:r>
        <w:t xml:space="preserve">SAGE Publications, Inc</w:t>
      </w:r>
      <w:r>
        <w:t xml:space="preserve">.</w:t>
      </w:r>
    </w:p>
    <w:bookmarkEnd w:id="284"/>
    <w:bookmarkStart w:id="286" w:name="ref-tekirAlignmentIntendedEnacted2021"/>
    <w:p>
      <w:pPr>
        <w:pStyle w:val="Bibliography"/>
      </w:pPr>
      <w:r>
        <w:t xml:space="preserve">Tekir, Serpil. 2021.</w:t>
      </w:r>
      <w:r>
        <w:t xml:space="preserve"> </w:t>
      </w:r>
      <w:r>
        <w:t xml:space="preserve">“Alignment of the</w:t>
      </w:r>
      <w:r>
        <w:t xml:space="preserve"> </w:t>
      </w:r>
      <w:r>
        <w:t xml:space="preserve">Intended</w:t>
      </w:r>
      <w:r>
        <w:t xml:space="preserve">,</w:t>
      </w:r>
      <w:r>
        <w:t xml:space="preserve"> </w:t>
      </w:r>
      <w:r>
        <w:t xml:space="preserve">Enacted</w:t>
      </w:r>
      <w:r>
        <w:t xml:space="preserve">,</w:t>
      </w:r>
      <w:r>
        <w:t xml:space="preserve"> </w:t>
      </w:r>
      <w:r>
        <w:t xml:space="preserve">Received</w:t>
      </w:r>
      <w:r>
        <w:t xml:space="preserve"> </w:t>
      </w:r>
      <w:r>
        <w:t xml:space="preserve">and</w:t>
      </w:r>
      <w:r>
        <w:t xml:space="preserve"> </w:t>
      </w:r>
      <w:r>
        <w:t xml:space="preserve">Assessed Curriculum</w:t>
      </w:r>
      <w:r>
        <w:t xml:space="preserve"> </w:t>
      </w:r>
      <w:r>
        <w:t xml:space="preserve">in</w:t>
      </w:r>
      <w:r>
        <w:t xml:space="preserve"> </w:t>
      </w:r>
      <w:r>
        <w:t xml:space="preserve">EFL Pre</w:t>
      </w:r>
      <w:r>
        <w:t xml:space="preserve">-</w:t>
      </w:r>
      <w:r>
        <w:t xml:space="preserve">Service Measurement</w:t>
      </w:r>
      <w:r>
        <w:t xml:space="preserve"> </w:t>
      </w:r>
      <w:r>
        <w:t xml:space="preserve">and</w:t>
      </w:r>
      <w:r>
        <w:t xml:space="preserve"> </w:t>
      </w:r>
      <w:r>
        <w:t xml:space="preserve">Evaluation Education</w:t>
      </w:r>
      <w:r>
        <w:t xml:space="preserve">.”</w:t>
      </w:r>
      <w:r>
        <w:t xml:space="preserve"> </w:t>
      </w:r>
      <w:r>
        <w:rPr>
          <w:iCs/>
          <w:i/>
        </w:rPr>
        <w:t xml:space="preserve">Education and Science</w:t>
      </w:r>
      <w:r>
        <w:t xml:space="preserve">.</w:t>
      </w:r>
      <w:r>
        <w:t xml:space="preserve"> </w:t>
      </w:r>
      <w:hyperlink r:id="rId285">
        <w:r>
          <w:rPr>
            <w:rStyle w:val="Hyperlink"/>
          </w:rPr>
          <w:t xml:space="preserve">https://doi.org/gmgbpz</w:t>
        </w:r>
      </w:hyperlink>
      <w:r>
        <w:t xml:space="preserve">.</w:t>
      </w:r>
    </w:p>
    <w:bookmarkEnd w:id="286"/>
    <w:bookmarkStart w:id="288"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287">
        <w:r>
          <w:rPr>
            <w:rStyle w:val="Hyperlink"/>
          </w:rPr>
          <w:t xml:space="preserve">https://doi.org/gftz95</w:t>
        </w:r>
      </w:hyperlink>
      <w:r>
        <w:t xml:space="preserve">.</w:t>
      </w:r>
    </w:p>
    <w:bookmarkEnd w:id="288"/>
    <w:bookmarkStart w:id="290" w:name="ref-watsonSmallDataOnline2017"/>
    <w:p>
      <w:pPr>
        <w:pStyle w:val="Bibliography"/>
      </w:pPr>
      <w:r>
        <w:t xml:space="preserve">Watson, Cate, Anna Wilson, Valerie Drew, and Terrie Lynn Thompson. 2017.</w:t>
      </w:r>
      <w:r>
        <w:t xml:space="preserve"> </w:t>
      </w:r>
      <w:r>
        <w:t xml:space="preserve">“Small Data, Online Learning and Assessment Practices in Higher Education: A Case Study of Failure?”</w:t>
      </w:r>
      <w:r>
        <w:t xml:space="preserve"> </w:t>
      </w:r>
      <w:r>
        <w:rPr>
          <w:iCs/>
          <w:i/>
        </w:rPr>
        <w:t xml:space="preserve">Assessment &amp; Evaluation in Higher Education</w:t>
      </w:r>
      <w:r>
        <w:t xml:space="preserve"> </w:t>
      </w:r>
      <w:r>
        <w:t xml:space="preserve">42 (7): 1030–45.</w:t>
      </w:r>
      <w:r>
        <w:t xml:space="preserve"> </w:t>
      </w:r>
      <w:hyperlink r:id="rId289">
        <w:r>
          <w:rPr>
            <w:rStyle w:val="Hyperlink"/>
          </w:rPr>
          <w:t xml:space="preserve">https://doi.org/ggrgxn</w:t>
        </w:r>
      </w:hyperlink>
      <w:r>
        <w:t xml:space="preserve">.</w:t>
      </w:r>
    </w:p>
    <w:bookmarkEnd w:id="290"/>
    <w:bookmarkStart w:id="292"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291">
        <w:r>
          <w:rPr>
            <w:rStyle w:val="Hyperlink"/>
          </w:rPr>
          <w:t xml:space="preserve">https://books.google.ca/books?id=zukGEAAAQBAJ</w:t>
        </w:r>
      </w:hyperlink>
      <w:r>
        <w:t xml:space="preserve">.</w:t>
      </w:r>
    </w:p>
    <w:bookmarkEnd w:id="292"/>
    <w:bookmarkStart w:id="294"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293">
        <w:r>
          <w:rPr>
            <w:rStyle w:val="Hyperlink"/>
          </w:rPr>
          <w:t xml:space="preserve">http://hackeducation.com/2015/01/13/speak-and-spell</w:t>
        </w:r>
      </w:hyperlink>
      <w:r>
        <w:t xml:space="preserve">.</w:t>
      </w:r>
    </w:p>
    <w:bookmarkEnd w:id="294"/>
    <w:bookmarkStart w:id="296"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295">
        <w:r>
          <w:rPr>
            <w:rStyle w:val="Hyperlink"/>
          </w:rPr>
          <w:t xml:space="preserve">https://doi.org/10.1007/978-3-319-71054-9_37</w:t>
        </w:r>
      </w:hyperlink>
      <w:r>
        <w:t xml:space="preserve">.</w:t>
      </w:r>
    </w:p>
    <w:bookmarkEnd w:id="296"/>
    <w:bookmarkStart w:id="298"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297">
        <w:r>
          <w:rPr>
            <w:rStyle w:val="Hyperlink"/>
          </w:rPr>
          <w:t xml:space="preserve">https://doi.org/gh5k7d</w:t>
        </w:r>
      </w:hyperlink>
      <w:r>
        <w:t xml:space="preserve">.</w:t>
      </w:r>
    </w:p>
    <w:bookmarkEnd w:id="298"/>
    <w:bookmarkStart w:id="300"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299">
        <w:r>
          <w:rPr>
            <w:rStyle w:val="Hyperlink"/>
          </w:rPr>
          <w:t xml:space="preserve">https://www.ijede.ca/index.php/jde/article/view/1106</w:t>
        </w:r>
      </w:hyperlink>
      <w:r>
        <w:t xml:space="preserve">.</w:t>
      </w:r>
    </w:p>
    <w:bookmarkEnd w:id="300"/>
    <w:bookmarkStart w:id="302"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301">
        <w:r>
          <w:rPr>
            <w:rStyle w:val="Hyperlink"/>
          </w:rPr>
          <w:t xml:space="preserve">https://doi.org/f8txgm</w:t>
        </w:r>
      </w:hyperlink>
      <w:r>
        <w:t xml:space="preserve">.</w:t>
      </w:r>
    </w:p>
    <w:bookmarkEnd w:id="302"/>
    <w:bookmarkEnd w:id="303"/>
    <w:bookmarkEnd w:id="304"/>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178" Target="http://cnx.org/contents/b3014cd9-6e3a-474f-bbaa-c948cbc8e205@5.12." TargetMode="External" /><Relationship Type="http://schemas.openxmlformats.org/officeDocument/2006/relationships/hyperlink" Id="rId293" Target="http://hackeducation.com/2015/01/13/speak-and-spell" TargetMode="External" /><Relationship Type="http://schemas.openxmlformats.org/officeDocument/2006/relationships/hyperlink" Id="rId238" Target="http://methods.sagepub.com/book/sage-handbook-of-mixed-methods-social-behavioral-research-2e/n9.xml" TargetMode="External" /><Relationship Type="http://schemas.openxmlformats.org/officeDocument/2006/relationships/hyperlink" Id="rId280" Target="http://www.jstor.org.ezproxy.library.uvic.ca/stable/20404455" TargetMode="External" /><Relationship Type="http://schemas.openxmlformats.org/officeDocument/2006/relationships/hyperlink" Id="rId282" Target="http://www.jstor.org.ezproxy.library.uvic.ca/stable/20405538" TargetMode="External" /><Relationship Type="http://schemas.openxmlformats.org/officeDocument/2006/relationships/hyperlink" Id="rId256" Target="http://www.mwera.org/MWER/documents/MWER-1993-Winter-6-1.pdf" TargetMode="External" /><Relationship Type="http://schemas.openxmlformats.org/officeDocument/2006/relationships/hyperlink" Id="rId186" Target="https://books.google.ca/books?id=k_zxEUst46UC" TargetMode="External" /><Relationship Type="http://schemas.openxmlformats.org/officeDocument/2006/relationships/hyperlink" Id="rId291" Target="https://books.google.ca/books?id=zukGEAAAQBAJ" TargetMode="External" /><Relationship Type="http://schemas.openxmlformats.org/officeDocument/2006/relationships/hyperlink" Id="rId195" Target="https://doi.org/10.1007/978-1-4614-3876-2_5" TargetMode="External" /><Relationship Type="http://schemas.openxmlformats.org/officeDocument/2006/relationships/hyperlink" Id="rId116" Target="https://doi.org/10.1007/978-3-319-17727-4_64-1" TargetMode="External" /><Relationship Type="http://schemas.openxmlformats.org/officeDocument/2006/relationships/hyperlink" Id="rId295" Target="https://doi.org/10.1007/978-3-319-71054-9_37" TargetMode="External" /><Relationship Type="http://schemas.openxmlformats.org/officeDocument/2006/relationships/hyperlink" Id="rId274" Target="https://doi.org/10.1007/978-94-007-5902-2_19" TargetMode="External" /><Relationship Type="http://schemas.openxmlformats.org/officeDocument/2006/relationships/hyperlink" Id="rId142" Target="https://doi.org/10.1080/01626620.2012.730347" TargetMode="External" /><Relationship Type="http://schemas.openxmlformats.org/officeDocument/2006/relationships/hyperlink" Id="rId208" Target="https://doi.org/10.1177/1558689806298224" TargetMode="External" /><Relationship Type="http://schemas.openxmlformats.org/officeDocument/2006/relationships/hyperlink" Id="rId191" Target="https://doi.org/10.1177/1609406918821574" TargetMode="External" /><Relationship Type="http://schemas.openxmlformats.org/officeDocument/2006/relationships/hyperlink" Id="rId203" Target="https://doi.org/10.17077/etd.35vh2oc1" TargetMode="External" /><Relationship Type="http://schemas.openxmlformats.org/officeDocument/2006/relationships/hyperlink" Id="rId248" Target="https://doi.org/10.17226/10019" TargetMode="External" /><Relationship Type="http://schemas.openxmlformats.org/officeDocument/2006/relationships/hyperlink" Id="rId235" Target="https://doi.org/10.18510/hssr.2020.8180" TargetMode="External" /><Relationship Type="http://schemas.openxmlformats.org/officeDocument/2006/relationships/hyperlink" Id="rId136" Target="https://doi.org/10.4135/9781071802823" TargetMode="External" /><Relationship Type="http://schemas.openxmlformats.org/officeDocument/2006/relationships/hyperlink" Id="rId180" Target="https://doi.org/10.4135/9781412961288.n272" TargetMode="External" /><Relationship Type="http://schemas.openxmlformats.org/officeDocument/2006/relationships/hyperlink" Id="rId83" Target="https://doi.org/10.4135/9781526417190" TargetMode="External" /><Relationship Type="http://schemas.openxmlformats.org/officeDocument/2006/relationships/hyperlink" Id="rId214" Target="https://doi.org/b25nb2" TargetMode="External" /><Relationship Type="http://schemas.openxmlformats.org/officeDocument/2006/relationships/hyperlink" Id="rId201" Target="https://doi.org/b5gxwx" TargetMode="External" /><Relationship Type="http://schemas.openxmlformats.org/officeDocument/2006/relationships/hyperlink" Id="rId122" Target="https://doi.org/c3k8f5" TargetMode="External" /><Relationship Type="http://schemas.openxmlformats.org/officeDocument/2006/relationships/hyperlink" Id="rId95" Target="https://doi.org/ccdmd9" TargetMode="External" /><Relationship Type="http://schemas.openxmlformats.org/officeDocument/2006/relationships/hyperlink" Id="rId206" Target="https://doi.org/cg679w" TargetMode="External" /><Relationship Type="http://schemas.openxmlformats.org/officeDocument/2006/relationships/hyperlink" Id="rId233" Target="https://doi.org/cgqtqx" TargetMode="External" /><Relationship Type="http://schemas.openxmlformats.org/officeDocument/2006/relationships/hyperlink" Id="rId97" Target="https://doi.org/chx3gp" TargetMode="External" /><Relationship Type="http://schemas.openxmlformats.org/officeDocument/2006/relationships/hyperlink" Id="rId104" Target="https://doi.org/cqgvs8" TargetMode="External" /><Relationship Type="http://schemas.openxmlformats.org/officeDocument/2006/relationships/hyperlink" Id="rId170" Target="https://doi.org/ctccpq" TargetMode="External" /><Relationship Type="http://schemas.openxmlformats.org/officeDocument/2006/relationships/hyperlink" Id="rId270" Target="https://doi.org/cw9jwc" TargetMode="External" /><Relationship Type="http://schemas.openxmlformats.org/officeDocument/2006/relationships/hyperlink" Id="rId118" Target="https://doi.org/cwcqj4" TargetMode="External" /><Relationship Type="http://schemas.openxmlformats.org/officeDocument/2006/relationships/hyperlink" Id="rId263" Target="https://doi.org/d4sz5m" TargetMode="External" /><Relationship Type="http://schemas.openxmlformats.org/officeDocument/2006/relationships/hyperlink" Id="rId240" Target="https://doi.org/d89z7p" TargetMode="External" /><Relationship Type="http://schemas.openxmlformats.org/officeDocument/2006/relationships/hyperlink" Id="rId126" Target="https://doi.org/d8wq" TargetMode="External" /><Relationship Type="http://schemas.openxmlformats.org/officeDocument/2006/relationships/hyperlink" Id="rId260" Target="https://doi.org/dctz5h" TargetMode="External" /><Relationship Type="http://schemas.openxmlformats.org/officeDocument/2006/relationships/hyperlink" Id="rId91" Target="https://doi.org/djgzjr" TargetMode="External" /><Relationship Type="http://schemas.openxmlformats.org/officeDocument/2006/relationships/hyperlink" Id="rId99" Target="https://doi.org/drgphk" TargetMode="External" /><Relationship Type="http://schemas.openxmlformats.org/officeDocument/2006/relationships/hyperlink" Id="rId139" Target="https://doi.org/dvd8nf" TargetMode="External" /><Relationship Type="http://schemas.openxmlformats.org/officeDocument/2006/relationships/hyperlink" Id="rId152" Target="https://doi.org/f828mh" TargetMode="External" /><Relationship Type="http://schemas.openxmlformats.org/officeDocument/2006/relationships/hyperlink" Id="rId301" Target="https://doi.org/f8txgm" TargetMode="External" /><Relationship Type="http://schemas.openxmlformats.org/officeDocument/2006/relationships/hyperlink" Id="rId222" Target="https://doi.org/f952f7" TargetMode="External" /><Relationship Type="http://schemas.openxmlformats.org/officeDocument/2006/relationships/hyperlink" Id="rId276" Target="https://doi.org/f9w8gd" TargetMode="External" /><Relationship Type="http://schemas.openxmlformats.org/officeDocument/2006/relationships/hyperlink" Id="rId106" Target="https://doi.org/fpnss4" TargetMode="External" /><Relationship Type="http://schemas.openxmlformats.org/officeDocument/2006/relationships/hyperlink" Id="rId93" Target="https://doi.org/ftmsvc" TargetMode="External" /><Relationship Type="http://schemas.openxmlformats.org/officeDocument/2006/relationships/hyperlink" Id="rId258" Target="https://doi.org/fw7g9p" TargetMode="External" /><Relationship Type="http://schemas.openxmlformats.org/officeDocument/2006/relationships/hyperlink" Id="rId85" Target="https://doi.org/gbhr94" TargetMode="External" /><Relationship Type="http://schemas.openxmlformats.org/officeDocument/2006/relationships/hyperlink" Id="rId184" Target="https://doi.org/gcpg4p" TargetMode="External" /><Relationship Type="http://schemas.openxmlformats.org/officeDocument/2006/relationships/hyperlink" Id="rId130" Target="https://doi.org/gdfmcv" TargetMode="External" /><Relationship Type="http://schemas.openxmlformats.org/officeDocument/2006/relationships/hyperlink" Id="rId144" Target="https://doi.org/gf4xvc" TargetMode="External" /><Relationship Type="http://schemas.openxmlformats.org/officeDocument/2006/relationships/hyperlink" Id="rId150" Target="https://doi.org/gfgtsg" TargetMode="External" /><Relationship Type="http://schemas.openxmlformats.org/officeDocument/2006/relationships/hyperlink" Id="rId193" Target="https://doi.org/gfjsvn" TargetMode="External" /><Relationship Type="http://schemas.openxmlformats.org/officeDocument/2006/relationships/hyperlink" Id="rId287" Target="https://doi.org/gftz95" TargetMode="External" /><Relationship Type="http://schemas.openxmlformats.org/officeDocument/2006/relationships/hyperlink" Id="rId174" Target="https://doi.org/gfz39k" TargetMode="External" /><Relationship Type="http://schemas.openxmlformats.org/officeDocument/2006/relationships/hyperlink" Id="rId250" Target="https://doi.org/ggfh8z" TargetMode="External" /><Relationship Type="http://schemas.openxmlformats.org/officeDocument/2006/relationships/hyperlink" Id="rId272" Target="https://doi.org/ggqh9p" TargetMode="External" /><Relationship Type="http://schemas.openxmlformats.org/officeDocument/2006/relationships/hyperlink" Id="rId289" Target="https://doi.org/ggrgxn" TargetMode="External" /><Relationship Type="http://schemas.openxmlformats.org/officeDocument/2006/relationships/hyperlink" Id="rId160" Target="https://doi.org/gh5k2r" TargetMode="External" /><Relationship Type="http://schemas.openxmlformats.org/officeDocument/2006/relationships/hyperlink" Id="rId134" Target="https://doi.org/gh5k4z" TargetMode="External" /><Relationship Type="http://schemas.openxmlformats.org/officeDocument/2006/relationships/hyperlink" Id="rId148" Target="https://doi.org/gh5k63" TargetMode="External" /><Relationship Type="http://schemas.openxmlformats.org/officeDocument/2006/relationships/hyperlink" Id="rId158" Target="https://doi.org/gh5k6p" TargetMode="External" /><Relationship Type="http://schemas.openxmlformats.org/officeDocument/2006/relationships/hyperlink" Id="rId132" Target="https://doi.org/gh5k6v" TargetMode="External" /><Relationship Type="http://schemas.openxmlformats.org/officeDocument/2006/relationships/hyperlink" Id="rId246" Target="https://doi.org/gh5k7b" TargetMode="External" /><Relationship Type="http://schemas.openxmlformats.org/officeDocument/2006/relationships/hyperlink" Id="rId297" Target="https://doi.org/gh5k7d" TargetMode="External" /><Relationship Type="http://schemas.openxmlformats.org/officeDocument/2006/relationships/hyperlink" Id="rId156" Target="https://doi.org/gh7mjt" TargetMode="External" /><Relationship Type="http://schemas.openxmlformats.org/officeDocument/2006/relationships/hyperlink" Id="rId128" Target="https://doi.org/ghdnhh" TargetMode="External" /><Relationship Type="http://schemas.openxmlformats.org/officeDocument/2006/relationships/hyperlink" Id="rId216" Target="https://doi.org/ghgzp9" TargetMode="External" /><Relationship Type="http://schemas.openxmlformats.org/officeDocument/2006/relationships/hyperlink" Id="rId218" Target="https://doi.org/ghjw3k" TargetMode="External" /><Relationship Type="http://schemas.openxmlformats.org/officeDocument/2006/relationships/hyperlink" Id="rId226" Target="https://doi.org/gj47j3" TargetMode="External" /><Relationship Type="http://schemas.openxmlformats.org/officeDocument/2006/relationships/hyperlink" Id="rId120" Target="https://doi.org/gj4tz6" TargetMode="External" /><Relationship Type="http://schemas.openxmlformats.org/officeDocument/2006/relationships/hyperlink" Id="rId220" Target="https://doi.org/gj5ngz" TargetMode="External" /><Relationship Type="http://schemas.openxmlformats.org/officeDocument/2006/relationships/hyperlink" Id="rId146" Target="https://doi.org/gj5v98" TargetMode="External" /><Relationship Type="http://schemas.openxmlformats.org/officeDocument/2006/relationships/hyperlink" Id="rId230" Target="https://doi.org/gjm236" TargetMode="External" /><Relationship Type="http://schemas.openxmlformats.org/officeDocument/2006/relationships/hyperlink" Id="rId112" Target="https://doi.org/gjrsqx" TargetMode="External" /><Relationship Type="http://schemas.openxmlformats.org/officeDocument/2006/relationships/hyperlink" Id="rId87" Target="https://doi.org/gjsn3g" TargetMode="External" /><Relationship Type="http://schemas.openxmlformats.org/officeDocument/2006/relationships/hyperlink" Id="rId110" Target="https://doi.org/gjvpw5" TargetMode="External" /><Relationship Type="http://schemas.openxmlformats.org/officeDocument/2006/relationships/hyperlink" Id="rId154" Target="https://doi.org/gjxvc7" TargetMode="External" /><Relationship Type="http://schemas.openxmlformats.org/officeDocument/2006/relationships/hyperlink" Id="rId210" Target="https://doi.org/gk36pd" TargetMode="External" /><Relationship Type="http://schemas.openxmlformats.org/officeDocument/2006/relationships/hyperlink" Id="rId254" Target="https://doi.org/gk36vq" TargetMode="External" /><Relationship Type="http://schemas.openxmlformats.org/officeDocument/2006/relationships/hyperlink" Id="rId172" Target="https://doi.org/gk4j65" TargetMode="External" /><Relationship Type="http://schemas.openxmlformats.org/officeDocument/2006/relationships/hyperlink" Id="rId266" Target="https://doi.org/gk5r6r" TargetMode="External" /><Relationship Type="http://schemas.openxmlformats.org/officeDocument/2006/relationships/hyperlink" Id="rId224" Target="https://doi.org/gk5sph" TargetMode="External" /><Relationship Type="http://schemas.openxmlformats.org/officeDocument/2006/relationships/hyperlink" Id="rId252" Target="https://doi.org/gmb98n" TargetMode="External" /><Relationship Type="http://schemas.openxmlformats.org/officeDocument/2006/relationships/hyperlink" Id="rId182" Target="https://doi.org/gmb9k6" TargetMode="External" /><Relationship Type="http://schemas.openxmlformats.org/officeDocument/2006/relationships/hyperlink" Id="rId168" Target="https://doi.org/gmbws5" TargetMode="External" /><Relationship Type="http://schemas.openxmlformats.org/officeDocument/2006/relationships/hyperlink" Id="rId89" Target="https://doi.org/gmcv29" TargetMode="External" /><Relationship Type="http://schemas.openxmlformats.org/officeDocument/2006/relationships/hyperlink" Id="rId197" Target="https://doi.org/gmcvbf" TargetMode="External" /><Relationship Type="http://schemas.openxmlformats.org/officeDocument/2006/relationships/hyperlink" Id="rId165" Target="https://doi.org/gmdnd9" TargetMode="External" /><Relationship Type="http://schemas.openxmlformats.org/officeDocument/2006/relationships/hyperlink" Id="rId242" Target="https://doi.org/gmdnfr" TargetMode="External" /><Relationship Type="http://schemas.openxmlformats.org/officeDocument/2006/relationships/hyperlink" Id="rId163" Target="https://doi.org/gmgbps" TargetMode="External" /><Relationship Type="http://schemas.openxmlformats.org/officeDocument/2006/relationships/hyperlink" Id="rId285" Target="https://doi.org/gmgbpz" TargetMode="External" /><Relationship Type="http://schemas.openxmlformats.org/officeDocument/2006/relationships/hyperlink" Id="rId81" Target="https://doi.org/r7f" TargetMode="External" /><Relationship Type="http://schemas.openxmlformats.org/officeDocument/2006/relationships/hyperlink" Id="rId189" Target="https://eppi.ioe.ac.uk/cms/Default.aspx?tabid=108" TargetMode="External" /><Relationship Type="http://schemas.openxmlformats.org/officeDocument/2006/relationships/hyperlink" Id="rId199" Target="https://er.educause.edu/articles/2020/10/the-landscape-of-merging-modalities" TargetMode="External" /><Relationship Type="http://schemas.openxmlformats.org/officeDocument/2006/relationships/hyperlink" Id="rId108" Target="https://eric.ed.gov/?id=ED053419" TargetMode="External" /><Relationship Type="http://schemas.openxmlformats.org/officeDocument/2006/relationships/hyperlink" Id="rId79" Target="https://eric.ed.gov/?id=ED323186" TargetMode="External" /><Relationship Type="http://schemas.openxmlformats.org/officeDocument/2006/relationships/hyperlink" Id="rId228" Target="https://eric.ed.gov/?id=ED490355" TargetMode="External" /><Relationship Type="http://schemas.openxmlformats.org/officeDocument/2006/relationships/hyperlink" Id="rId114" Target="https://pure.mpg.de/rest/items/item_3326892/component/file_3327086/content" TargetMode="External" /><Relationship Type="http://schemas.openxmlformats.org/officeDocument/2006/relationships/hyperlink" Id="rId40" Target="https://researchrabbit.ai" TargetMode="External" /><Relationship Type="http://schemas.openxmlformats.org/officeDocument/2006/relationships/hyperlink" Id="rId124" Target="https://towardsdatascience.com/likert-scales-friend-or-foe-76f865786fb7" TargetMode="External" /><Relationship Type="http://schemas.openxmlformats.org/officeDocument/2006/relationships/hyperlink" Id="rId212" Target="https://www.amazon.ca/Classroom-Assessment-Standards-PreK-12-Teachers-ebook/dp/B00V6C9RVO?asin=B00V6C9RVO&amp;revisionId=d45424dd&amp;format=1&amp;depth=1" TargetMode="External" /><Relationship Type="http://schemas.openxmlformats.org/officeDocument/2006/relationships/hyperlink" Id="rId244" Target="https://www.bristol.ac.uk/media-library/sites/education/documents/researchreview.pdf" TargetMode="External" /><Relationship Type="http://schemas.openxmlformats.org/officeDocument/2006/relationships/hyperlink" Id="rId299" Target="https://www.ijede.ca/index.php/jde/article/view/1106" TargetMode="External" /><Relationship Type="http://schemas.openxmlformats.org/officeDocument/2006/relationships/hyperlink" Id="rId268" Target="https://www.ncbi.nlm.nih.gov/pmc/articles/null" TargetMode="External" /><Relationship Type="http://schemas.openxmlformats.org/officeDocument/2006/relationships/hyperlink" Id="rId278" Target="https://www.testingstandards.net/uploads/7/6/6/4/76643089/9780935302356.pdf" TargetMode="External" /><Relationship Type="http://schemas.openxmlformats.org/officeDocument/2006/relationships/hyperlink" Id="rId176"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78" Target="http://cnx.org/contents/b3014cd9-6e3a-474f-bbaa-c948cbc8e205@5.12." TargetMode="External" /><Relationship Type="http://schemas.openxmlformats.org/officeDocument/2006/relationships/hyperlink" Id="rId293" Target="http://hackeducation.com/2015/01/13/speak-and-spell" TargetMode="External" /><Relationship Type="http://schemas.openxmlformats.org/officeDocument/2006/relationships/hyperlink" Id="rId238" Target="http://methods.sagepub.com/book/sage-handbook-of-mixed-methods-social-behavioral-research-2e/n9.xml" TargetMode="External" /><Relationship Type="http://schemas.openxmlformats.org/officeDocument/2006/relationships/hyperlink" Id="rId280" Target="http://www.jstor.org.ezproxy.library.uvic.ca/stable/20404455" TargetMode="External" /><Relationship Type="http://schemas.openxmlformats.org/officeDocument/2006/relationships/hyperlink" Id="rId282" Target="http://www.jstor.org.ezproxy.library.uvic.ca/stable/20405538" TargetMode="External" /><Relationship Type="http://schemas.openxmlformats.org/officeDocument/2006/relationships/hyperlink" Id="rId256" Target="http://www.mwera.org/MWER/documents/MWER-1993-Winter-6-1.pdf" TargetMode="External" /><Relationship Type="http://schemas.openxmlformats.org/officeDocument/2006/relationships/hyperlink" Id="rId186" Target="https://books.google.ca/books?id=k_zxEUst46UC" TargetMode="External" /><Relationship Type="http://schemas.openxmlformats.org/officeDocument/2006/relationships/hyperlink" Id="rId291" Target="https://books.google.ca/books?id=zukGEAAAQBAJ" TargetMode="External" /><Relationship Type="http://schemas.openxmlformats.org/officeDocument/2006/relationships/hyperlink" Id="rId195" Target="https://doi.org/10.1007/978-1-4614-3876-2_5" TargetMode="External" /><Relationship Type="http://schemas.openxmlformats.org/officeDocument/2006/relationships/hyperlink" Id="rId116" Target="https://doi.org/10.1007/978-3-319-17727-4_64-1" TargetMode="External" /><Relationship Type="http://schemas.openxmlformats.org/officeDocument/2006/relationships/hyperlink" Id="rId295" Target="https://doi.org/10.1007/978-3-319-71054-9_37" TargetMode="External" /><Relationship Type="http://schemas.openxmlformats.org/officeDocument/2006/relationships/hyperlink" Id="rId274" Target="https://doi.org/10.1007/978-94-007-5902-2_19" TargetMode="External" /><Relationship Type="http://schemas.openxmlformats.org/officeDocument/2006/relationships/hyperlink" Id="rId142" Target="https://doi.org/10.1080/01626620.2012.730347" TargetMode="External" /><Relationship Type="http://schemas.openxmlformats.org/officeDocument/2006/relationships/hyperlink" Id="rId208" Target="https://doi.org/10.1177/1558689806298224" TargetMode="External" /><Relationship Type="http://schemas.openxmlformats.org/officeDocument/2006/relationships/hyperlink" Id="rId191" Target="https://doi.org/10.1177/1609406918821574" TargetMode="External" /><Relationship Type="http://schemas.openxmlformats.org/officeDocument/2006/relationships/hyperlink" Id="rId203" Target="https://doi.org/10.17077/etd.35vh2oc1" TargetMode="External" /><Relationship Type="http://schemas.openxmlformats.org/officeDocument/2006/relationships/hyperlink" Id="rId248" Target="https://doi.org/10.17226/10019" TargetMode="External" /><Relationship Type="http://schemas.openxmlformats.org/officeDocument/2006/relationships/hyperlink" Id="rId235" Target="https://doi.org/10.18510/hssr.2020.8180" TargetMode="External" /><Relationship Type="http://schemas.openxmlformats.org/officeDocument/2006/relationships/hyperlink" Id="rId136" Target="https://doi.org/10.4135/9781071802823" TargetMode="External" /><Relationship Type="http://schemas.openxmlformats.org/officeDocument/2006/relationships/hyperlink" Id="rId180" Target="https://doi.org/10.4135/9781412961288.n272" TargetMode="External" /><Relationship Type="http://schemas.openxmlformats.org/officeDocument/2006/relationships/hyperlink" Id="rId83" Target="https://doi.org/10.4135/9781526417190" TargetMode="External" /><Relationship Type="http://schemas.openxmlformats.org/officeDocument/2006/relationships/hyperlink" Id="rId214" Target="https://doi.org/b25nb2" TargetMode="External" /><Relationship Type="http://schemas.openxmlformats.org/officeDocument/2006/relationships/hyperlink" Id="rId201" Target="https://doi.org/b5gxwx" TargetMode="External" /><Relationship Type="http://schemas.openxmlformats.org/officeDocument/2006/relationships/hyperlink" Id="rId122" Target="https://doi.org/c3k8f5" TargetMode="External" /><Relationship Type="http://schemas.openxmlformats.org/officeDocument/2006/relationships/hyperlink" Id="rId95" Target="https://doi.org/ccdmd9" TargetMode="External" /><Relationship Type="http://schemas.openxmlformats.org/officeDocument/2006/relationships/hyperlink" Id="rId206" Target="https://doi.org/cg679w" TargetMode="External" /><Relationship Type="http://schemas.openxmlformats.org/officeDocument/2006/relationships/hyperlink" Id="rId233" Target="https://doi.org/cgqtqx" TargetMode="External" /><Relationship Type="http://schemas.openxmlformats.org/officeDocument/2006/relationships/hyperlink" Id="rId97" Target="https://doi.org/chx3gp" TargetMode="External" /><Relationship Type="http://schemas.openxmlformats.org/officeDocument/2006/relationships/hyperlink" Id="rId104" Target="https://doi.org/cqgvs8" TargetMode="External" /><Relationship Type="http://schemas.openxmlformats.org/officeDocument/2006/relationships/hyperlink" Id="rId170" Target="https://doi.org/ctccpq" TargetMode="External" /><Relationship Type="http://schemas.openxmlformats.org/officeDocument/2006/relationships/hyperlink" Id="rId270" Target="https://doi.org/cw9jwc" TargetMode="External" /><Relationship Type="http://schemas.openxmlformats.org/officeDocument/2006/relationships/hyperlink" Id="rId118" Target="https://doi.org/cwcqj4" TargetMode="External" /><Relationship Type="http://schemas.openxmlformats.org/officeDocument/2006/relationships/hyperlink" Id="rId263" Target="https://doi.org/d4sz5m" TargetMode="External" /><Relationship Type="http://schemas.openxmlformats.org/officeDocument/2006/relationships/hyperlink" Id="rId240" Target="https://doi.org/d89z7p" TargetMode="External" /><Relationship Type="http://schemas.openxmlformats.org/officeDocument/2006/relationships/hyperlink" Id="rId126" Target="https://doi.org/d8wq" TargetMode="External" /><Relationship Type="http://schemas.openxmlformats.org/officeDocument/2006/relationships/hyperlink" Id="rId260" Target="https://doi.org/dctz5h" TargetMode="External" /><Relationship Type="http://schemas.openxmlformats.org/officeDocument/2006/relationships/hyperlink" Id="rId91" Target="https://doi.org/djgzjr" TargetMode="External" /><Relationship Type="http://schemas.openxmlformats.org/officeDocument/2006/relationships/hyperlink" Id="rId99" Target="https://doi.org/drgphk" TargetMode="External" /><Relationship Type="http://schemas.openxmlformats.org/officeDocument/2006/relationships/hyperlink" Id="rId139" Target="https://doi.org/dvd8nf" TargetMode="External" /><Relationship Type="http://schemas.openxmlformats.org/officeDocument/2006/relationships/hyperlink" Id="rId152" Target="https://doi.org/f828mh" TargetMode="External" /><Relationship Type="http://schemas.openxmlformats.org/officeDocument/2006/relationships/hyperlink" Id="rId301" Target="https://doi.org/f8txgm" TargetMode="External" /><Relationship Type="http://schemas.openxmlformats.org/officeDocument/2006/relationships/hyperlink" Id="rId222" Target="https://doi.org/f952f7" TargetMode="External" /><Relationship Type="http://schemas.openxmlformats.org/officeDocument/2006/relationships/hyperlink" Id="rId276" Target="https://doi.org/f9w8gd" TargetMode="External" /><Relationship Type="http://schemas.openxmlformats.org/officeDocument/2006/relationships/hyperlink" Id="rId106" Target="https://doi.org/fpnss4" TargetMode="External" /><Relationship Type="http://schemas.openxmlformats.org/officeDocument/2006/relationships/hyperlink" Id="rId93" Target="https://doi.org/ftmsvc" TargetMode="External" /><Relationship Type="http://schemas.openxmlformats.org/officeDocument/2006/relationships/hyperlink" Id="rId258" Target="https://doi.org/fw7g9p" TargetMode="External" /><Relationship Type="http://schemas.openxmlformats.org/officeDocument/2006/relationships/hyperlink" Id="rId85" Target="https://doi.org/gbhr94" TargetMode="External" /><Relationship Type="http://schemas.openxmlformats.org/officeDocument/2006/relationships/hyperlink" Id="rId184" Target="https://doi.org/gcpg4p" TargetMode="External" /><Relationship Type="http://schemas.openxmlformats.org/officeDocument/2006/relationships/hyperlink" Id="rId130" Target="https://doi.org/gdfmcv" TargetMode="External" /><Relationship Type="http://schemas.openxmlformats.org/officeDocument/2006/relationships/hyperlink" Id="rId144" Target="https://doi.org/gf4xvc" TargetMode="External" /><Relationship Type="http://schemas.openxmlformats.org/officeDocument/2006/relationships/hyperlink" Id="rId150" Target="https://doi.org/gfgtsg" TargetMode="External" /><Relationship Type="http://schemas.openxmlformats.org/officeDocument/2006/relationships/hyperlink" Id="rId193" Target="https://doi.org/gfjsvn" TargetMode="External" /><Relationship Type="http://schemas.openxmlformats.org/officeDocument/2006/relationships/hyperlink" Id="rId287" Target="https://doi.org/gftz95" TargetMode="External" /><Relationship Type="http://schemas.openxmlformats.org/officeDocument/2006/relationships/hyperlink" Id="rId174" Target="https://doi.org/gfz39k" TargetMode="External" /><Relationship Type="http://schemas.openxmlformats.org/officeDocument/2006/relationships/hyperlink" Id="rId250" Target="https://doi.org/ggfh8z" TargetMode="External" /><Relationship Type="http://schemas.openxmlformats.org/officeDocument/2006/relationships/hyperlink" Id="rId272" Target="https://doi.org/ggqh9p" TargetMode="External" /><Relationship Type="http://schemas.openxmlformats.org/officeDocument/2006/relationships/hyperlink" Id="rId289" Target="https://doi.org/ggrgxn" TargetMode="External" /><Relationship Type="http://schemas.openxmlformats.org/officeDocument/2006/relationships/hyperlink" Id="rId160" Target="https://doi.org/gh5k2r" TargetMode="External" /><Relationship Type="http://schemas.openxmlformats.org/officeDocument/2006/relationships/hyperlink" Id="rId134" Target="https://doi.org/gh5k4z" TargetMode="External" /><Relationship Type="http://schemas.openxmlformats.org/officeDocument/2006/relationships/hyperlink" Id="rId148" Target="https://doi.org/gh5k63" TargetMode="External" /><Relationship Type="http://schemas.openxmlformats.org/officeDocument/2006/relationships/hyperlink" Id="rId158" Target="https://doi.org/gh5k6p" TargetMode="External" /><Relationship Type="http://schemas.openxmlformats.org/officeDocument/2006/relationships/hyperlink" Id="rId132" Target="https://doi.org/gh5k6v" TargetMode="External" /><Relationship Type="http://schemas.openxmlformats.org/officeDocument/2006/relationships/hyperlink" Id="rId246" Target="https://doi.org/gh5k7b" TargetMode="External" /><Relationship Type="http://schemas.openxmlformats.org/officeDocument/2006/relationships/hyperlink" Id="rId297" Target="https://doi.org/gh5k7d" TargetMode="External" /><Relationship Type="http://schemas.openxmlformats.org/officeDocument/2006/relationships/hyperlink" Id="rId156" Target="https://doi.org/gh7mjt" TargetMode="External" /><Relationship Type="http://schemas.openxmlformats.org/officeDocument/2006/relationships/hyperlink" Id="rId128" Target="https://doi.org/ghdnhh" TargetMode="External" /><Relationship Type="http://schemas.openxmlformats.org/officeDocument/2006/relationships/hyperlink" Id="rId216" Target="https://doi.org/ghgzp9" TargetMode="External" /><Relationship Type="http://schemas.openxmlformats.org/officeDocument/2006/relationships/hyperlink" Id="rId218" Target="https://doi.org/ghjw3k" TargetMode="External" /><Relationship Type="http://schemas.openxmlformats.org/officeDocument/2006/relationships/hyperlink" Id="rId226" Target="https://doi.org/gj47j3" TargetMode="External" /><Relationship Type="http://schemas.openxmlformats.org/officeDocument/2006/relationships/hyperlink" Id="rId120" Target="https://doi.org/gj4tz6" TargetMode="External" /><Relationship Type="http://schemas.openxmlformats.org/officeDocument/2006/relationships/hyperlink" Id="rId220" Target="https://doi.org/gj5ngz" TargetMode="External" /><Relationship Type="http://schemas.openxmlformats.org/officeDocument/2006/relationships/hyperlink" Id="rId146" Target="https://doi.org/gj5v98" TargetMode="External" /><Relationship Type="http://schemas.openxmlformats.org/officeDocument/2006/relationships/hyperlink" Id="rId230" Target="https://doi.org/gjm236" TargetMode="External" /><Relationship Type="http://schemas.openxmlformats.org/officeDocument/2006/relationships/hyperlink" Id="rId112" Target="https://doi.org/gjrsqx" TargetMode="External" /><Relationship Type="http://schemas.openxmlformats.org/officeDocument/2006/relationships/hyperlink" Id="rId87" Target="https://doi.org/gjsn3g" TargetMode="External" /><Relationship Type="http://schemas.openxmlformats.org/officeDocument/2006/relationships/hyperlink" Id="rId110" Target="https://doi.org/gjvpw5" TargetMode="External" /><Relationship Type="http://schemas.openxmlformats.org/officeDocument/2006/relationships/hyperlink" Id="rId154" Target="https://doi.org/gjxvc7" TargetMode="External" /><Relationship Type="http://schemas.openxmlformats.org/officeDocument/2006/relationships/hyperlink" Id="rId210" Target="https://doi.org/gk36pd" TargetMode="External" /><Relationship Type="http://schemas.openxmlformats.org/officeDocument/2006/relationships/hyperlink" Id="rId254" Target="https://doi.org/gk36vq" TargetMode="External" /><Relationship Type="http://schemas.openxmlformats.org/officeDocument/2006/relationships/hyperlink" Id="rId172" Target="https://doi.org/gk4j65" TargetMode="External" /><Relationship Type="http://schemas.openxmlformats.org/officeDocument/2006/relationships/hyperlink" Id="rId266" Target="https://doi.org/gk5r6r" TargetMode="External" /><Relationship Type="http://schemas.openxmlformats.org/officeDocument/2006/relationships/hyperlink" Id="rId224" Target="https://doi.org/gk5sph" TargetMode="External" /><Relationship Type="http://schemas.openxmlformats.org/officeDocument/2006/relationships/hyperlink" Id="rId252" Target="https://doi.org/gmb98n" TargetMode="External" /><Relationship Type="http://schemas.openxmlformats.org/officeDocument/2006/relationships/hyperlink" Id="rId182" Target="https://doi.org/gmb9k6" TargetMode="External" /><Relationship Type="http://schemas.openxmlformats.org/officeDocument/2006/relationships/hyperlink" Id="rId168" Target="https://doi.org/gmbws5" TargetMode="External" /><Relationship Type="http://schemas.openxmlformats.org/officeDocument/2006/relationships/hyperlink" Id="rId89" Target="https://doi.org/gmcv29" TargetMode="External" /><Relationship Type="http://schemas.openxmlformats.org/officeDocument/2006/relationships/hyperlink" Id="rId197" Target="https://doi.org/gmcvbf" TargetMode="External" /><Relationship Type="http://schemas.openxmlformats.org/officeDocument/2006/relationships/hyperlink" Id="rId165" Target="https://doi.org/gmdnd9" TargetMode="External" /><Relationship Type="http://schemas.openxmlformats.org/officeDocument/2006/relationships/hyperlink" Id="rId242" Target="https://doi.org/gmdnfr" TargetMode="External" /><Relationship Type="http://schemas.openxmlformats.org/officeDocument/2006/relationships/hyperlink" Id="rId163" Target="https://doi.org/gmgbps" TargetMode="External" /><Relationship Type="http://schemas.openxmlformats.org/officeDocument/2006/relationships/hyperlink" Id="rId285" Target="https://doi.org/gmgbpz" TargetMode="External" /><Relationship Type="http://schemas.openxmlformats.org/officeDocument/2006/relationships/hyperlink" Id="rId81" Target="https://doi.org/r7f" TargetMode="External" /><Relationship Type="http://schemas.openxmlformats.org/officeDocument/2006/relationships/hyperlink" Id="rId189" Target="https://eppi.ioe.ac.uk/cms/Default.aspx?tabid=108" TargetMode="External" /><Relationship Type="http://schemas.openxmlformats.org/officeDocument/2006/relationships/hyperlink" Id="rId199" Target="https://er.educause.edu/articles/2020/10/the-landscape-of-merging-modalities" TargetMode="External" /><Relationship Type="http://schemas.openxmlformats.org/officeDocument/2006/relationships/hyperlink" Id="rId108" Target="https://eric.ed.gov/?id=ED053419" TargetMode="External" /><Relationship Type="http://schemas.openxmlformats.org/officeDocument/2006/relationships/hyperlink" Id="rId79" Target="https://eric.ed.gov/?id=ED323186" TargetMode="External" /><Relationship Type="http://schemas.openxmlformats.org/officeDocument/2006/relationships/hyperlink" Id="rId228" Target="https://eric.ed.gov/?id=ED490355" TargetMode="External" /><Relationship Type="http://schemas.openxmlformats.org/officeDocument/2006/relationships/hyperlink" Id="rId114" Target="https://pure.mpg.de/rest/items/item_3326892/component/file_3327086/content" TargetMode="External" /><Relationship Type="http://schemas.openxmlformats.org/officeDocument/2006/relationships/hyperlink" Id="rId40" Target="https://researchrabbit.ai" TargetMode="External" /><Relationship Type="http://schemas.openxmlformats.org/officeDocument/2006/relationships/hyperlink" Id="rId124" Target="https://towardsdatascience.com/likert-scales-friend-or-foe-76f865786fb7" TargetMode="External" /><Relationship Type="http://schemas.openxmlformats.org/officeDocument/2006/relationships/hyperlink" Id="rId212" Target="https://www.amazon.ca/Classroom-Assessment-Standards-PreK-12-Teachers-ebook/dp/B00V6C9RVO?asin=B00V6C9RVO&amp;revisionId=d45424dd&amp;format=1&amp;depth=1" TargetMode="External" /><Relationship Type="http://schemas.openxmlformats.org/officeDocument/2006/relationships/hyperlink" Id="rId244" Target="https://www.bristol.ac.uk/media-library/sites/education/documents/researchreview.pdf" TargetMode="External" /><Relationship Type="http://schemas.openxmlformats.org/officeDocument/2006/relationships/hyperlink" Id="rId299" Target="https://www.ijede.ca/index.php/jde/article/view/1106" TargetMode="External" /><Relationship Type="http://schemas.openxmlformats.org/officeDocument/2006/relationships/hyperlink" Id="rId268" Target="https://www.ncbi.nlm.nih.gov/pmc/articles/null" TargetMode="External" /><Relationship Type="http://schemas.openxmlformats.org/officeDocument/2006/relationships/hyperlink" Id="rId278" Target="https://www.testingstandards.net/uploads/7/6/6/4/76643089/9780935302356.pdf" TargetMode="External" /><Relationship Type="http://schemas.openxmlformats.org/officeDocument/2006/relationships/hyperlink" Id="rId176"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2022-03-05T20:29:48Z</dcterms:created>
  <dcterms:modified xsi:type="dcterms:W3CDTF">2022-03-05T20:29:48Z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2022-03-05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