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0"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0"/>
    <w:bookmarkStart w:id="21"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4"/>
    <w:bookmarkEnd w:id="25"/>
    <w:bookmarkStart w:id="3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DeLuca, and LaPointe-McEwan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2"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30" name="Picture"/>
            <a:graphic>
              <a:graphicData uri="http://schemas.openxmlformats.org/drawingml/2006/picture">
                <pic:pic>
                  <pic:nvPicPr>
                    <pic:cNvPr descr="images/approaches-to-assessment.png" id="31"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2"/>
    <w:bookmarkStart w:id="33"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3"/>
    <w:bookmarkStart w:id="34"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4"/>
    <w:bookmarkStart w:id="3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36" name="Picture"/>
            <a:graphic>
              <a:graphicData uri="http://schemas.openxmlformats.org/drawingml/2006/picture">
                <pic:pic>
                  <pic:nvPicPr>
                    <pic:cNvPr descr="images/3p-model.png" id="37" name="Picture"/>
                    <pic:cNvPicPr>
                      <a:picLocks noChangeArrowheads="1" noChangeAspect="1"/>
                    </pic:cNvPicPr>
                  </pic:nvPicPr>
                  <pic:blipFill>
                    <a:blip r:embed="rId35"/>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8"/>
    <w:bookmarkEnd w:id="39"/>
    <w:bookmarkStart w:id="60" w:name="X8764a6209bcf66c4e31745546a63a6ef3996f82"/>
    <w:p>
      <w:pPr>
        <w:pStyle w:val="Heading1"/>
      </w:pPr>
      <w:r>
        <w:t xml:space="preserve">Validating the ACAI in Online higher Education</w:t>
      </w:r>
    </w:p>
    <w:bookmarkStart w:id="41"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w:t>
      </w:r>
      <w:r>
        <w:t xml:space="preserve"> </w:t>
      </w:r>
      <w:r>
        <w:t xml:space="preserve">“</w:t>
      </w:r>
      <w:r>
        <w:t xml:space="preserve">assessment</w:t>
      </w:r>
      <w:r>
        <w:t xml:space="preserve">”</w:t>
      </w:r>
      <w:r>
        <w:t xml:space="preserve">,</w:t>
      </w:r>
      <w:r>
        <w:t xml:space="preserve"> </w:t>
      </w:r>
      <w:r>
        <w:t xml:space="preserve">“</w:t>
      </w:r>
      <w:r>
        <w:t xml:space="preserve">online</w:t>
      </w:r>
      <w:r>
        <w:t xml:space="preserve">”</w:t>
      </w:r>
      <w:r>
        <w:t xml:space="preserve">,</w:t>
      </w:r>
      <w:r>
        <w:t xml:space="preserve"> </w:t>
      </w:r>
      <w:r>
        <w:t xml:space="preserve">“</w:t>
      </w:r>
      <w:r>
        <w:t xml:space="preserve">higher education</w:t>
      </w:r>
      <w:r>
        <w:t xml:space="preserve">”</w:t>
      </w:r>
      <w:r>
        <w:t xml:space="preserve">,</w:t>
      </w:r>
      <w:r>
        <w:t xml:space="preserve"> </w:t>
      </w:r>
      <w:r>
        <w:t xml:space="preserve">“</w:t>
      </w:r>
      <w:r>
        <w:t xml:space="preserve">learning</w:t>
      </w:r>
      <w:r>
        <w:t xml:space="preserve">”</w:t>
      </w:r>
      <w:r>
        <w:t xml:space="preserve">, and</w:t>
      </w:r>
      <w:r>
        <w:t xml:space="preserve"> </w:t>
      </w:r>
      <w:r>
        <w:t xml:space="preserve">“</w:t>
      </w:r>
      <w:r>
        <w:t xml:space="preserve">learner impact</w:t>
      </w:r>
      <w:r>
        <w:t xml:space="preserve">”</w:t>
      </w:r>
      <w:r>
        <w:t xml:space="preserve"> </w:t>
      </w:r>
      <w:r>
        <w:t xml:space="preserve">in various combinations. I also used</w:t>
      </w:r>
      <w:r>
        <w:t xml:space="preserve"> </w:t>
      </w:r>
      <w:hyperlink r:id="rId40">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41"/>
    <w:bookmarkStart w:id="46"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42"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42"/>
    <w:bookmarkStart w:id="43"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r>
        <w:t xml:space="preserve">DeLuca et al. (</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3"/>
    <w:bookmarkStart w:id="44"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”Students’ conceptions of assessment purposes in a low stakes secondary-school context: A mixed methodology approach”*</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Qualitative data were used to confirm tentative inferences from quantitative analysis.</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Semi-structured interview questions were revised in light of quantitative inferences, and participants could view their survey answers during their interviews.</w:t>
            </w: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Yes</w:t>
            </w:r>
          </w:p>
        </w:tc>
        <w:tc>
          <w:tcPr/>
          <w:p>
            <w:pPr>
              <w:pStyle w:val="Compact"/>
            </w:pPr>
          </w:p>
        </w:tc>
      </w:tr>
      <w:tr>
        <w:tc>
          <w:tcPr/>
          <w:p>
            <w:pPr>
              <w:pStyle w:val="Compact"/>
              <w:jc w:val="left"/>
            </w:pPr>
            <w:r>
              <w:t xml:space="preserve">Qualitative Inference</w:t>
            </w:r>
          </w:p>
        </w:tc>
        <w:tc>
          <w:tcPr/>
          <w:p>
            <w:pPr>
              <w:pStyle w:val="Compact"/>
              <w:jc w:val="left"/>
            </w:pPr>
            <w:r>
              <w:t xml:space="preserve">Learners value assessment information but it takes work to use the information formatively.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Quantitative Inference</w:t>
            </w:r>
          </w:p>
        </w:tc>
        <w:tc>
          <w:tcPr/>
          <w:p>
            <w:pPr>
              <w:pStyle w:val="Compact"/>
              <w:jc w:val="left"/>
            </w:pPr>
            <w:r>
              <w:t xml:space="preserve">Learners agreed more with the idea that assessment is a tool for improvement and less with the idea that assessment is negative.</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Teacher education and development should systematically include alternative assessment practices.</w:t>
            </w:r>
          </w:p>
        </w:tc>
        <w:tc>
          <w:tcPr/>
          <w:p>
            <w:pPr>
              <w:pStyle w:val="Compact"/>
            </w:pPr>
          </w:p>
        </w:tc>
        <w:tc>
          <w:tcPr/>
          <w:p>
            <w:pPr>
              <w:pStyle w:val="Compact"/>
              <w:jc w:val="left"/>
            </w:pPr>
            <w:r>
              <w:t xml:space="preserve">-</w:t>
            </w:r>
          </w:p>
        </w:tc>
      </w:tr>
      <w:tr>
        <w:tc>
          <w:tcPr/>
          <w:p>
            <w:pPr>
              <w:pStyle w:val="Compact"/>
              <w:jc w:val="left"/>
            </w:pPr>
            <w:r>
              <w:t xml:space="preserve">Value Added</w:t>
            </w:r>
          </w:p>
        </w:tc>
        <w:tc>
          <w:tcPr/>
          <w:p>
            <w:pPr>
              <w:pStyle w:val="Compact"/>
              <w:jc w:val="left"/>
            </w:pPr>
            <w:r>
              <w:t xml:space="preserve">Linking data from both surveys and interviews provided opportunity for learners to elaborate on their views and provide a richer picture of their conceptions of assessment.</w:t>
            </w:r>
          </w:p>
        </w:tc>
        <w:tc>
          <w:tcPr/>
          <w:p>
            <w:pPr>
              <w:pStyle w:val="Compact"/>
            </w:pPr>
          </w:p>
        </w:tc>
        <w:tc>
          <w:tcPr/>
          <w:p>
            <w:pPr>
              <w:pStyle w:val="Compact"/>
            </w:pPr>
          </w:p>
        </w:tc>
      </w:tr>
    </w:tbl>
    <w:p>
      <w:pPr>
        <w:pStyle w:val="BodyText"/>
      </w:pPr>
      <w:r>
        <w:rPr>
          <w:bCs/>
          <w:b/>
        </w:rPr>
        <w:t xml:space="preserve">Table 2</w:t>
      </w:r>
    </w:p>
    <w:p>
      <w:pPr>
        <w:pStyle w:val="BodyText"/>
      </w:pPr>
      <w:r>
        <w:rPr>
          <w:iCs/>
          <w:i/>
        </w:rPr>
        <w:t xml:space="preserve">Overview of</w:t>
      </w:r>
      <w:r>
        <w:rPr>
          <w:iCs/>
          <w:i/>
        </w:rPr>
        <w:t xml:space="preserve"> </w:t>
      </w:r>
      <w:r>
        <w:t xml:space="preserve">”A Mixed-methods, Cross-sectional Study of Assessment Literacy of Iranian University Instructors: Implications for Teachers’ Professional Development”*</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Complementarity</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elaborate on the quantiative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analysis filled gaps in quantitative inferences.</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Results showed support for a three-component model of assessment literacy.</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Assessment literacy is a multi-dimensional concept affected my many factors, including teaching experience, professional development and training, and the local teaching context.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critical to helping the researchers understand the differences seen between subgroups in the quantitative analysis.</w:t>
            </w:r>
          </w:p>
        </w:tc>
        <w:tc>
          <w:tcPr/>
          <w:p>
            <w:pPr>
              <w:pStyle w:val="Compact"/>
            </w:pPr>
          </w:p>
        </w:tc>
        <w:tc>
          <w:tcPr/>
          <w:p>
            <w:pPr>
              <w:pStyle w:val="Compact"/>
            </w:pPr>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 and 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Side-by-side comparison (concurrent)</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and quantitative data were analyzed concurrently by presenting them side-by-side for comparison.</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showed alignment with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Although participants were able to demonstrate knowledge of assessment literacy, they had difficulty translating that knowledge into practice.</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important for determining the difficulty in translating knowledge of assessment literacy into practice of good assessment.</w:t>
            </w:r>
          </w:p>
        </w:tc>
        <w:tc>
          <w:tcPr/>
          <w:p>
            <w:pPr>
              <w:pStyle w:val="Compact"/>
            </w:pPr>
          </w:p>
        </w:tc>
        <w:tc>
          <w:tcPr/>
          <w:p>
            <w:pPr>
              <w:pStyle w:val="Compact"/>
            </w:pPr>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Concurrent</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Consecutive</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Open-ended (qualitative) responses were gathered along with quantitative responses and were designed to elicit clarifying views.</w:t>
            </w:r>
          </w:p>
        </w:tc>
      </w:tr>
      <w:tr>
        <w:tc>
          <w:tcPr/>
          <w:p>
            <w:pPr>
              <w:pStyle w:val="Compact"/>
            </w:pPr>
          </w:p>
        </w:tc>
        <w:tc>
          <w:tcPr/>
          <w:p>
            <w:pPr>
              <w:pStyle w:val="Compact"/>
              <w:jc w:val="left"/>
            </w:pPr>
            <w:r>
              <w:t xml:space="preserve">Data Analysis</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deeper levels of complexity compared to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First-year university learners indicated positive views of assessment, regardless of their program.</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Universities should recognize that first-year learners tend to have positive views of assessment and should communicate often with them about the purposes of assessment.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showed areas of misalignment with the quantitative analysis.</w:t>
            </w:r>
          </w:p>
        </w:tc>
        <w:tc>
          <w:tcPr/>
          <w:p>
            <w:pPr>
              <w:pStyle w:val="Compact"/>
            </w:pPr>
          </w:p>
        </w:tc>
        <w:tc>
          <w:tcPr/>
          <w:p>
            <w:pPr>
              <w:pStyle w:val="Compact"/>
            </w:pPr>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4"/>
    <w:bookmarkStart w:id="45"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5"/>
    <w:bookmarkEnd w:id="46"/>
    <w:bookmarkStart w:id="50"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943600" cy="3368755"/>
            <wp:effectExtent b="0" l="0" r="0" t="0"/>
            <wp:docPr descr="" title="" id="48" name="Picture"/>
            <a:graphic>
              <a:graphicData uri="http://schemas.openxmlformats.org/drawingml/2006/picture">
                <pic:pic>
                  <pic:nvPicPr>
                    <pic:cNvPr descr="images/methods-viz.png" id="49" name="Picture"/>
                    <pic:cNvPicPr>
                      <a:picLocks noChangeArrowheads="1" noChangeAspect="1"/>
                    </pic:cNvPicPr>
                  </pic:nvPicPr>
                  <pic:blipFill>
                    <a:blip r:embed="rId47"/>
                    <a:stretch>
                      <a:fillRect/>
                    </a:stretch>
                  </pic:blipFill>
                  <pic:spPr bwMode="auto">
                    <a:xfrm>
                      <a:off x="0" y="0"/>
                      <a:ext cx="5943600" cy="3368755"/>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50"/>
    <w:bookmarkStart w:id="51"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51"/>
    <w:bookmarkStart w:id="54" w:name="data-collection-strategy"/>
    <w:p>
      <w:pPr>
        <w:pStyle w:val="Heading2"/>
      </w:pPr>
      <w:r>
        <w:t xml:space="preserve">Data Collection Strategy</w:t>
      </w:r>
    </w:p>
    <w:bookmarkStart w:id="52"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52"/>
    <w:bookmarkStart w:id="53"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53"/>
    <w:bookmarkEnd w:id="54"/>
    <w:bookmarkStart w:id="57"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5"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5"/>
    <w:bookmarkStart w:id="56"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w:t>
      </w:r>
      <w:r>
        <w:t xml:space="preserve"> </w:t>
      </w:r>
      <w:r>
        <w:t xml:space="preserve">“</w:t>
      </w:r>
      <w:r>
        <w:t xml:space="preserve">Phase 1b Analysis</w:t>
      </w:r>
      <w:r>
        <w:t xml:space="preserve">”</w:t>
      </w:r>
      <w:r>
        <w:t xml:space="preserve">, 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6"/>
    <w:bookmarkEnd w:id="57"/>
    <w:bookmarkStart w:id="58"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Projected Date</w:t>
            </w:r>
          </w:p>
        </w:tc>
        <w:tc>
          <w:tcPr/>
          <w:p>
            <w:pPr>
              <w:pStyle w:val="Compact"/>
              <w:jc w:val="left"/>
            </w:pPr>
            <w:r>
              <w:t xml:space="preserve">Project Stage</w:t>
            </w:r>
          </w:p>
        </w:tc>
      </w:tr>
      <w:tr>
        <w:tc>
          <w:tcPr/>
          <w:p>
            <w:pPr>
              <w:pStyle w:val="Compact"/>
              <w:jc w:val="left"/>
            </w:pPr>
            <w:r>
              <w:t xml:space="preserve">December 2021</w:t>
            </w:r>
          </w:p>
        </w:tc>
        <w:tc>
          <w:tcPr/>
          <w:p>
            <w:pPr>
              <w:pStyle w:val="Compact"/>
              <w:jc w:val="left"/>
            </w:pPr>
            <w:r>
              <w:t xml:space="preserve">UVic HREB Approval</w:t>
            </w:r>
          </w:p>
        </w:tc>
      </w:tr>
      <w:tr>
        <w:tc>
          <w:tcPr/>
          <w:p>
            <w:pPr>
              <w:pStyle w:val="Compact"/>
              <w:jc w:val="left"/>
            </w:pPr>
            <w:r>
              <w:t xml:space="preserve">January 2022</w:t>
            </w:r>
          </w:p>
        </w:tc>
        <w:tc>
          <w:tcPr/>
          <w:p>
            <w:pPr>
              <w:pStyle w:val="Compact"/>
              <w:jc w:val="left"/>
            </w:pPr>
            <w:r>
              <w:t xml:space="preserve">Pilot Phase</w:t>
            </w:r>
          </w:p>
        </w:tc>
      </w:tr>
      <w:tr>
        <w:tc>
          <w:tcPr/>
          <w:p>
            <w:pPr>
              <w:pStyle w:val="Compact"/>
              <w:jc w:val="left"/>
            </w:pPr>
            <w:r>
              <w:t xml:space="preserve">February 2022</w:t>
            </w:r>
          </w:p>
        </w:tc>
        <w:tc>
          <w:tcPr/>
          <w:p>
            <w:pPr>
              <w:pStyle w:val="Compact"/>
              <w:jc w:val="left"/>
            </w:pPr>
            <w:r>
              <w:t xml:space="preserve">Phase 1 Data Collection</w:t>
            </w:r>
          </w:p>
        </w:tc>
      </w:tr>
      <w:tr>
        <w:tc>
          <w:tcPr/>
          <w:p>
            <w:pPr>
              <w:pStyle w:val="Compact"/>
              <w:jc w:val="left"/>
            </w:pPr>
            <w:r>
              <w:t xml:space="preserve">July 2022</w:t>
            </w:r>
          </w:p>
        </w:tc>
        <w:tc>
          <w:tcPr/>
          <w:p>
            <w:pPr>
              <w:pStyle w:val="Compact"/>
              <w:jc w:val="left"/>
            </w:pPr>
            <w:r>
              <w:t xml:space="preserve">Phase 1a and 1b Data Analysis</w:t>
            </w:r>
          </w:p>
        </w:tc>
      </w:tr>
      <w:tr>
        <w:tc>
          <w:tcPr/>
          <w:p>
            <w:pPr>
              <w:pStyle w:val="Compact"/>
              <w:jc w:val="left"/>
            </w:pPr>
            <w:r>
              <w:t xml:space="preserve">September 2022</w:t>
            </w:r>
          </w:p>
        </w:tc>
        <w:tc>
          <w:tcPr/>
          <w:p>
            <w:pPr>
              <w:pStyle w:val="Compact"/>
              <w:jc w:val="left"/>
            </w:pPr>
            <w:r>
              <w:t xml:space="preserve">Phase 2 Data Collection</w:t>
            </w:r>
          </w:p>
        </w:tc>
      </w:tr>
      <w:tr>
        <w:tc>
          <w:tcPr/>
          <w:p>
            <w:pPr>
              <w:pStyle w:val="Compact"/>
              <w:jc w:val="left"/>
            </w:pPr>
            <w:r>
              <w:t xml:space="preserve">November 2022</w:t>
            </w:r>
          </w:p>
        </w:tc>
        <w:tc>
          <w:tcPr/>
          <w:p>
            <w:pPr>
              <w:pStyle w:val="Compact"/>
              <w:jc w:val="left"/>
            </w:pPr>
            <w:r>
              <w:t xml:space="preserve">Phase 2 Data Analysis</w:t>
            </w:r>
          </w:p>
        </w:tc>
      </w:tr>
      <w:tr>
        <w:tc>
          <w:tcPr/>
          <w:p>
            <w:pPr>
              <w:pStyle w:val="Compact"/>
              <w:jc w:val="left"/>
            </w:pPr>
            <w:r>
              <w:t xml:space="preserve">January 2023</w:t>
            </w:r>
          </w:p>
        </w:tc>
        <w:tc>
          <w:tcPr/>
          <w:p>
            <w:pPr>
              <w:pStyle w:val="Compact"/>
              <w:jc w:val="left"/>
            </w:pPr>
            <w:r>
              <w:t xml:space="preserve">Integration and Write-Up</w:t>
            </w:r>
          </w:p>
        </w:tc>
      </w:tr>
    </w:tbl>
    <w:bookmarkEnd w:id="58"/>
    <w:bookmarkStart w:id="59"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59"/>
    <w:bookmarkEnd w:id="60"/>
    <w:bookmarkStart w:id="77" w:name="assessment-in-digital-learning"/>
    <w:p>
      <w:pPr>
        <w:pStyle w:val="Heading1"/>
      </w:pPr>
      <w:r>
        <w:t xml:space="preserve">Assessment in Digital Learning</w:t>
      </w:r>
    </w:p>
    <w:p>
      <w:pPr>
        <w:numPr>
          <w:ilvl w:val="0"/>
          <w:numId w:val="1038"/>
        </w:numPr>
        <w:pStyle w:val="Compact"/>
      </w:pPr>
      <w:r>
        <w:t xml:space="preserve">Emergent themes based on first two papers, which</w:t>
      </w:r>
      <w:r>
        <w:t xml:space="preserve"> </w:t>
      </w:r>
      <w:r>
        <w:rPr>
          <w:iCs/>
          <w:i/>
          <w:bCs/>
          <w:b/>
        </w:rPr>
        <w:t xml:space="preserve">may</w:t>
      </w:r>
      <w:r>
        <w:t xml:space="preserve"> </w:t>
      </w:r>
      <w:r>
        <w:t xml:space="preserve">include:</w:t>
      </w:r>
    </w:p>
    <w:p>
      <w:pPr>
        <w:numPr>
          <w:ilvl w:val="1"/>
          <w:numId w:val="1039"/>
        </w:numPr>
        <w:pStyle w:val="Compact"/>
      </w:pPr>
      <w:r>
        <w:t xml:space="preserve">technology for adaptive testing, automated item generation, large-scale assessments (NCLEX, PISA, FSA, etc)</w:t>
      </w:r>
    </w:p>
    <w:p>
      <w:pPr>
        <w:numPr>
          <w:ilvl w:val="1"/>
          <w:numId w:val="1039"/>
        </w:numPr>
        <w:pStyle w:val="Compact"/>
      </w:pPr>
      <w:r>
        <w:t xml:space="preserve">technology for surveillance or academic integrity (Turnitin, Proctorio, etc)</w:t>
      </w:r>
    </w:p>
    <w:p>
      <w:pPr>
        <w:numPr>
          <w:ilvl w:val="1"/>
          <w:numId w:val="1039"/>
        </w:numPr>
        <w:pStyle w:val="Compact"/>
      </w:pPr>
      <w:r>
        <w:t xml:space="preserve">technology to enable new forms of learning- and learner-centred assessments (portfolios, collaboration, version control, learner contributors)</w:t>
      </w:r>
    </w:p>
    <w:p>
      <w:pPr>
        <w:numPr>
          <w:ilvl w:val="1"/>
          <w:numId w:val="1039"/>
        </w:numPr>
        <w:pStyle w:val="Compact"/>
      </w:pPr>
      <w:r>
        <w:t xml:space="preserve">ethical applications of technology in assessment</w:t>
      </w:r>
    </w:p>
    <w:bookmarkStart w:id="61" w:name="introduction-1"/>
    <w:p>
      <w:pPr>
        <w:pStyle w:val="Heading3"/>
      </w:pPr>
      <w:r>
        <w:t xml:space="preserve">Introduction</w:t>
      </w:r>
    </w:p>
    <w:bookmarkEnd w:id="61"/>
    <w:bookmarkStart w:id="73" w:name="assessment-and-technology-1"/>
    <w:p>
      <w:pPr>
        <w:pStyle w:val="Heading2"/>
      </w:pPr>
      <w:r>
        <w:rPr>
          <w:rStyle w:val="SectionNumber"/>
        </w:rPr>
        <w:t xml:space="preserve">0.1</w:t>
      </w:r>
      <w:r>
        <w:tab/>
      </w: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Start w:id="62" w:name="literature"/>
    <w:p>
      <w:pPr>
        <w:pStyle w:val="Heading3"/>
      </w:pPr>
      <w:r>
        <w:t xml:space="preserve">Literature</w:t>
      </w:r>
    </w:p>
    <w:bookmarkEnd w:id="62"/>
    <w:bookmarkStart w:id="63" w:name="theoretical-conceptual-framework"/>
    <w:p>
      <w:pPr>
        <w:pStyle w:val="Heading3"/>
      </w:pPr>
      <w:r>
        <w:t xml:space="preserve">Theoretical / Conceptual Framework</w:t>
      </w:r>
    </w:p>
    <w:bookmarkEnd w:id="63"/>
    <w:bookmarkStart w:id="64" w:name="research-method"/>
    <w:p>
      <w:pPr>
        <w:pStyle w:val="Heading3"/>
      </w:pPr>
      <w:r>
        <w:t xml:space="preserve">Research Method</w:t>
      </w:r>
    </w:p>
    <w:bookmarkEnd w:id="64"/>
    <w:bookmarkStart w:id="65" w:name="analysis"/>
    <w:p>
      <w:pPr>
        <w:pStyle w:val="Heading3"/>
      </w:pPr>
      <w:r>
        <w:t xml:space="preserve">Analysis</w:t>
      </w:r>
    </w:p>
    <w:bookmarkEnd w:id="65"/>
    <w:bookmarkStart w:id="66" w:name="findings-and-limitations"/>
    <w:p>
      <w:pPr>
        <w:pStyle w:val="Heading3"/>
      </w:pPr>
      <w:r>
        <w:t xml:space="preserve">Findings and Limitations</w:t>
      </w:r>
    </w:p>
    <w:bookmarkEnd w:id="66"/>
    <w:bookmarkStart w:id="67" w:name="discussion"/>
    <w:p>
      <w:pPr>
        <w:pStyle w:val="Heading3"/>
      </w:pPr>
      <w:r>
        <w:t xml:space="preserve">Discussion</w:t>
      </w:r>
    </w:p>
    <w:bookmarkEnd w:id="67"/>
    <w:bookmarkStart w:id="68" w:name="impact-on-theory-andor-practice"/>
    <w:p>
      <w:pPr>
        <w:pStyle w:val="Heading3"/>
      </w:pPr>
      <w:r>
        <w:t xml:space="preserve">Impact on Theory and/or Practice</w:t>
      </w:r>
    </w:p>
    <w:bookmarkEnd w:id="68"/>
    <w:bookmarkStart w:id="69" w:name="recommendations-for-future-research"/>
    <w:p>
      <w:pPr>
        <w:pStyle w:val="Heading3"/>
      </w:pPr>
      <w:r>
        <w:t xml:space="preserve">Recommendations for Future Research</w:t>
      </w:r>
    </w:p>
    <w:bookmarkEnd w:id="69"/>
    <w:bookmarkStart w:id="70" w:name="conclusion"/>
    <w:p>
      <w:pPr>
        <w:pStyle w:val="Heading3"/>
      </w:pPr>
      <w:r>
        <w:t xml:space="preserve">Conclusion</w:t>
      </w:r>
    </w:p>
    <w:bookmarkEnd w:id="70"/>
    <w:bookmarkStart w:id="71" w:name="data-availability"/>
    <w:p>
      <w:pPr>
        <w:pStyle w:val="Heading3"/>
      </w:pPr>
      <w:r>
        <w:t xml:space="preserve">Data Availability</w:t>
      </w:r>
    </w:p>
    <w:bookmarkEnd w:id="71"/>
    <w:bookmarkStart w:id="72" w:name="references"/>
    <w:p>
      <w:pPr>
        <w:pStyle w:val="Heading3"/>
      </w:pPr>
      <w:r>
        <w:t xml:space="preserve">References</w:t>
      </w:r>
    </w:p>
    <w:bookmarkEnd w:id="72"/>
    <w:bookmarkEnd w:id="73"/>
    <w:bookmarkStart w:id="74" w:name="conclusions-and-recommendations"/>
    <w:p>
      <w:pPr>
        <w:pStyle w:val="Heading2"/>
      </w:pPr>
      <w:r>
        <w:t xml:space="preserve">Conclusions and Recommendations</w:t>
      </w:r>
    </w:p>
    <w:bookmarkEnd w:id="74"/>
    <w:bookmarkStart w:id="75" w:name="references-1"/>
    <w:p>
      <w:pPr>
        <w:pStyle w:val="Heading2"/>
      </w:pPr>
      <w:r>
        <w:t xml:space="preserve">References</w:t>
      </w:r>
    </w:p>
    <w:bookmarkEnd w:id="75"/>
    <w:bookmarkStart w:id="76" w:name="appendices"/>
    <w:p>
      <w:pPr>
        <w:pStyle w:val="Heading2"/>
      </w:pPr>
      <w:r>
        <w:t xml:space="preserve">Appendices</w:t>
      </w:r>
    </w:p>
    <w:bookmarkEnd w:id="76"/>
    <w:bookmarkEnd w:id="77"/>
    <w:bookmarkStart w:id="78" w:name="discussion-1"/>
    <w:p>
      <w:pPr>
        <w:pStyle w:val="Heading1"/>
      </w:pPr>
      <w:r>
        <w:t xml:space="preserve">Discussion</w:t>
      </w:r>
    </w:p>
    <w:p>
      <w:pPr>
        <w:pStyle w:val="FirstParagraph"/>
      </w:pPr>
      <w:r>
        <w:t xml:space="preserve">We have finished a nice book.</w:t>
      </w:r>
    </w:p>
    <w:bookmarkEnd w:id="78"/>
    <w:bookmarkStart w:id="304" w:name="conclusion-1"/>
    <w:p>
      <w:pPr>
        <w:pStyle w:val="Heading1"/>
      </w:pPr>
      <w:r>
        <w:t xml:space="preserve">Conclusion</w:t>
      </w:r>
    </w:p>
    <w:p>
      <w:pPr>
        <w:pStyle w:val="FirstParagraph"/>
      </w:pPr>
      <w:r>
        <w:t xml:space="preserve">This is from OSF</w:t>
      </w:r>
    </w:p>
    <w:bookmarkStart w:id="303" w:name="refs"/>
    <w:bookmarkStart w:id="8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79">
        <w:r>
          <w:rPr>
            <w:rStyle w:val="Hyperlink"/>
          </w:rPr>
          <w:t xml:space="preserve">https://eric.ed.gov/?id=ED323186</w:t>
        </w:r>
      </w:hyperlink>
      <w:r>
        <w:t xml:space="preserve">.</w:t>
      </w:r>
    </w:p>
    <w:bookmarkEnd w:id="80"/>
    <w:bookmarkStart w:id="82"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81">
        <w:r>
          <w:rPr>
            <w:rStyle w:val="Hyperlink"/>
          </w:rPr>
          <w:t xml:space="preserve">https://doi.org/r7f</w:t>
        </w:r>
      </w:hyperlink>
      <w:r>
        <w:t xml:space="preserve">.</w:t>
      </w:r>
    </w:p>
    <w:bookmarkEnd w:id="82"/>
    <w:bookmarkStart w:id="84"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83">
        <w:r>
          <w:rPr>
            <w:rStyle w:val="Hyperlink"/>
          </w:rPr>
          <w:t xml:space="preserve">https://doi.org/10.4135/9781526417190</w:t>
        </w:r>
      </w:hyperlink>
      <w:r>
        <w:t xml:space="preserve">.</w:t>
      </w:r>
    </w:p>
    <w:bookmarkEnd w:id="84"/>
    <w:bookmarkStart w:id="86"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85">
        <w:r>
          <w:rPr>
            <w:rStyle w:val="Hyperlink"/>
          </w:rPr>
          <w:t xml:space="preserve">https://doi.org/gbhr94</w:t>
        </w:r>
      </w:hyperlink>
      <w:r>
        <w:t xml:space="preserve">.</w:t>
      </w:r>
    </w:p>
    <w:bookmarkEnd w:id="86"/>
    <w:bookmarkStart w:id="88"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87">
        <w:r>
          <w:rPr>
            <w:rStyle w:val="Hyperlink"/>
          </w:rPr>
          <w:t xml:space="preserve">https://doi.org/gjsn3g</w:t>
        </w:r>
      </w:hyperlink>
      <w:r>
        <w:t xml:space="preserve">.</w:t>
      </w:r>
    </w:p>
    <w:bookmarkEnd w:id="88"/>
    <w:bookmarkStart w:id="90"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89">
        <w:r>
          <w:rPr>
            <w:rStyle w:val="Hyperlink"/>
          </w:rPr>
          <w:t xml:space="preserve">https://doi.org/gmcv29</w:t>
        </w:r>
      </w:hyperlink>
      <w:r>
        <w:t xml:space="preserve">.</w:t>
      </w:r>
    </w:p>
    <w:bookmarkEnd w:id="90"/>
    <w:bookmarkStart w:id="92"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91">
        <w:r>
          <w:rPr>
            <w:rStyle w:val="Hyperlink"/>
          </w:rPr>
          <w:t xml:space="preserve">https://doi.org/djgzjr</w:t>
        </w:r>
      </w:hyperlink>
      <w:r>
        <w:t xml:space="preserve">.</w:t>
      </w:r>
    </w:p>
    <w:bookmarkEnd w:id="92"/>
    <w:bookmarkStart w:id="94"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93">
        <w:r>
          <w:rPr>
            <w:rStyle w:val="Hyperlink"/>
          </w:rPr>
          <w:t xml:space="preserve">https://doi.org/ftmsvc</w:t>
        </w:r>
      </w:hyperlink>
      <w:r>
        <w:t xml:space="preserve">.</w:t>
      </w:r>
    </w:p>
    <w:bookmarkEnd w:id="94"/>
    <w:bookmarkStart w:id="96"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95">
        <w:r>
          <w:rPr>
            <w:rStyle w:val="Hyperlink"/>
          </w:rPr>
          <w:t xml:space="preserve">https://doi.org/ccdmd9</w:t>
        </w:r>
      </w:hyperlink>
      <w:r>
        <w:t xml:space="preserve">.</w:t>
      </w:r>
    </w:p>
    <w:bookmarkEnd w:id="96"/>
    <w:bookmarkStart w:id="98"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97">
        <w:r>
          <w:rPr>
            <w:rStyle w:val="Hyperlink"/>
          </w:rPr>
          <w:t xml:space="preserve">https://doi.org/chx3gp</w:t>
        </w:r>
      </w:hyperlink>
      <w:r>
        <w:t xml:space="preserve">.</w:t>
      </w:r>
    </w:p>
    <w:bookmarkEnd w:id="98"/>
    <w:bookmarkStart w:id="100"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99">
        <w:r>
          <w:rPr>
            <w:rStyle w:val="Hyperlink"/>
          </w:rPr>
          <w:t xml:space="preserve">https://doi.org/drgphk</w:t>
        </w:r>
      </w:hyperlink>
      <w:r>
        <w:t xml:space="preserve">.</w:t>
      </w:r>
    </w:p>
    <w:bookmarkEnd w:id="100"/>
    <w:bookmarkStart w:id="101"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101"/>
    <w:bookmarkStart w:id="102"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102"/>
    <w:bookmarkStart w:id="103"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103"/>
    <w:bookmarkStart w:id="105"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104">
        <w:r>
          <w:rPr>
            <w:rStyle w:val="Hyperlink"/>
          </w:rPr>
          <w:t xml:space="preserve">https://doi.org/cqgvs8</w:t>
        </w:r>
      </w:hyperlink>
      <w:r>
        <w:t xml:space="preserve">.</w:t>
      </w:r>
    </w:p>
    <w:bookmarkEnd w:id="105"/>
    <w:bookmarkStart w:id="107"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106">
        <w:r>
          <w:rPr>
            <w:rStyle w:val="Hyperlink"/>
          </w:rPr>
          <w:t xml:space="preserve">https://doi.org/fpnss4</w:t>
        </w:r>
      </w:hyperlink>
      <w:r>
        <w:t xml:space="preserve">.</w:t>
      </w:r>
    </w:p>
    <w:bookmarkEnd w:id="107"/>
    <w:bookmarkStart w:id="109"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108">
        <w:r>
          <w:rPr>
            <w:rStyle w:val="Hyperlink"/>
          </w:rPr>
          <w:t xml:space="preserve">https://eric.ed.gov/?id=ED053419</w:t>
        </w:r>
      </w:hyperlink>
      <w:r>
        <w:t xml:space="preserve">.</w:t>
      </w:r>
    </w:p>
    <w:bookmarkEnd w:id="109"/>
    <w:bookmarkStart w:id="111"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110">
        <w:r>
          <w:rPr>
            <w:rStyle w:val="Hyperlink"/>
          </w:rPr>
          <w:t xml:space="preserve">https://doi.org/gjvpw5</w:t>
        </w:r>
      </w:hyperlink>
      <w:r>
        <w:t xml:space="preserve">.</w:t>
      </w:r>
    </w:p>
    <w:bookmarkEnd w:id="111"/>
    <w:bookmarkStart w:id="113"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112">
        <w:r>
          <w:rPr>
            <w:rStyle w:val="Hyperlink"/>
          </w:rPr>
          <w:t xml:space="preserve">https://doi.org/gjrsqx</w:t>
        </w:r>
      </w:hyperlink>
      <w:r>
        <w:t xml:space="preserve">.</w:t>
      </w:r>
    </w:p>
    <w:bookmarkEnd w:id="113"/>
    <w:bookmarkStart w:id="11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114">
        <w:r>
          <w:rPr>
            <w:rStyle w:val="Hyperlink"/>
          </w:rPr>
          <w:t xml:space="preserve">https://pure.mpg.de/rest/items/item_3326892/component/file_3327086/content</w:t>
        </w:r>
      </w:hyperlink>
      <w:r>
        <w:t xml:space="preserve">.</w:t>
      </w:r>
    </w:p>
    <w:bookmarkEnd w:id="115"/>
    <w:bookmarkStart w:id="11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116">
        <w:r>
          <w:rPr>
            <w:rStyle w:val="Hyperlink"/>
          </w:rPr>
          <w:t xml:space="preserve">https://doi.org/10.1007/978-3-319-17727-4_64-1</w:t>
        </w:r>
      </w:hyperlink>
      <w:r>
        <w:t xml:space="preserve">.</w:t>
      </w:r>
    </w:p>
    <w:bookmarkEnd w:id="117"/>
    <w:bookmarkStart w:id="11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118">
        <w:r>
          <w:rPr>
            <w:rStyle w:val="Hyperlink"/>
          </w:rPr>
          <w:t xml:space="preserve">https://doi.org/cwcqj4</w:t>
        </w:r>
      </w:hyperlink>
      <w:r>
        <w:t xml:space="preserve">.</w:t>
      </w:r>
    </w:p>
    <w:bookmarkEnd w:id="119"/>
    <w:bookmarkStart w:id="12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20">
        <w:r>
          <w:rPr>
            <w:rStyle w:val="Hyperlink"/>
          </w:rPr>
          <w:t xml:space="preserve">https://doi.org/gj4tz6</w:t>
        </w:r>
      </w:hyperlink>
      <w:r>
        <w:t xml:space="preserve">.</w:t>
      </w:r>
    </w:p>
    <w:bookmarkEnd w:id="121"/>
    <w:bookmarkStart w:id="12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22">
        <w:r>
          <w:rPr>
            <w:rStyle w:val="Hyperlink"/>
          </w:rPr>
          <w:t xml:space="preserve">https://doi.org/c3k8f5</w:t>
        </w:r>
      </w:hyperlink>
      <w:r>
        <w:t xml:space="preserve">.</w:t>
      </w:r>
    </w:p>
    <w:bookmarkEnd w:id="123"/>
    <w:bookmarkStart w:id="125"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24">
        <w:r>
          <w:rPr>
            <w:rStyle w:val="Hyperlink"/>
          </w:rPr>
          <w:t xml:space="preserve">https://towardsdatascience.com/likert-scales-friend-or-foe-76f865786fb7</w:t>
        </w:r>
      </w:hyperlink>
      <w:r>
        <w:t xml:space="preserve">.</w:t>
      </w:r>
    </w:p>
    <w:bookmarkEnd w:id="125"/>
    <w:bookmarkStart w:id="127"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26">
        <w:r>
          <w:rPr>
            <w:rStyle w:val="Hyperlink"/>
          </w:rPr>
          <w:t xml:space="preserve">https://doi.org/d8wq</w:t>
        </w:r>
      </w:hyperlink>
      <w:r>
        <w:t xml:space="preserve">.</w:t>
      </w:r>
    </w:p>
    <w:bookmarkEnd w:id="127"/>
    <w:bookmarkStart w:id="129"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28">
        <w:r>
          <w:rPr>
            <w:rStyle w:val="Hyperlink"/>
          </w:rPr>
          <w:t xml:space="preserve">https://doi.org/ghdnhh</w:t>
        </w:r>
      </w:hyperlink>
      <w:r>
        <w:t xml:space="preserve">.</w:t>
      </w:r>
    </w:p>
    <w:bookmarkEnd w:id="129"/>
    <w:bookmarkStart w:id="131"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30">
        <w:r>
          <w:rPr>
            <w:rStyle w:val="Hyperlink"/>
          </w:rPr>
          <w:t xml:space="preserve">https://doi.org/gdfmcv</w:t>
        </w:r>
      </w:hyperlink>
      <w:r>
        <w:t xml:space="preserve">.</w:t>
      </w:r>
    </w:p>
    <w:bookmarkEnd w:id="131"/>
    <w:bookmarkStart w:id="133"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32">
        <w:r>
          <w:rPr>
            <w:rStyle w:val="Hyperlink"/>
          </w:rPr>
          <w:t xml:space="preserve">https://doi.org/gh5k6v</w:t>
        </w:r>
      </w:hyperlink>
      <w:r>
        <w:t xml:space="preserve">.</w:t>
      </w:r>
    </w:p>
    <w:bookmarkEnd w:id="133"/>
    <w:bookmarkStart w:id="135"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34">
        <w:r>
          <w:rPr>
            <w:rStyle w:val="Hyperlink"/>
          </w:rPr>
          <w:t xml:space="preserve">https://doi.org/gh5k4z</w:t>
        </w:r>
      </w:hyperlink>
      <w:r>
        <w:t xml:space="preserve">.</w:t>
      </w:r>
    </w:p>
    <w:bookmarkEnd w:id="135"/>
    <w:bookmarkStart w:id="137"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36">
        <w:r>
          <w:rPr>
            <w:rStyle w:val="Hyperlink"/>
          </w:rPr>
          <w:t xml:space="preserve">https://doi.org/10.4135/9781071802823</w:t>
        </w:r>
      </w:hyperlink>
      <w:r>
        <w:t xml:space="preserve">.</w:t>
      </w:r>
    </w:p>
    <w:bookmarkEnd w:id="137"/>
    <w:bookmarkStart w:id="138"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38"/>
    <w:bookmarkStart w:id="140"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39">
        <w:r>
          <w:rPr>
            <w:rStyle w:val="Hyperlink"/>
          </w:rPr>
          <w:t xml:space="preserve">https://doi.org/dvd8nf</w:t>
        </w:r>
      </w:hyperlink>
      <w:r>
        <w:t xml:space="preserve">.</w:t>
      </w:r>
    </w:p>
    <w:bookmarkEnd w:id="140"/>
    <w:bookmarkStart w:id="141"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41"/>
    <w:bookmarkStart w:id="143"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42">
        <w:r>
          <w:rPr>
            <w:rStyle w:val="Hyperlink"/>
          </w:rPr>
          <w:t xml:space="preserve">https://doi.org/10.1080/01626620.2012.730347</w:t>
        </w:r>
      </w:hyperlink>
      <w:r>
        <w:t xml:space="preserve">.</w:t>
      </w:r>
    </w:p>
    <w:bookmarkEnd w:id="143"/>
    <w:bookmarkStart w:id="145"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44">
        <w:r>
          <w:rPr>
            <w:rStyle w:val="Hyperlink"/>
          </w:rPr>
          <w:t xml:space="preserve">https://doi.org/gf4xvc</w:t>
        </w:r>
      </w:hyperlink>
      <w:r>
        <w:t xml:space="preserve">.</w:t>
      </w:r>
    </w:p>
    <w:bookmarkEnd w:id="145"/>
    <w:bookmarkStart w:id="147"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46">
        <w:r>
          <w:rPr>
            <w:rStyle w:val="Hyperlink"/>
          </w:rPr>
          <w:t xml:space="preserve">https://doi.org/gj5v98</w:t>
        </w:r>
      </w:hyperlink>
      <w:r>
        <w:t xml:space="preserve">.</w:t>
      </w:r>
    </w:p>
    <w:bookmarkEnd w:id="147"/>
    <w:bookmarkStart w:id="149"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48">
        <w:r>
          <w:rPr>
            <w:rStyle w:val="Hyperlink"/>
          </w:rPr>
          <w:t xml:space="preserve">https://doi.org/gh5k63</w:t>
        </w:r>
      </w:hyperlink>
      <w:r>
        <w:t xml:space="preserve">.</w:t>
      </w:r>
    </w:p>
    <w:bookmarkEnd w:id="149"/>
    <w:bookmarkStart w:id="151"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50">
        <w:r>
          <w:rPr>
            <w:rStyle w:val="Hyperlink"/>
          </w:rPr>
          <w:t xml:space="preserve">https://doi.org/gfgtsg</w:t>
        </w:r>
      </w:hyperlink>
      <w:r>
        <w:t xml:space="preserve">.</w:t>
      </w:r>
    </w:p>
    <w:bookmarkEnd w:id="151"/>
    <w:bookmarkStart w:id="153"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52">
        <w:r>
          <w:rPr>
            <w:rStyle w:val="Hyperlink"/>
          </w:rPr>
          <w:t xml:space="preserve">https://doi.org/f828mh</w:t>
        </w:r>
      </w:hyperlink>
      <w:r>
        <w:t xml:space="preserve">.</w:t>
      </w:r>
    </w:p>
    <w:bookmarkEnd w:id="153"/>
    <w:bookmarkStart w:id="155"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54">
        <w:r>
          <w:rPr>
            <w:rStyle w:val="Hyperlink"/>
          </w:rPr>
          <w:t xml:space="preserve">https://doi.org/gjxvc7</w:t>
        </w:r>
      </w:hyperlink>
      <w:r>
        <w:t xml:space="preserve">.</w:t>
      </w:r>
    </w:p>
    <w:bookmarkEnd w:id="155"/>
    <w:bookmarkStart w:id="157"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56">
        <w:r>
          <w:rPr>
            <w:rStyle w:val="Hyperlink"/>
          </w:rPr>
          <w:t xml:space="preserve">https://doi.org/gh7mjt</w:t>
        </w:r>
      </w:hyperlink>
      <w:r>
        <w:t xml:space="preserve">.</w:t>
      </w:r>
    </w:p>
    <w:bookmarkEnd w:id="157"/>
    <w:bookmarkStart w:id="159"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58">
        <w:r>
          <w:rPr>
            <w:rStyle w:val="Hyperlink"/>
          </w:rPr>
          <w:t xml:space="preserve">https://doi.org/gh5k6p</w:t>
        </w:r>
      </w:hyperlink>
      <w:r>
        <w:t xml:space="preserve">.</w:t>
      </w:r>
    </w:p>
    <w:bookmarkEnd w:id="159"/>
    <w:bookmarkStart w:id="161"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60">
        <w:r>
          <w:rPr>
            <w:rStyle w:val="Hyperlink"/>
          </w:rPr>
          <w:t xml:space="preserve">https://doi.org/gh5k2r</w:t>
        </w:r>
      </w:hyperlink>
      <w:r>
        <w:t xml:space="preserve">.</w:t>
      </w:r>
    </w:p>
    <w:bookmarkEnd w:id="161"/>
    <w:bookmarkStart w:id="162"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62"/>
    <w:bookmarkStart w:id="164"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63">
        <w:r>
          <w:rPr>
            <w:rStyle w:val="Hyperlink"/>
          </w:rPr>
          <w:t xml:space="preserve">https://doi.org/gmgbps</w:t>
        </w:r>
      </w:hyperlink>
      <w:r>
        <w:t xml:space="preserve">.</w:t>
      </w:r>
    </w:p>
    <w:bookmarkEnd w:id="164"/>
    <w:bookmarkStart w:id="166"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65">
        <w:r>
          <w:rPr>
            <w:rStyle w:val="Hyperlink"/>
          </w:rPr>
          <w:t xml:space="preserve">https://doi.org/gmdnd9</w:t>
        </w:r>
      </w:hyperlink>
      <w:r>
        <w:t xml:space="preserve">.</w:t>
      </w:r>
    </w:p>
    <w:bookmarkEnd w:id="166"/>
    <w:bookmarkStart w:id="167"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67"/>
    <w:bookmarkStart w:id="169"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68">
        <w:r>
          <w:rPr>
            <w:rStyle w:val="Hyperlink"/>
          </w:rPr>
          <w:t xml:space="preserve">https://doi.org/gmbws5</w:t>
        </w:r>
      </w:hyperlink>
      <w:r>
        <w:t xml:space="preserve">.</w:t>
      </w:r>
    </w:p>
    <w:bookmarkEnd w:id="169"/>
    <w:bookmarkStart w:id="171"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70">
        <w:r>
          <w:rPr>
            <w:rStyle w:val="Hyperlink"/>
          </w:rPr>
          <w:t xml:space="preserve">https://doi.org/ctccpq</w:t>
        </w:r>
      </w:hyperlink>
      <w:r>
        <w:t xml:space="preserve">.</w:t>
      </w:r>
    </w:p>
    <w:bookmarkEnd w:id="171"/>
    <w:bookmarkStart w:id="173"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72">
        <w:r>
          <w:rPr>
            <w:rStyle w:val="Hyperlink"/>
          </w:rPr>
          <w:t xml:space="preserve">https://doi.org/gk4j65</w:t>
        </w:r>
      </w:hyperlink>
      <w:r>
        <w:t xml:space="preserve">.</w:t>
      </w:r>
    </w:p>
    <w:bookmarkEnd w:id="173"/>
    <w:bookmarkStart w:id="175"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74">
        <w:r>
          <w:rPr>
            <w:rStyle w:val="Hyperlink"/>
          </w:rPr>
          <w:t xml:space="preserve">https://doi.org/gfz39k</w:t>
        </w:r>
      </w:hyperlink>
      <w:r>
        <w:t xml:space="preserve">.</w:t>
      </w:r>
    </w:p>
    <w:bookmarkEnd w:id="175"/>
    <w:bookmarkStart w:id="177"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76">
        <w:r>
          <w:rPr>
            <w:rStyle w:val="Hyperlink"/>
          </w:rPr>
          <w:t xml:space="preserve">https://www.weforum.org/reports/the-future-of-jobs-report-2020/</w:t>
        </w:r>
      </w:hyperlink>
      <w:r>
        <w:t xml:space="preserve">.</w:t>
      </w:r>
    </w:p>
    <w:bookmarkEnd w:id="177"/>
    <w:bookmarkStart w:id="179"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78">
        <w:r>
          <w:rPr>
            <w:rStyle w:val="Hyperlink"/>
          </w:rPr>
          <w:t xml:space="preserve">http://cnx.org/contents/b3014cd9-6e3a-474f-bbaa-c948cbc8e205@5.12.</w:t>
        </w:r>
      </w:hyperlink>
    </w:p>
    <w:bookmarkEnd w:id="179"/>
    <w:bookmarkStart w:id="181"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80">
        <w:r>
          <w:rPr>
            <w:rStyle w:val="Hyperlink"/>
          </w:rPr>
          <w:t xml:space="preserve">https://doi.org/10.4135/9781412961288.n272</w:t>
        </w:r>
      </w:hyperlink>
      <w:r>
        <w:t xml:space="preserve">.</w:t>
      </w:r>
    </w:p>
    <w:bookmarkEnd w:id="181"/>
    <w:bookmarkStart w:id="183"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82">
        <w:r>
          <w:rPr>
            <w:rStyle w:val="Hyperlink"/>
          </w:rPr>
          <w:t xml:space="preserve">https://doi.org/gmb9k6</w:t>
        </w:r>
      </w:hyperlink>
      <w:r>
        <w:t xml:space="preserve">.</w:t>
      </w:r>
    </w:p>
    <w:bookmarkEnd w:id="183"/>
    <w:bookmarkStart w:id="185"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84">
        <w:r>
          <w:rPr>
            <w:rStyle w:val="Hyperlink"/>
          </w:rPr>
          <w:t xml:space="preserve">https://doi.org/gcpg4p</w:t>
        </w:r>
      </w:hyperlink>
      <w:r>
        <w:t xml:space="preserve">.</w:t>
      </w:r>
    </w:p>
    <w:bookmarkEnd w:id="185"/>
    <w:bookmarkStart w:id="187"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86">
        <w:r>
          <w:rPr>
            <w:rStyle w:val="Hyperlink"/>
          </w:rPr>
          <w:t xml:space="preserve">https://books.google.ca/books?id=k_zxEUst46UC</w:t>
        </w:r>
      </w:hyperlink>
      <w:r>
        <w:t xml:space="preserve">.</w:t>
      </w:r>
    </w:p>
    <w:bookmarkEnd w:id="187"/>
    <w:bookmarkStart w:id="188"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88"/>
    <w:bookmarkStart w:id="190"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89">
        <w:r>
          <w:rPr>
            <w:rStyle w:val="Hyperlink"/>
          </w:rPr>
          <w:t xml:space="preserve">https://eppi.ioe.ac.uk/cms/Default.aspx?tabid=108</w:t>
        </w:r>
      </w:hyperlink>
      <w:r>
        <w:t xml:space="preserve">.</w:t>
      </w:r>
    </w:p>
    <w:bookmarkEnd w:id="190"/>
    <w:bookmarkStart w:id="192"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91">
        <w:r>
          <w:rPr>
            <w:rStyle w:val="Hyperlink"/>
          </w:rPr>
          <w:t xml:space="preserve">https://doi.org/10.1177/1609406918821574</w:t>
        </w:r>
      </w:hyperlink>
      <w:r>
        <w:t xml:space="preserve">.</w:t>
      </w:r>
    </w:p>
    <w:bookmarkEnd w:id="192"/>
    <w:bookmarkStart w:id="194"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93">
        <w:r>
          <w:rPr>
            <w:rStyle w:val="Hyperlink"/>
          </w:rPr>
          <w:t xml:space="preserve">https://doi.org/gfjsvn</w:t>
        </w:r>
      </w:hyperlink>
      <w:r>
        <w:t xml:space="preserve">.</w:t>
      </w:r>
    </w:p>
    <w:bookmarkEnd w:id="194"/>
    <w:bookmarkStart w:id="196"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95">
        <w:r>
          <w:rPr>
            <w:rStyle w:val="Hyperlink"/>
          </w:rPr>
          <w:t xml:space="preserve">https://doi.org/10.1007/978-1-4614-3876-2_5</w:t>
        </w:r>
      </w:hyperlink>
      <w:r>
        <w:t xml:space="preserve">.</w:t>
      </w:r>
    </w:p>
    <w:bookmarkEnd w:id="196"/>
    <w:bookmarkStart w:id="198"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97">
        <w:r>
          <w:rPr>
            <w:rStyle w:val="Hyperlink"/>
          </w:rPr>
          <w:t xml:space="preserve">https://doi.org/gmcvbf</w:t>
        </w:r>
      </w:hyperlink>
      <w:r>
        <w:t xml:space="preserve">.</w:t>
      </w:r>
    </w:p>
    <w:bookmarkEnd w:id="198"/>
    <w:bookmarkStart w:id="200"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99">
        <w:r>
          <w:rPr>
            <w:rStyle w:val="Hyperlink"/>
          </w:rPr>
          <w:t xml:space="preserve">https://er.educause.edu/articles/2020/10/the-landscape-of-merging-modalities</w:t>
        </w:r>
      </w:hyperlink>
      <w:r>
        <w:t xml:space="preserve">.</w:t>
      </w:r>
    </w:p>
    <w:bookmarkEnd w:id="200"/>
    <w:bookmarkStart w:id="202"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201">
        <w:r>
          <w:rPr>
            <w:rStyle w:val="Hyperlink"/>
          </w:rPr>
          <w:t xml:space="preserve">https://doi.org/b5gxwx</w:t>
        </w:r>
      </w:hyperlink>
      <w:r>
        <w:t xml:space="preserve">.</w:t>
      </w:r>
    </w:p>
    <w:bookmarkEnd w:id="202"/>
    <w:bookmarkStart w:id="204"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203">
        <w:r>
          <w:rPr>
            <w:rStyle w:val="Hyperlink"/>
          </w:rPr>
          <w:t xml:space="preserve">https://doi.org/10.17077/etd.35vh2oc1</w:t>
        </w:r>
      </w:hyperlink>
      <w:r>
        <w:t xml:space="preserve">.</w:t>
      </w:r>
    </w:p>
    <w:bookmarkEnd w:id="204"/>
    <w:bookmarkStart w:id="205"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205"/>
    <w:bookmarkStart w:id="207"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206">
        <w:r>
          <w:rPr>
            <w:rStyle w:val="Hyperlink"/>
          </w:rPr>
          <w:t xml:space="preserve">https://doi.org/cg679w</w:t>
        </w:r>
      </w:hyperlink>
      <w:r>
        <w:t xml:space="preserve">.</w:t>
      </w:r>
    </w:p>
    <w:bookmarkEnd w:id="207"/>
    <w:bookmarkStart w:id="209"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208">
        <w:r>
          <w:rPr>
            <w:rStyle w:val="Hyperlink"/>
          </w:rPr>
          <w:t xml:space="preserve">https://doi.org/10.1177/1558689806298224</w:t>
        </w:r>
      </w:hyperlink>
      <w:r>
        <w:t xml:space="preserve">.</w:t>
      </w:r>
    </w:p>
    <w:bookmarkEnd w:id="209"/>
    <w:bookmarkStart w:id="211"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210">
        <w:r>
          <w:rPr>
            <w:rStyle w:val="Hyperlink"/>
          </w:rPr>
          <w:t xml:space="preserve">https://doi.org/gk36pd</w:t>
        </w:r>
      </w:hyperlink>
      <w:r>
        <w:t xml:space="preserve">.</w:t>
      </w:r>
    </w:p>
    <w:bookmarkEnd w:id="211"/>
    <w:bookmarkStart w:id="213"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212">
        <w:r>
          <w:rPr>
            <w:rStyle w:val="Hyperlink"/>
          </w:rPr>
          <w:t xml:space="preserve">https://www.amazon.ca/Classroom-Assessment-Standards-PreK-12-Teachers-ebook/dp/B00V6C9RVO?asin=B00V6C9RVO&amp;revisionId=d45424dd&amp;format=1&amp;depth=1</w:t>
        </w:r>
      </w:hyperlink>
      <w:r>
        <w:t xml:space="preserve">.</w:t>
      </w:r>
    </w:p>
    <w:bookmarkEnd w:id="213"/>
    <w:bookmarkStart w:id="215"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214">
        <w:r>
          <w:rPr>
            <w:rStyle w:val="Hyperlink"/>
          </w:rPr>
          <w:t xml:space="preserve">https://doi.org/b25nb2</w:t>
        </w:r>
      </w:hyperlink>
      <w:r>
        <w:t xml:space="preserve">.</w:t>
      </w:r>
    </w:p>
    <w:bookmarkEnd w:id="215"/>
    <w:bookmarkStart w:id="217"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216">
        <w:r>
          <w:rPr>
            <w:rStyle w:val="Hyperlink"/>
          </w:rPr>
          <w:t xml:space="preserve">https://doi.org/ghgzp9</w:t>
        </w:r>
      </w:hyperlink>
      <w:r>
        <w:t xml:space="preserve">.</w:t>
      </w:r>
    </w:p>
    <w:bookmarkEnd w:id="217"/>
    <w:bookmarkStart w:id="219"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218">
        <w:r>
          <w:rPr>
            <w:rStyle w:val="Hyperlink"/>
          </w:rPr>
          <w:t xml:space="preserve">https://doi.org/ghjw3k</w:t>
        </w:r>
      </w:hyperlink>
      <w:r>
        <w:t xml:space="preserve">.</w:t>
      </w:r>
    </w:p>
    <w:bookmarkEnd w:id="219"/>
    <w:bookmarkStart w:id="221"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20">
        <w:r>
          <w:rPr>
            <w:rStyle w:val="Hyperlink"/>
          </w:rPr>
          <w:t xml:space="preserve">https://doi.org/gj5ngz</w:t>
        </w:r>
      </w:hyperlink>
      <w:r>
        <w:t xml:space="preserve">.</w:t>
      </w:r>
    </w:p>
    <w:bookmarkEnd w:id="221"/>
    <w:bookmarkStart w:id="223"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22">
        <w:r>
          <w:rPr>
            <w:rStyle w:val="Hyperlink"/>
          </w:rPr>
          <w:t xml:space="preserve">https://doi.org/f952f7</w:t>
        </w:r>
      </w:hyperlink>
      <w:r>
        <w:t xml:space="preserve">.</w:t>
      </w:r>
    </w:p>
    <w:bookmarkEnd w:id="223"/>
    <w:bookmarkStart w:id="225"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24">
        <w:r>
          <w:rPr>
            <w:rStyle w:val="Hyperlink"/>
          </w:rPr>
          <w:t xml:space="preserve">https://doi.org/gk5sph</w:t>
        </w:r>
      </w:hyperlink>
      <w:r>
        <w:t xml:space="preserve">.</w:t>
      </w:r>
    </w:p>
    <w:bookmarkEnd w:id="225"/>
    <w:bookmarkStart w:id="227"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26">
        <w:r>
          <w:rPr>
            <w:rStyle w:val="Hyperlink"/>
          </w:rPr>
          <w:t xml:space="preserve">https://doi.org/gj47j3</w:t>
        </w:r>
      </w:hyperlink>
      <w:r>
        <w:t xml:space="preserve">.</w:t>
      </w:r>
    </w:p>
    <w:bookmarkEnd w:id="227"/>
    <w:bookmarkStart w:id="229"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28">
        <w:r>
          <w:rPr>
            <w:rStyle w:val="Hyperlink"/>
          </w:rPr>
          <w:t xml:space="preserve">https://eric.ed.gov/?id=ED490355</w:t>
        </w:r>
      </w:hyperlink>
      <w:r>
        <w:t xml:space="preserve">.</w:t>
      </w:r>
    </w:p>
    <w:bookmarkEnd w:id="229"/>
    <w:bookmarkStart w:id="231"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30">
        <w:r>
          <w:rPr>
            <w:rStyle w:val="Hyperlink"/>
          </w:rPr>
          <w:t xml:space="preserve">https://doi.org/gjm236</w:t>
        </w:r>
      </w:hyperlink>
      <w:r>
        <w:t xml:space="preserve">.</w:t>
      </w:r>
    </w:p>
    <w:bookmarkEnd w:id="231"/>
    <w:bookmarkStart w:id="232"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32"/>
    <w:bookmarkStart w:id="234"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33">
        <w:r>
          <w:rPr>
            <w:rStyle w:val="Hyperlink"/>
          </w:rPr>
          <w:t xml:space="preserve">https://doi.org/cgqtqx</w:t>
        </w:r>
      </w:hyperlink>
      <w:r>
        <w:t xml:space="preserve">.</w:t>
      </w:r>
    </w:p>
    <w:bookmarkEnd w:id="234"/>
    <w:bookmarkStart w:id="236"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35">
        <w:r>
          <w:rPr>
            <w:rStyle w:val="Hyperlink"/>
          </w:rPr>
          <w:t xml:space="preserve">https://doi.org/10.18510/hssr.2020.8180</w:t>
        </w:r>
      </w:hyperlink>
      <w:r>
        <w:t xml:space="preserve">.</w:t>
      </w:r>
    </w:p>
    <w:bookmarkEnd w:id="236"/>
    <w:bookmarkStart w:id="237"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37"/>
    <w:bookmarkStart w:id="239"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38">
        <w:r>
          <w:rPr>
            <w:rStyle w:val="Hyperlink"/>
          </w:rPr>
          <w:t xml:space="preserve">http://methods.sagepub.com/book/sage-handbook-of-mixed-methods-social-behavioral-research-2e/n9.xml</w:t>
        </w:r>
      </w:hyperlink>
      <w:r>
        <w:t xml:space="preserve">.</w:t>
      </w:r>
    </w:p>
    <w:bookmarkEnd w:id="239"/>
    <w:bookmarkStart w:id="241"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40">
        <w:r>
          <w:rPr>
            <w:rStyle w:val="Hyperlink"/>
          </w:rPr>
          <w:t xml:space="preserve">https://doi.org/d89z7p</w:t>
        </w:r>
      </w:hyperlink>
      <w:r>
        <w:t xml:space="preserve">.</w:t>
      </w:r>
    </w:p>
    <w:bookmarkEnd w:id="241"/>
    <w:bookmarkStart w:id="243"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42">
        <w:r>
          <w:rPr>
            <w:rStyle w:val="Hyperlink"/>
          </w:rPr>
          <w:t xml:space="preserve">https://doi.org/gmdnfr</w:t>
        </w:r>
      </w:hyperlink>
      <w:r>
        <w:t xml:space="preserve">.</w:t>
      </w:r>
    </w:p>
    <w:bookmarkEnd w:id="243"/>
    <w:bookmarkStart w:id="245"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44">
        <w:r>
          <w:rPr>
            <w:rStyle w:val="Hyperlink"/>
          </w:rPr>
          <w:t xml:space="preserve">https://www.bristol.ac.uk/media-library/sites/education/documents/researchreview.pdf</w:t>
        </w:r>
      </w:hyperlink>
      <w:r>
        <w:t xml:space="preserve">.</w:t>
      </w:r>
    </w:p>
    <w:bookmarkEnd w:id="245"/>
    <w:bookmarkStart w:id="247"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46">
        <w:r>
          <w:rPr>
            <w:rStyle w:val="Hyperlink"/>
          </w:rPr>
          <w:t xml:space="preserve">https://doi.org/gh5k7b</w:t>
        </w:r>
      </w:hyperlink>
      <w:r>
        <w:t xml:space="preserve">.</w:t>
      </w:r>
    </w:p>
    <w:bookmarkEnd w:id="247"/>
    <w:bookmarkStart w:id="249"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48">
        <w:r>
          <w:rPr>
            <w:rStyle w:val="Hyperlink"/>
          </w:rPr>
          <w:t xml:space="preserve">https://doi.org/10.17226/10019</w:t>
        </w:r>
      </w:hyperlink>
      <w:r>
        <w:t xml:space="preserve">.</w:t>
      </w:r>
    </w:p>
    <w:bookmarkEnd w:id="249"/>
    <w:bookmarkStart w:id="251"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50">
        <w:r>
          <w:rPr>
            <w:rStyle w:val="Hyperlink"/>
          </w:rPr>
          <w:t xml:space="preserve">https://doi.org/ggfh8z</w:t>
        </w:r>
      </w:hyperlink>
      <w:r>
        <w:t xml:space="preserve">.</w:t>
      </w:r>
    </w:p>
    <w:bookmarkEnd w:id="251"/>
    <w:bookmarkStart w:id="253"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52">
        <w:r>
          <w:rPr>
            <w:rStyle w:val="Hyperlink"/>
          </w:rPr>
          <w:t xml:space="preserve">https://doi.org/gmb98n</w:t>
        </w:r>
      </w:hyperlink>
      <w:r>
        <w:t xml:space="preserve">.</w:t>
      </w:r>
    </w:p>
    <w:bookmarkEnd w:id="253"/>
    <w:bookmarkStart w:id="255"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54">
        <w:r>
          <w:rPr>
            <w:rStyle w:val="Hyperlink"/>
          </w:rPr>
          <w:t xml:space="preserve">https://doi.org/gk36vq</w:t>
        </w:r>
      </w:hyperlink>
      <w:r>
        <w:t xml:space="preserve">.</w:t>
      </w:r>
    </w:p>
    <w:bookmarkEnd w:id="255"/>
    <w:bookmarkStart w:id="257"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56">
        <w:r>
          <w:rPr>
            <w:rStyle w:val="Hyperlink"/>
          </w:rPr>
          <w:t xml:space="preserve">http://www.mwera.org/MWER/documents/MWER-1993-Winter-6-1.pdf</w:t>
        </w:r>
      </w:hyperlink>
      <w:r>
        <w:t xml:space="preserve">.</w:t>
      </w:r>
    </w:p>
    <w:bookmarkEnd w:id="257"/>
    <w:bookmarkStart w:id="259"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58">
        <w:r>
          <w:rPr>
            <w:rStyle w:val="Hyperlink"/>
          </w:rPr>
          <w:t xml:space="preserve">https://doi.org/fw7g9p</w:t>
        </w:r>
      </w:hyperlink>
      <w:r>
        <w:t xml:space="preserve">.</w:t>
      </w:r>
    </w:p>
    <w:bookmarkEnd w:id="259"/>
    <w:bookmarkStart w:id="261"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60">
        <w:r>
          <w:rPr>
            <w:rStyle w:val="Hyperlink"/>
          </w:rPr>
          <w:t xml:space="preserve">https://doi.org/dctz5h</w:t>
        </w:r>
      </w:hyperlink>
      <w:r>
        <w:t xml:space="preserve">.</w:t>
      </w:r>
    </w:p>
    <w:bookmarkEnd w:id="261"/>
    <w:bookmarkStart w:id="262"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62"/>
    <w:bookmarkStart w:id="264"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63">
        <w:r>
          <w:rPr>
            <w:rStyle w:val="Hyperlink"/>
          </w:rPr>
          <w:t xml:space="preserve">https://doi.org/d4sz5m</w:t>
        </w:r>
      </w:hyperlink>
      <w:r>
        <w:t xml:space="preserve">.</w:t>
      </w:r>
    </w:p>
    <w:bookmarkEnd w:id="264"/>
    <w:bookmarkStart w:id="265"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65"/>
    <w:bookmarkStart w:id="267"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66">
        <w:r>
          <w:rPr>
            <w:rStyle w:val="Hyperlink"/>
          </w:rPr>
          <w:t xml:space="preserve">https://doi.org/gk5r6r</w:t>
        </w:r>
      </w:hyperlink>
      <w:r>
        <w:t xml:space="preserve">.</w:t>
      </w:r>
    </w:p>
    <w:bookmarkEnd w:id="267"/>
    <w:bookmarkStart w:id="269" w:name="ref-scrivenMethodologyEvaluation1967"/>
    <w:p>
      <w:pPr>
        <w:pStyle w:val="Bibliography"/>
      </w:pPr>
      <w:r>
        <w:t xml:space="preserve">Scriven, Michael. 1967.</w:t>
      </w:r>
      <w:r>
        <w:t xml:space="preserve"> </w:t>
      </w:r>
      <w:r>
        <w:t xml:space="preserve">“</w:t>
      </w:r>
      <w:hyperlink r:id="rId268">
        <w:r>
          <w:rPr>
            <w:rStyle w:val="Hyperlink"/>
          </w:rPr>
          <w:t xml:space="preserve">The Methodology of Evaluation</w:t>
        </w:r>
      </w:hyperlink>
      <w:r>
        <w:t xml:space="preserve">.”</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69"/>
    <w:bookmarkStart w:id="271"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70">
        <w:r>
          <w:rPr>
            <w:rStyle w:val="Hyperlink"/>
          </w:rPr>
          <w:t xml:space="preserve">https://doi.org/cw9jwc</w:t>
        </w:r>
      </w:hyperlink>
      <w:r>
        <w:t xml:space="preserve">.</w:t>
      </w:r>
    </w:p>
    <w:bookmarkEnd w:id="271"/>
    <w:bookmarkStart w:id="273"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72">
        <w:r>
          <w:rPr>
            <w:rStyle w:val="Hyperlink"/>
          </w:rPr>
          <w:t xml:space="preserve">https://doi.org/ggqh9p</w:t>
        </w:r>
      </w:hyperlink>
      <w:r>
        <w:t xml:space="preserve">.</w:t>
      </w:r>
    </w:p>
    <w:bookmarkEnd w:id="273"/>
    <w:bookmarkStart w:id="275"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74">
        <w:r>
          <w:rPr>
            <w:rStyle w:val="Hyperlink"/>
          </w:rPr>
          <w:t xml:space="preserve">https://doi.org/10.1007/978-94-007-5902-2_19</w:t>
        </w:r>
      </w:hyperlink>
      <w:r>
        <w:t xml:space="preserve">.</w:t>
      </w:r>
    </w:p>
    <w:bookmarkEnd w:id="275"/>
    <w:bookmarkStart w:id="277"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76">
        <w:r>
          <w:rPr>
            <w:rStyle w:val="Hyperlink"/>
          </w:rPr>
          <w:t xml:space="preserve">https://doi.org/f9w8gd</w:t>
        </w:r>
      </w:hyperlink>
      <w:r>
        <w:t xml:space="preserve">.</w:t>
      </w:r>
    </w:p>
    <w:bookmarkEnd w:id="277"/>
    <w:bookmarkStart w:id="279"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78">
        <w:r>
          <w:rPr>
            <w:rStyle w:val="Hyperlink"/>
          </w:rPr>
          <w:t xml:space="preserve">https://www.testingstandards.net/uploads/7/6/6/4/76643089/9780935302356.pdf</w:t>
        </w:r>
      </w:hyperlink>
      <w:r>
        <w:t xml:space="preserve">.</w:t>
      </w:r>
    </w:p>
    <w:bookmarkEnd w:id="279"/>
    <w:bookmarkStart w:id="281"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80">
        <w:r>
          <w:rPr>
            <w:rStyle w:val="Hyperlink"/>
          </w:rPr>
          <w:t xml:space="preserve">http://www.jstor.org.ezproxy.library.uvic.ca/stable/20404455</w:t>
        </w:r>
      </w:hyperlink>
      <w:r>
        <w:t xml:space="preserve">.</w:t>
      </w:r>
    </w:p>
    <w:bookmarkEnd w:id="281"/>
    <w:bookmarkStart w:id="283"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82">
        <w:r>
          <w:rPr>
            <w:rStyle w:val="Hyperlink"/>
          </w:rPr>
          <w:t xml:space="preserve">http://www.jstor.org.ezproxy.library.uvic.ca/stable/20405538</w:t>
        </w:r>
      </w:hyperlink>
      <w:r>
        <w:t xml:space="preserve">.</w:t>
      </w:r>
    </w:p>
    <w:bookmarkEnd w:id="283"/>
    <w:bookmarkStart w:id="284"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84"/>
    <w:bookmarkStart w:id="286"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85">
        <w:r>
          <w:rPr>
            <w:rStyle w:val="Hyperlink"/>
          </w:rPr>
          <w:t xml:space="preserve">https://doi.org/gmgbpz</w:t>
        </w:r>
      </w:hyperlink>
      <w:r>
        <w:t xml:space="preserve">.</w:t>
      </w:r>
    </w:p>
    <w:bookmarkEnd w:id="286"/>
    <w:bookmarkStart w:id="288"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87">
        <w:r>
          <w:rPr>
            <w:rStyle w:val="Hyperlink"/>
          </w:rPr>
          <w:t xml:space="preserve">https://doi.org/gftz95</w:t>
        </w:r>
      </w:hyperlink>
      <w:r>
        <w:t xml:space="preserve">.</w:t>
      </w:r>
    </w:p>
    <w:bookmarkEnd w:id="288"/>
    <w:bookmarkStart w:id="290"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89">
        <w:r>
          <w:rPr>
            <w:rStyle w:val="Hyperlink"/>
          </w:rPr>
          <w:t xml:space="preserve">https://doi.org/ggrgxn</w:t>
        </w:r>
      </w:hyperlink>
      <w:r>
        <w:t xml:space="preserve">.</w:t>
      </w:r>
    </w:p>
    <w:bookmarkEnd w:id="290"/>
    <w:bookmarkStart w:id="292"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91">
        <w:r>
          <w:rPr>
            <w:rStyle w:val="Hyperlink"/>
          </w:rPr>
          <w:t xml:space="preserve">https://books.google.ca/books?id=zukGEAAAQBAJ</w:t>
        </w:r>
      </w:hyperlink>
      <w:r>
        <w:t xml:space="preserve">.</w:t>
      </w:r>
    </w:p>
    <w:bookmarkEnd w:id="292"/>
    <w:bookmarkStart w:id="294"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93">
        <w:r>
          <w:rPr>
            <w:rStyle w:val="Hyperlink"/>
          </w:rPr>
          <w:t xml:space="preserve">http://hackeducation.com/2015/01/13/speak-and-spell</w:t>
        </w:r>
      </w:hyperlink>
      <w:r>
        <w:t xml:space="preserve">.</w:t>
      </w:r>
    </w:p>
    <w:bookmarkEnd w:id="294"/>
    <w:bookmarkStart w:id="296"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95">
        <w:r>
          <w:rPr>
            <w:rStyle w:val="Hyperlink"/>
          </w:rPr>
          <w:t xml:space="preserve">https://doi.org/10.1007/978-3-319-71054-9_37</w:t>
        </w:r>
      </w:hyperlink>
      <w:r>
        <w:t xml:space="preserve">.</w:t>
      </w:r>
    </w:p>
    <w:bookmarkEnd w:id="296"/>
    <w:bookmarkStart w:id="298"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97">
        <w:r>
          <w:rPr>
            <w:rStyle w:val="Hyperlink"/>
          </w:rPr>
          <w:t xml:space="preserve">https://doi.org/gh5k7d</w:t>
        </w:r>
      </w:hyperlink>
      <w:r>
        <w:t xml:space="preserve">.</w:t>
      </w:r>
    </w:p>
    <w:bookmarkEnd w:id="298"/>
    <w:bookmarkStart w:id="300"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99">
        <w:r>
          <w:rPr>
            <w:rStyle w:val="Hyperlink"/>
          </w:rPr>
          <w:t xml:space="preserve">https://www.ijede.ca/index.php/jde/article/view/1106</w:t>
        </w:r>
      </w:hyperlink>
      <w:r>
        <w:t xml:space="preserve">.</w:t>
      </w:r>
    </w:p>
    <w:bookmarkEnd w:id="300"/>
    <w:bookmarkStart w:id="302"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301">
        <w:r>
          <w:rPr>
            <w:rStyle w:val="Hyperlink"/>
          </w:rPr>
          <w:t xml:space="preserve">https://doi.org/f8txgm</w:t>
        </w:r>
      </w:hyperlink>
      <w:r>
        <w:t xml:space="preserve">.</w:t>
      </w:r>
    </w:p>
    <w:bookmarkEnd w:id="302"/>
    <w:bookmarkEnd w:id="303"/>
    <w:bookmarkEnd w:id="30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2022-03-05T21:44:06Z</dcterms:created>
  <dcterms:modified xsi:type="dcterms:W3CDTF">2022-03-05T21:44:06Z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2022-03-05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