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2022-06-08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85" w:name="X54e1fb3cc3c88863a47e81a3913584c288682be"/>
    <w:p>
      <w:pPr>
        <w:pStyle w:val="Heading1"/>
      </w:pPr>
      <w:r>
        <w:t xml:space="preserve">A Review of the Literature on Assessment in Technology-mediated Higher Education</w:t>
      </w:r>
    </w:p>
    <w:p>
      <w:pPr>
        <w:numPr>
          <w:ilvl w:val="0"/>
          <w:numId w:val="1001"/>
        </w:numPr>
        <w:pStyle w:val="Compact"/>
      </w:pPr>
      <w:hyperlink w:anchor="X7fd4517881c86d3c991248d7f81971caa6af0b4">
        <w:r>
          <w:rPr>
            <w:rStyle w:val="Hyperlink"/>
          </w:rPr>
          <w:t xml:space="preserve">A Review of the Literature on Assessment in Technology-mediated Higher Education {-}</w:t>
        </w:r>
      </w:hyperlink>
    </w:p>
    <w:p>
      <w:pPr>
        <w:numPr>
          <w:ilvl w:val="1"/>
          <w:numId w:val="1002"/>
        </w:numPr>
        <w:pStyle w:val="Compact"/>
      </w:pPr>
      <w:hyperlink w:anchor="introduction--">
        <w:r>
          <w:rPr>
            <w:rStyle w:val="Hyperlink"/>
          </w:rPr>
          <w:t xml:space="preserve">Introduction {-}</w:t>
        </w:r>
      </w:hyperlink>
    </w:p>
    <w:p>
      <w:pPr>
        <w:numPr>
          <w:ilvl w:val="1"/>
          <w:numId w:val="1002"/>
        </w:numPr>
        <w:pStyle w:val="Compact"/>
      </w:pPr>
      <w:hyperlink w:anchor="a-brief-history-of-assessment-research--">
        <w:r>
          <w:rPr>
            <w:rStyle w:val="Hyperlink"/>
          </w:rPr>
          <w:t xml:space="preserve">A Brief History of Assessment Research {-}</w:t>
        </w:r>
      </w:hyperlink>
    </w:p>
    <w:p>
      <w:pPr>
        <w:numPr>
          <w:ilvl w:val="1"/>
          <w:numId w:val="1002"/>
        </w:numPr>
        <w:pStyle w:val="Compact"/>
      </w:pPr>
      <w:hyperlink w:anchor="factors--">
        <w:r>
          <w:rPr>
            <w:rStyle w:val="Hyperlink"/>
          </w:rPr>
          <w:t xml:space="preserve">Factors {-}</w:t>
        </w:r>
      </w:hyperlink>
    </w:p>
    <w:p>
      <w:pPr>
        <w:numPr>
          <w:ilvl w:val="2"/>
          <w:numId w:val="1003"/>
        </w:numPr>
        <w:pStyle w:val="Compact"/>
      </w:pPr>
      <w:hyperlink w:anchor="assessment-cultures--">
        <w:r>
          <w:rPr>
            <w:rStyle w:val="Hyperlink"/>
          </w:rPr>
          <w:t xml:space="preserve">Assessment Cultures {-}</w:t>
        </w:r>
      </w:hyperlink>
    </w:p>
    <w:p>
      <w:pPr>
        <w:numPr>
          <w:ilvl w:val="2"/>
          <w:numId w:val="1003"/>
        </w:numPr>
        <w:pStyle w:val="Compact"/>
      </w:pPr>
      <w:hyperlink w:anchor="X47bb0aba33bdb76d760a22b9d9dab467571d5e2">
        <w:r>
          <w:rPr>
            <w:rStyle w:val="Hyperlink"/>
          </w:rPr>
          <w:t xml:space="preserve">Impact of Technology on Approaches to Assessment in higher Education</w:t>
        </w:r>
      </w:hyperlink>
    </w:p>
    <w:bookmarkStart w:id="20" w:name="introduction"/>
    <w:p>
      <w:pPr>
        <w:pStyle w:val="Heading2"/>
      </w:pPr>
      <w:r>
        <w:t xml:space="preserve">Introduction</w:t>
      </w:r>
    </w:p>
    <w:p>
      <w:pPr>
        <w:pStyle w:val="FirstParagraph"/>
      </w:pPr>
      <w:r>
        <w:t xml:space="preserve">The assessment of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4"/>
        </w:numPr>
        <w:pStyle w:val="Compact"/>
      </w:pPr>
      <w:r>
        <w:t xml:space="preserve">What factors shape higher education instructors’ approaches to assessment?</w:t>
      </w:r>
    </w:p>
    <w:p>
      <w:pPr>
        <w:numPr>
          <w:ilvl w:val="0"/>
          <w:numId w:val="1004"/>
        </w:numPr>
        <w:pStyle w:val="Compact"/>
      </w:pPr>
      <w:r>
        <w:t xml:space="preserve">What are the major themes or patterns in the literature related to approaches to assessment in higher education?</w:t>
      </w:r>
      <w:r>
        <w:br/>
      </w:r>
    </w:p>
    <w:p>
      <w:pPr>
        <w:numPr>
          <w:ilvl w:val="0"/>
          <w:numId w:val="1004"/>
        </w:numPr>
        <w:pStyle w:val="Compact"/>
      </w:pPr>
      <w:r>
        <w:t xml:space="preserve">What are the major themes or patterns in the literature related to the impact of technology on assessment in higher education?</w:t>
      </w:r>
      <w:r>
        <w:br/>
      </w:r>
    </w:p>
    <w:p>
      <w:pPr>
        <w:numPr>
          <w:ilvl w:val="0"/>
          <w:numId w:val="1004"/>
        </w:numPr>
        <w:pStyle w:val="Compact"/>
      </w:pPr>
      <w:r>
        <w:t xml:space="preserve">What gaps exist in the literature related to approaches to assessment in technology-mediated higher education?</w:t>
      </w:r>
    </w:p>
    <w:bookmarkEnd w:id="20"/>
    <w:bookmarkStart w:id="21" w:name="a-brief-history-of-assessment-research"/>
    <w:p>
      <w:pPr>
        <w:pStyle w:val="Heading2"/>
      </w:pPr>
      <w:r>
        <w:t xml:space="preserve">A Brief History of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foundational report</w:t>
      </w:r>
      <w:r>
        <w:t xml:space="preserve"> </w:t>
      </w:r>
      <w:r>
        <w:rPr>
          <w:iCs/>
          <w:i/>
        </w:rPr>
        <w:t xml:space="preserve">Knowing What Students Know: The Science and Design of Educational Assessment</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assessments are probabilistic, not deterministic.</w:t>
      </w:r>
    </w:p>
    <w:p>
      <w:pPr>
        <w:pStyle w:val="BodyText"/>
      </w:pPr>
      <w:r>
        <w:t xml:space="preserve">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r>
        <w:t xml:space="preserve"> </w:t>
      </w:r>
      <w:r>
        <w:t xml:space="preserve">- improvement of teaching and learning,</w:t>
      </w:r>
      <w:r>
        <w:br/>
      </w:r>
      <w:r>
        <w:t xml:space="preserve">- school accountability,</w:t>
      </w:r>
      <w:r>
        <w:br/>
      </w:r>
      <w:r>
        <w:t xml:space="preserve">- student accountability, or</w:t>
      </w:r>
      <w:r>
        <w:br/>
      </w:r>
      <w:r>
        <w:t xml:space="preserve">- treating assessment as irrelevant.</w:t>
      </w:r>
    </w:p>
    <w:p>
      <w:pPr>
        <w:pStyle w:val="BodyText"/>
      </w:pPr>
      <w:r>
        <w:t xml:space="preserve">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highlights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Thus, assessment in socio-cultural contexts, which James argues is under-theorized, ought to be holistic and situated within the communal learning process, rather than an event that happens sometime after the learning has happened.</w:t>
      </w:r>
    </w:p>
    <w:p>
      <w:pPr>
        <w:pStyle w:val="BodyText"/>
      </w:pPr>
      <w:r>
        <w:t xml:space="preserve">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In a study that bridged K12 and higher education by examining pre-service teachers’ conceptions of assessment, DeLuca et al.</w:t>
      </w:r>
      <w:r>
        <w:t xml:space="preserve"> </w:t>
      </w:r>
      <w:r>
        <w:t xml:space="preserve">(</w:t>
      </w:r>
      <w:hyperlink w:anchor="X32b95a94fb3076f8d0c577bd9276160db2e95e5">
        <w:r>
          <w:rPr>
            <w:rStyle w:val="Hyperlink"/>
          </w:rPr>
          <w:t xml:space="preserve">2013</w:t>
        </w:r>
      </w:hyperlink>
      <w:r>
        <w:t xml:space="preserve">)</w:t>
      </w:r>
    </w:p>
    <w:bookmarkEnd w:id="21"/>
    <w:bookmarkStart w:id="84" w:name="factors"/>
    <w:p>
      <w:pPr>
        <w:pStyle w:val="Heading2"/>
      </w:pPr>
      <w:r>
        <w:t xml:space="preserve">Factors</w:t>
      </w:r>
    </w:p>
    <w:p>
      <w:pPr>
        <w:pStyle w:val="FirstParagraph"/>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bookmarkStart w:id="22" w:name="assessment-cultures"/>
    <w:p>
      <w:pPr>
        <w:pStyle w:val="Heading3"/>
      </w:pPr>
      <w:r>
        <w:t xml:space="preserve">Assessment Cultures</w:t>
      </w:r>
    </w:p>
    <w:p>
      <w:pPr>
        <w:pStyle w:val="FirstParagraph"/>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p>
      <w:pPr>
        <w:pStyle w:val="BodyText"/>
      </w:pPr>
      <w:r>
        <w:t xml:space="preserve">Assessment approaches including assessment purposes, assessment processes, fairness, and measurement theory, and English teachers’ professional development needs remain underexplored in the Middle East and North Africa regions. This study provided empirical evidence on English language teachers approaches in the Saudi higher education context. A survey was used to examine the teachers’ current approaches to classroom assessment. A total of 287 subjects (191 women and 94 men) participated in the survey. The results revealed that both the male and female participants valued and endorsed assessments alike. However, female participants were found to value assessment purposes more than their male counterparts. Fairness in assessment approaches was the least valued item in teachers’ identified assessment approaches. Experienced teachers who identified themselves as competent in their role valued assessment fairness and measurement theory more than novice teachers. The present work broadens our knowledge on teachers’ assessment approaches in relation to gender, career stage, and academic position, which support interested researchers and policy-makers in decision-making regarding designing professional development programs.</w:t>
      </w:r>
    </w:p>
    <w:bookmarkEnd w:id="22"/>
    <w:bookmarkStart w:id="83" w:name="X47bb0aba33bdb76d760a22b9d9dab467571d5e2"/>
    <w:p>
      <w:pPr>
        <w:pStyle w:val="Heading3"/>
      </w:pPr>
      <w:r>
        <w:rPr>
          <w:rStyle w:val="SectionNumber"/>
        </w:rPr>
        <w:t xml:space="preserve">0.0.1</w:t>
      </w:r>
      <w:r>
        <w:tab/>
      </w:r>
      <w:r>
        <w:t xml:space="preserve">Impact of Technology on Approaches to Assessment in higher Education</w:t>
      </w:r>
    </w:p>
    <w:p>
      <w:pPr>
        <w:pStyle w:val="FirstParagraph"/>
      </w:pPr>
      <w:r>
        <w:t xml:space="preserve">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open-endedness and ambiguity characteristic of modern society and culture. Supercomplexity is both compounded and mitigated through the integration of digital technologies in higher education. While there is additional cognitive load associated with learning through technology, it is also true that technology can help learners organize information through a</w:t>
      </w:r>
      <w:r>
        <w:t xml:space="preserve"> </w:t>
      </w:r>
      <w:r>
        <w:rPr>
          <w:iCs/>
          <w:i/>
        </w:rPr>
        <w:t xml:space="preserve">cognitive offloading</w:t>
      </w:r>
      <w:r>
        <w:t xml:space="preserve">.</w:t>
      </w:r>
      <w:r>
        <w:t xml:space="preserve"> </w:t>
      </w:r>
      <w:r>
        <w:t xml:space="preserve">- shared metacognition</w:t>
      </w:r>
      <w:r>
        <w:t xml:space="preserve"> </w:t>
      </w:r>
      <w:r>
        <w:t xml:space="preserve">- community of inquiry</w:t>
      </w:r>
      <w:r>
        <w:t xml:space="preserve"> </w:t>
      </w:r>
      <w:r>
        <w:t xml:space="preserve">- supercomplexity</w:t>
      </w:r>
      <w:r>
        <w:t xml:space="preserve"> </w:t>
      </w:r>
      <w:r>
        <w:t xml:space="preserve">(</w:t>
      </w:r>
      <w:hyperlink w:anchor="ref-barnettWillLearnBeing2007">
        <w:r>
          <w:rPr>
            <w:rStyle w:val="Hyperlink"/>
          </w:rPr>
          <w:t xml:space="preserve">Barnett, 2007</w:t>
        </w:r>
      </w:hyperlink>
      <w:r>
        <w:t xml:space="preserve">)</w:t>
      </w:r>
      <w:r>
        <w:t xml:space="preserve"> </w:t>
      </w:r>
      <w:r>
        <w:t xml:space="preserve">- &gt;Although there is an increasing awareness of technology capable of supporting meaningful learning through engagement, too often technology in education has been subservient to dated approaches, such as enhancing lectures with visuals or providing optional online discussions where information transmission remains core to the classroom experience. In these situations, technology has continued to reinforce the disengagement of students in the classroom. (p. 40)</w:t>
      </w:r>
      <w:r>
        <w:t xml:space="preserve"> </w:t>
      </w:r>
      <w:r>
        <w:t xml:space="preserve">-</w:t>
      </w:r>
      <w:r>
        <w:t xml:space="preserve"> </w:t>
      </w: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Start w:id="82" w:name="refs"/>
    <w:bookmarkStart w:id="23"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23"/>
    <w:bookmarkStart w:id="25"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24">
        <w:r>
          <w:rPr>
            <w:rStyle w:val="Hyperlink"/>
          </w:rPr>
          <w:t xml:space="preserve">https://doi.org/10.1007/978-3-319-39211-0_16</w:t>
        </w:r>
      </w:hyperlink>
    </w:p>
    <w:bookmarkEnd w:id="25"/>
    <w:bookmarkStart w:id="27"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26">
        <w:r>
          <w:rPr>
            <w:rStyle w:val="Hyperlink"/>
          </w:rPr>
          <w:t xml:space="preserve">https://doi.org/fpnss4</w:t>
        </w:r>
      </w:hyperlink>
    </w:p>
    <w:bookmarkEnd w:id="27"/>
    <w:bookmarkStart w:id="28"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28"/>
    <w:bookmarkStart w:id="30"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29">
        <w:r>
          <w:rPr>
            <w:rStyle w:val="Hyperlink"/>
          </w:rPr>
          <w:t xml:space="preserve">https://doi.org/10.1007/978-3-319-17727-4_64-1</w:t>
        </w:r>
      </w:hyperlink>
    </w:p>
    <w:bookmarkEnd w:id="30"/>
    <w:bookmarkStart w:id="32"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31">
        <w:r>
          <w:rPr>
            <w:rStyle w:val="Hyperlink"/>
          </w:rPr>
          <w:t xml:space="preserve">https://doi.org/10.1080/0969594042000304609</w:t>
        </w:r>
      </w:hyperlink>
    </w:p>
    <w:bookmarkEnd w:id="32"/>
    <w:bookmarkStart w:id="34"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33">
        <w:r>
          <w:rPr>
            <w:rStyle w:val="Hyperlink"/>
          </w:rPr>
          <w:t xml:space="preserve">https://doi.org/dvd8nf</w:t>
        </w:r>
      </w:hyperlink>
    </w:p>
    <w:bookmarkEnd w:id="34"/>
    <w:bookmarkStart w:id="36"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35">
        <w:r>
          <w:rPr>
            <w:rStyle w:val="Hyperlink"/>
          </w:rPr>
          <w:t xml:space="preserve">https://doi.org/gj5v98</w:t>
        </w:r>
      </w:hyperlink>
    </w:p>
    <w:bookmarkEnd w:id="36"/>
    <w:bookmarkStart w:id="38"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37">
        <w:r>
          <w:rPr>
            <w:rStyle w:val="Hyperlink"/>
          </w:rPr>
          <w:t xml:space="preserve">https://doi.org/gh5k63</w:t>
        </w:r>
      </w:hyperlink>
    </w:p>
    <w:bookmarkEnd w:id="38"/>
    <w:bookmarkStart w:id="40"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39">
        <w:r>
          <w:rPr>
            <w:rStyle w:val="Hyperlink"/>
          </w:rPr>
          <w:t xml:space="preserve">https://doi.org/gfgtsg</w:t>
        </w:r>
      </w:hyperlink>
    </w:p>
    <w:bookmarkEnd w:id="40"/>
    <w:bookmarkStart w:id="42"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41">
        <w:r>
          <w:rPr>
            <w:rStyle w:val="Hyperlink"/>
          </w:rPr>
          <w:t xml:space="preserve">https://doi.org/gjxvc7</w:t>
        </w:r>
      </w:hyperlink>
    </w:p>
    <w:bookmarkEnd w:id="42"/>
    <w:bookmarkStart w:id="43"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43"/>
    <w:bookmarkStart w:id="44"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44"/>
    <w:bookmarkStart w:id="46"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45">
        <w:r>
          <w:rPr>
            <w:rStyle w:val="Hyperlink"/>
          </w:rPr>
          <w:t xml:space="preserve">https://doi.org/ctccpq</w:t>
        </w:r>
      </w:hyperlink>
    </w:p>
    <w:bookmarkEnd w:id="46"/>
    <w:bookmarkStart w:id="47"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47"/>
    <w:bookmarkStart w:id="49"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48">
        <w:r>
          <w:rPr>
            <w:rStyle w:val="Hyperlink"/>
          </w:rPr>
          <w:t xml:space="preserve">https://doi.org/10.1057/9781137469939_3</w:t>
        </w:r>
      </w:hyperlink>
    </w:p>
    <w:bookmarkEnd w:id="49"/>
    <w:bookmarkStart w:id="50"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50"/>
    <w:bookmarkStart w:id="52"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51">
        <w:r>
          <w:rPr>
            <w:rStyle w:val="Hyperlink"/>
          </w:rPr>
          <w:t xml:space="preserve">https://doi.org/10.37119/ojs2021.v27i1.507</w:t>
        </w:r>
      </w:hyperlink>
    </w:p>
    <w:bookmarkEnd w:id="52"/>
    <w:bookmarkStart w:id="54"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53">
        <w:r>
          <w:rPr>
            <w:rStyle w:val="Hyperlink"/>
          </w:rPr>
          <w:t xml:space="preserve">https://doi.org/10.4324/9780203930939</w:t>
        </w:r>
      </w:hyperlink>
    </w:p>
    <w:bookmarkEnd w:id="54"/>
    <w:bookmarkStart w:id="56"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55">
        <w:r>
          <w:rPr>
            <w:rStyle w:val="Hyperlink"/>
          </w:rPr>
          <w:t xml:space="preserve">https://doi.org/10.1007/978-1-4020-8905-3</w:t>
        </w:r>
      </w:hyperlink>
    </w:p>
    <w:bookmarkEnd w:id="56"/>
    <w:bookmarkStart w:id="58"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57">
        <w:r>
          <w:rPr>
            <w:rStyle w:val="Hyperlink"/>
          </w:rPr>
          <w:t xml:space="preserve">https://doi.org/ghjw3k</w:t>
        </w:r>
      </w:hyperlink>
    </w:p>
    <w:bookmarkEnd w:id="58"/>
    <w:bookmarkStart w:id="60"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59">
        <w:r>
          <w:rPr>
            <w:rStyle w:val="Hyperlink"/>
          </w:rPr>
          <w:t xml:space="preserve">https://doi.org/gj5ngz</w:t>
        </w:r>
      </w:hyperlink>
    </w:p>
    <w:bookmarkEnd w:id="60"/>
    <w:bookmarkStart w:id="62"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61">
        <w:r>
          <w:rPr>
            <w:rStyle w:val="Hyperlink"/>
          </w:rPr>
          <w:t xml:space="preserve">https://doi.org/gjm236</w:t>
        </w:r>
      </w:hyperlink>
    </w:p>
    <w:bookmarkEnd w:id="62"/>
    <w:bookmarkStart w:id="64"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63">
        <w:r>
          <w:rPr>
            <w:rStyle w:val="Hyperlink"/>
          </w:rPr>
          <w:t xml:space="preserve">https://doi.org/d89z7p</w:t>
        </w:r>
      </w:hyperlink>
    </w:p>
    <w:bookmarkEnd w:id="64"/>
    <w:bookmarkStart w:id="66"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65">
        <w:r>
          <w:rPr>
            <w:rStyle w:val="Hyperlink"/>
          </w:rPr>
          <w:t xml:space="preserve">https://doi.org/10.17226/10019</w:t>
        </w:r>
      </w:hyperlink>
    </w:p>
    <w:bookmarkEnd w:id="66"/>
    <w:bookmarkStart w:id="68"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67">
        <w:r>
          <w:rPr>
            <w:rStyle w:val="Hyperlink"/>
          </w:rPr>
          <w:t xml:space="preserve">https://doi.org/ggfh8z</w:t>
        </w:r>
      </w:hyperlink>
    </w:p>
    <w:bookmarkEnd w:id="68"/>
    <w:bookmarkStart w:id="70" w:name="ref-scrivenMethodologyEvaluation1967"/>
    <w:p>
      <w:pPr>
        <w:pStyle w:val="Bibliography"/>
      </w:pPr>
      <w:r>
        <w:t xml:space="preserve">Scriven, M. (1967).</w:t>
      </w:r>
      <w:r>
        <w:t xml:space="preserve"> </w:t>
      </w:r>
      <w:hyperlink r:id="rId69">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70"/>
    <w:bookmarkStart w:id="72"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71">
        <w:r>
          <w:rPr>
            <w:rStyle w:val="Hyperlink"/>
          </w:rPr>
          <w:t xml:space="preserve">https://doi.org/cw9jwc</w:t>
        </w:r>
      </w:hyperlink>
    </w:p>
    <w:bookmarkEnd w:id="72"/>
    <w:bookmarkStart w:id="73"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73"/>
    <w:bookmarkStart w:id="74"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74"/>
    <w:bookmarkStart w:id="76"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75">
        <w:r>
          <w:rPr>
            <w:rStyle w:val="Hyperlink"/>
          </w:rPr>
          <w:t xml:space="preserve">https://doi.org/gftz95</w:t>
        </w:r>
      </w:hyperlink>
    </w:p>
    <w:bookmarkEnd w:id="76"/>
    <w:bookmarkStart w:id="77"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77"/>
    <w:bookmarkStart w:id="79"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78">
        <w:r>
          <w:rPr>
            <w:rStyle w:val="Hyperlink"/>
          </w:rPr>
          <w:t xml:space="preserve">https://doi.org/10.1007/978-3-319-71054-9_37</w:t>
        </w:r>
      </w:hyperlink>
    </w:p>
    <w:bookmarkEnd w:id="79"/>
    <w:bookmarkStart w:id="81"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80">
        <w:r>
          <w:rPr>
            <w:rStyle w:val="Hyperlink"/>
          </w:rPr>
          <w:t xml:space="preserve">https://doi.org/gh5k7d</w:t>
        </w:r>
      </w:hyperlink>
    </w:p>
    <w:bookmarkEnd w:id="81"/>
    <w:bookmarkEnd w:id="82"/>
    <w:bookmarkEnd w:id="83"/>
    <w:bookmarkEnd w:id="84"/>
    <w:bookmarkEnd w:id="85"/>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7/978-1-4020-8905-3" TargetMode="External" /><Relationship Type="http://schemas.openxmlformats.org/officeDocument/2006/relationships/hyperlink" Id="rId29" Target="https://doi.org/10.1007/978-3-319-17727-4_64-1" TargetMode="External" /><Relationship Type="http://schemas.openxmlformats.org/officeDocument/2006/relationships/hyperlink" Id="rId24" Target="https://doi.org/10.1007/978-3-319-39211-0_16" TargetMode="External" /><Relationship Type="http://schemas.openxmlformats.org/officeDocument/2006/relationships/hyperlink" Id="rId78" Target="https://doi.org/10.1007/978-3-319-71054-9_37" TargetMode="External" /><Relationship Type="http://schemas.openxmlformats.org/officeDocument/2006/relationships/hyperlink" Id="rId48" Target="https://doi.org/10.1057/9781137469939_3" TargetMode="External" /><Relationship Type="http://schemas.openxmlformats.org/officeDocument/2006/relationships/hyperlink" Id="rId31" Target="https://doi.org/10.1080/0969594042000304609" TargetMode="External" /><Relationship Type="http://schemas.openxmlformats.org/officeDocument/2006/relationships/hyperlink" Id="rId65" Target="https://doi.org/10.17226/10019" TargetMode="External" /><Relationship Type="http://schemas.openxmlformats.org/officeDocument/2006/relationships/hyperlink" Id="rId51" Target="https://doi.org/10.37119/ojs2021.v27i1.507" TargetMode="External" /><Relationship Type="http://schemas.openxmlformats.org/officeDocument/2006/relationships/hyperlink" Id="rId53" Target="https://doi.org/10.4324/9780203930939" TargetMode="External" /><Relationship Type="http://schemas.openxmlformats.org/officeDocument/2006/relationships/hyperlink" Id="rId45" Target="https://doi.org/ctccpq" TargetMode="External" /><Relationship Type="http://schemas.openxmlformats.org/officeDocument/2006/relationships/hyperlink" Id="rId71" Target="https://doi.org/cw9jwc" TargetMode="External" /><Relationship Type="http://schemas.openxmlformats.org/officeDocument/2006/relationships/hyperlink" Id="rId63" Target="https://doi.org/d89z7p" TargetMode="External" /><Relationship Type="http://schemas.openxmlformats.org/officeDocument/2006/relationships/hyperlink" Id="rId33" Target="https://doi.org/dvd8nf" TargetMode="External" /><Relationship Type="http://schemas.openxmlformats.org/officeDocument/2006/relationships/hyperlink" Id="rId26" Target="https://doi.org/fpnss4" TargetMode="External" /><Relationship Type="http://schemas.openxmlformats.org/officeDocument/2006/relationships/hyperlink" Id="rId39" Target="https://doi.org/gfgtsg" TargetMode="External" /><Relationship Type="http://schemas.openxmlformats.org/officeDocument/2006/relationships/hyperlink" Id="rId75" Target="https://doi.org/gftz95" TargetMode="External" /><Relationship Type="http://schemas.openxmlformats.org/officeDocument/2006/relationships/hyperlink" Id="rId67" Target="https://doi.org/ggfh8z" TargetMode="External" /><Relationship Type="http://schemas.openxmlformats.org/officeDocument/2006/relationships/hyperlink" Id="rId37" Target="https://doi.org/gh5k63" TargetMode="External" /><Relationship Type="http://schemas.openxmlformats.org/officeDocument/2006/relationships/hyperlink" Id="rId80" Target="https://doi.org/gh5k7d" TargetMode="External" /><Relationship Type="http://schemas.openxmlformats.org/officeDocument/2006/relationships/hyperlink" Id="rId57" Target="https://doi.org/ghjw3k" TargetMode="External" /><Relationship Type="http://schemas.openxmlformats.org/officeDocument/2006/relationships/hyperlink" Id="rId59" Target="https://doi.org/gj5ngz" TargetMode="External" /><Relationship Type="http://schemas.openxmlformats.org/officeDocument/2006/relationships/hyperlink" Id="rId35" Target="https://doi.org/gj5v98" TargetMode="External" /><Relationship Type="http://schemas.openxmlformats.org/officeDocument/2006/relationships/hyperlink" Id="rId61" Target="https://doi.org/gjm236" TargetMode="External" /><Relationship Type="http://schemas.openxmlformats.org/officeDocument/2006/relationships/hyperlink" Id="rId41" Target="https://doi.org/gjxvc7" TargetMode="External" /><Relationship Type="http://schemas.openxmlformats.org/officeDocument/2006/relationships/hyperlink" Id="rId69"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978-1-4020-8905-3" TargetMode="External" /><Relationship Type="http://schemas.openxmlformats.org/officeDocument/2006/relationships/hyperlink" Id="rId29" Target="https://doi.org/10.1007/978-3-319-17727-4_64-1" TargetMode="External" /><Relationship Type="http://schemas.openxmlformats.org/officeDocument/2006/relationships/hyperlink" Id="rId24" Target="https://doi.org/10.1007/978-3-319-39211-0_16" TargetMode="External" /><Relationship Type="http://schemas.openxmlformats.org/officeDocument/2006/relationships/hyperlink" Id="rId78" Target="https://doi.org/10.1007/978-3-319-71054-9_37" TargetMode="External" /><Relationship Type="http://schemas.openxmlformats.org/officeDocument/2006/relationships/hyperlink" Id="rId48" Target="https://doi.org/10.1057/9781137469939_3" TargetMode="External" /><Relationship Type="http://schemas.openxmlformats.org/officeDocument/2006/relationships/hyperlink" Id="rId31" Target="https://doi.org/10.1080/0969594042000304609" TargetMode="External" /><Relationship Type="http://schemas.openxmlformats.org/officeDocument/2006/relationships/hyperlink" Id="rId65" Target="https://doi.org/10.17226/10019" TargetMode="External" /><Relationship Type="http://schemas.openxmlformats.org/officeDocument/2006/relationships/hyperlink" Id="rId51" Target="https://doi.org/10.37119/ojs2021.v27i1.507" TargetMode="External" /><Relationship Type="http://schemas.openxmlformats.org/officeDocument/2006/relationships/hyperlink" Id="rId53" Target="https://doi.org/10.4324/9780203930939" TargetMode="External" /><Relationship Type="http://schemas.openxmlformats.org/officeDocument/2006/relationships/hyperlink" Id="rId45" Target="https://doi.org/ctccpq" TargetMode="External" /><Relationship Type="http://schemas.openxmlformats.org/officeDocument/2006/relationships/hyperlink" Id="rId71" Target="https://doi.org/cw9jwc" TargetMode="External" /><Relationship Type="http://schemas.openxmlformats.org/officeDocument/2006/relationships/hyperlink" Id="rId63" Target="https://doi.org/d89z7p" TargetMode="External" /><Relationship Type="http://schemas.openxmlformats.org/officeDocument/2006/relationships/hyperlink" Id="rId33" Target="https://doi.org/dvd8nf" TargetMode="External" /><Relationship Type="http://schemas.openxmlformats.org/officeDocument/2006/relationships/hyperlink" Id="rId26" Target="https://doi.org/fpnss4" TargetMode="External" /><Relationship Type="http://schemas.openxmlformats.org/officeDocument/2006/relationships/hyperlink" Id="rId39" Target="https://doi.org/gfgtsg" TargetMode="External" /><Relationship Type="http://schemas.openxmlformats.org/officeDocument/2006/relationships/hyperlink" Id="rId75" Target="https://doi.org/gftz95" TargetMode="External" /><Relationship Type="http://schemas.openxmlformats.org/officeDocument/2006/relationships/hyperlink" Id="rId67" Target="https://doi.org/ggfh8z" TargetMode="External" /><Relationship Type="http://schemas.openxmlformats.org/officeDocument/2006/relationships/hyperlink" Id="rId37" Target="https://doi.org/gh5k63" TargetMode="External" /><Relationship Type="http://schemas.openxmlformats.org/officeDocument/2006/relationships/hyperlink" Id="rId80" Target="https://doi.org/gh5k7d" TargetMode="External" /><Relationship Type="http://schemas.openxmlformats.org/officeDocument/2006/relationships/hyperlink" Id="rId57" Target="https://doi.org/ghjw3k" TargetMode="External" /><Relationship Type="http://schemas.openxmlformats.org/officeDocument/2006/relationships/hyperlink" Id="rId59" Target="https://doi.org/gj5ngz" TargetMode="External" /><Relationship Type="http://schemas.openxmlformats.org/officeDocument/2006/relationships/hyperlink" Id="rId35" Target="https://doi.org/gj5v98" TargetMode="External" /><Relationship Type="http://schemas.openxmlformats.org/officeDocument/2006/relationships/hyperlink" Id="rId61" Target="https://doi.org/gjm236" TargetMode="External" /><Relationship Type="http://schemas.openxmlformats.org/officeDocument/2006/relationships/hyperlink" Id="rId41" Target="https://doi.org/gjxvc7" TargetMode="External" /><Relationship Type="http://schemas.openxmlformats.org/officeDocument/2006/relationships/hyperlink" Id="rId69"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2022-06-09T05:47:03Z</dcterms:created>
  <dcterms:modified xsi:type="dcterms:W3CDTF">2022-06-09T05:47:03Z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2022-06-08</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