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Introduction</w:t>
      </w:r>
    </w:p>
    <w:p>
      <w:pPr>
        <w:pStyle w:val="FirstParagraph"/>
      </w:pPr>
      <w:r>
        <w:t xml:space="preserve">Assessing learning is both a critical component of the work of teaching in higher education and also a major factor in learners’ experiences of higher education</w:t>
      </w:r>
      <w:r>
        <w:t xml:space="preserve"> </w:t>
      </w:r>
      <w:r>
        <w:t xml:space="preserve">(</w:t>
      </w:r>
      <w:hyperlink w:anchor="ref-biggsWhatStudentDoes1999">
        <w:r>
          <w:rPr>
            <w:rStyle w:val="Hyperlink"/>
          </w:rPr>
          <w:t xml:space="preserve">J. Biggs, 1999</w:t>
        </w:r>
      </w:hyperlink>
      <w:r>
        <w:t xml:space="preserve">;</w:t>
      </w:r>
      <w:r>
        <w:t xml:space="preserve"> </w:t>
      </w:r>
      <w:hyperlink w:anchor="ref-woldeab21stCenturyAssessment2019">
        <w:r>
          <w:rPr>
            <w:rStyle w:val="Hyperlink"/>
          </w:rPr>
          <w:t xml:space="preserve">Woldeab &amp; Brothen, 2019</w:t>
        </w:r>
      </w:hyperlink>
      <w:r>
        <w:t xml:space="preserve">)</w:t>
      </w:r>
      <w:r>
        <w:t xml:space="preserve">. Faculty and instructors’ approaches to assessment in higher education are shaped by a variety of factors, including the approaches to assessment that they expereienced as learners</w:t>
      </w:r>
      <w:r>
        <w:t xml:space="preserve"> </w:t>
      </w:r>
      <w:r>
        <w:t xml:space="preserve">(</w:t>
      </w:r>
      <w:hyperlink w:anchor="ref-lipnevichWhatGradesMean2020">
        <w:r>
          <w:rPr>
            <w:rStyle w:val="Hyperlink"/>
          </w:rPr>
          <w:t xml:space="preserve">Lipnevich et al., 2020</w:t>
        </w:r>
      </w:hyperlink>
      <w:r>
        <w:t xml:space="preserve">)</w:t>
      </w:r>
      <w:r>
        <w:t xml:space="preserve">, pressure from our increasingly technological society to integrate digital tools into the teaching and learning process</w:t>
      </w:r>
      <w:r>
        <w:t xml:space="preserve"> </w:t>
      </w:r>
      <w:r>
        <w:t xml:space="preserve">(</w:t>
      </w:r>
      <w:hyperlink w:anchor="Xd3220b3c4c74762840488f1ab7714e7e895bc2e">
        <w:r>
          <w:rPr>
            <w:rStyle w:val="Hyperlink"/>
          </w:rPr>
          <w:t xml:space="preserve">Pellegrino &amp; Quellmalz, 2010</w:t>
        </w:r>
      </w:hyperlink>
      <w:r>
        <w:t xml:space="preserve">)</w:t>
      </w:r>
      <w:r>
        <w:t xml:space="preserve">, and the changing needs of 21st-century employers, who are demanding employees with demonstrated ability in collaboration, creative problem-solving, analytical thinking, and the ability to learn</w:t>
      </w:r>
      <w:r>
        <w:t xml:space="preserve"> </w:t>
      </w:r>
      <w:r>
        <w:t xml:space="preserve">(</w:t>
      </w:r>
      <w:hyperlink w:anchor="Xaf0f34faf6db1662e8da0b9850d3b9cfe5dbeed">
        <w:r>
          <w:rPr>
            <w:rStyle w:val="Hyperlink"/>
          </w:rPr>
          <w:t xml:space="preserve">Forum, 2020</w:t>
        </w:r>
      </w:hyperlink>
      <w:r>
        <w:t xml:space="preserve">)</w:t>
      </w:r>
      <w:r>
        <w:t xml:space="preserve">, competencies not easily measured in traditional testing formats.</w:t>
      </w:r>
    </w:p>
    <w:p>
      <w:pPr>
        <w:pStyle w:val="BodyText"/>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curricula began to take a more social-constructivist approach that emphasized higher-order thinking, problem-solving in social contexts, and metacognitive skills over rote memorization.</w:t>
      </w:r>
    </w:p>
    <w:p>
      <w:pPr>
        <w:pStyle w:val="BodyText"/>
      </w:pPr>
      <w:r>
        <w:t xml:space="preserve">Unfortunately, it seemed that the efficiencies of testing memory, recognition, and recall through selected-response tests were too deeply embedded in the practices of higher education instructors who resisted changing their assessments to match the new curricular goals</w:t>
      </w:r>
      <w:r>
        <w:t xml:space="preserve"> </w:t>
      </w:r>
      <w:r>
        <w:t xml:space="preserve">(</w:t>
      </w:r>
      <w:hyperlink w:anchor="ref-shepardRoleAssessmentLearning2000">
        <w:r>
          <w:rPr>
            <w:rStyle w:val="Hyperlink"/>
          </w:rPr>
          <w:t xml:space="preserve">Shepard, 2000</w:t>
        </w:r>
      </w:hyperlink>
      <w:r>
        <w:t xml:space="preserve">)</w:t>
      </w:r>
      <w:r>
        <w:t xml:space="preserve">.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w:t>
      </w:r>
    </w:p>
    <w:p>
      <w:pPr>
        <w:pStyle w:val="BodyText"/>
      </w:pPr>
      <w:r>
        <w:t xml:space="preserve">Not only has the gap between the priorities and objectives of modern universities and traditional assessment practices continued to widen, but pressures from our increasingly technological society have accelerated that widening. O’Donnell</w:t>
      </w:r>
      <w:r>
        <w:t xml:space="preserve"> </w:t>
      </w:r>
      <w:r>
        <w:t xml:space="preserve">(</w:t>
      </w:r>
      <w:hyperlink w:anchor="Xb8ef97dcd64a46920c7df0026dc0b714b2ee92d">
        <w:r>
          <w:rPr>
            <w:rStyle w:val="Hyperlink"/>
          </w:rPr>
          <w:t xml:space="preserve">2020</w:t>
        </w:r>
      </w:hyperlink>
      <w:r>
        <w:t xml:space="preserve">)</w:t>
      </w:r>
      <w:r>
        <w:t xml:space="preserve"> </w:t>
      </w:r>
      <w:r>
        <w:t xml:space="preserve">argues that</w:t>
      </w:r>
      <w:r>
        <w:t xml:space="preserve"> </w:t>
      </w:r>
      <w:r>
        <w:rPr>
          <w:iCs/>
          <w:i/>
        </w:rPr>
        <w:t xml:space="preserve">all</w:t>
      </w:r>
      <w:r>
        <w:t xml:space="preserve"> </w:t>
      </w:r>
      <w:r>
        <w:t xml:space="preserve">learning in higher education is now mediated in some way by technology, even if it is the superficial use of a word processor an instructor uses to create course materials or a learner uses to compose an essay. Even so, he claims that the use of technology often does little more than increase the efficiency (a term which he declines to define) of existing practices (i.e. reducing the time it takes to score a selected-response exam by using bubble sheets for examinee responses). This critique echoes Timmis et al.</w:t>
      </w:r>
      <w:r>
        <w:t xml:space="preserve"> </w:t>
      </w:r>
      <w:r>
        <w:t xml:space="preserve">(</w:t>
      </w:r>
      <w:hyperlink w:anchor="X9783eef1c37e492f1192ce9092108eb526b7f44">
        <w:r>
          <w:rPr>
            <w:rStyle w:val="Hyperlink"/>
          </w:rPr>
          <w:t xml:space="preserve">2016</w:t>
        </w:r>
      </w:hyperlink>
      <w:r>
        <w:t xml:space="preserve">)</w:t>
      </w:r>
      <w:r>
        <w:t xml:space="preserve"> </w:t>
      </w:r>
      <w:r>
        <w:t xml:space="preserve">who argue that</w:t>
      </w:r>
    </w:p>
    <w:p>
      <w:pPr>
        <w:pStyle w:val="BodyText"/>
      </w:pPr>
      <w:r>
        <w:t xml:space="preserve">(</w:t>
      </w:r>
      <w:hyperlink w:anchor="ref-shute21stCenturyAssessment2010">
        <w:r>
          <w:rPr>
            <w:rStyle w:val="Hyperlink"/>
          </w:rPr>
          <w:t xml:space="preserve">Shute et al., 2010</w:t>
        </w:r>
      </w:hyperlink>
      <w:r>
        <w:t xml:space="preserve">)</w:t>
      </w:r>
    </w:p>
    <w:p>
      <w:pPr>
        <w:pStyle w:val="BodyText"/>
      </w:pPr>
      <w:r>
        <w:t xml:space="preserve">Consequently, models of assessment which mimic and re-inscribe traditional assessment practices and prioritize testing skills in a manner aligned with 20th century curricular models are no longer adequate because they no longer align with the priorities of modern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w:t>
      </w:r>
    </w:p>
    <w:p>
      <w:pPr>
        <w:pStyle w:val="BodyText"/>
      </w:pPr>
      <w:r>
        <w:t xml:space="preserve">A starting point for this process of examining assessment in higher education ought to be intentionally considered as there are myriad examples of formal and informal initiatives in higher education which have not realized significant local or systemic change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Assessment practices are highly resistant to change, in part, as Broadfoot claims, because they are so important, but also, as will be discussed later, because the approaches that individual instructors take to assessing the work of learners are driven by complex forces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et al., 2019</w:t>
        </w:r>
      </w:hyperlink>
      <w:r>
        <w:t xml:space="preserve">;</w:t>
      </w:r>
      <w:r>
        <w:t xml:space="preserve"> </w:t>
      </w:r>
      <w:hyperlink w:anchor="ref-stigginsAssessmentLiteracy1991">
        <w:r>
          <w:rPr>
            <w:rStyle w:val="Hyperlink"/>
          </w:rPr>
          <w:t xml:space="preserve">Stiggins, 1991</w:t>
        </w:r>
      </w:hyperlink>
      <w:r>
        <w:t xml:space="preserve">;</w:t>
      </w:r>
      <w:r>
        <w:t xml:space="preserve"> </w:t>
      </w:r>
      <w:hyperlink w:anchor="X731be6e2e0895c79e0f034fc829fd623ca4b0d3">
        <w:r>
          <w:rPr>
            <w:rStyle w:val="Hyperlink"/>
          </w:rPr>
          <w:t xml:space="preserve">Willis et al., 2013</w:t>
        </w:r>
      </w:hyperlink>
      <w:r>
        <w:t xml:space="preserve">)</w:t>
      </w:r>
      <w:r>
        <w:t xml:space="preserve">. Accordingly, it is incumbent upon researchers who wish to influence assessment practice to begin with a nuanced investigation of how HE instructors approach their assessment practice and what are the impacts of those practices on learners.</w:t>
      </w:r>
    </w:p>
    <w:bookmarkStart w:id="20" w:name="problem-to-be-researched"/>
    <w:p>
      <w:pPr>
        <w:pStyle w:val="Heading2"/>
      </w:pPr>
      <w:r>
        <w:t xml:space="preserve">Problem to be Researched</w:t>
      </w:r>
    </w:p>
    <w:bookmarkEnd w:id="20"/>
    <w:bookmarkStart w:id="21"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cffd07f338ae9c1e0f3a4638f84c8ddd08fd0be">
        <w:r>
          <w:rPr>
            <w:rStyle w:val="Hyperlink"/>
          </w:rPr>
          <w:t xml:space="preserve">DeLuca et al., 2021</w:t>
        </w:r>
      </w:hyperlink>
      <w:r>
        <w:t xml:space="preserve">;</w:t>
      </w:r>
      <w:r>
        <w:t xml:space="preserve"> </w:t>
      </w:r>
      <w:hyperlink w:anchor="X773f46dba91e2266ea33fc285a547bc86776461">
        <w:r>
          <w:rPr>
            <w:rStyle w:val="Hyperlink"/>
          </w:rPr>
          <w:t xml:space="preserve">DeLuca, Valiquette, et al., 2016</w:t>
        </w:r>
      </w:hyperlink>
      <w:r>
        <w:t xml:space="preserve">;</w:t>
      </w:r>
      <w:r>
        <w:t xml:space="preserve"> </w:t>
      </w:r>
      <w:hyperlink w:anchor="Xedee9bc10fe7ddda531b14b05542852ae9f5f1e">
        <w:r>
          <w:rPr>
            <w:rStyle w:val="Hyperlink"/>
          </w:rPr>
          <w:t xml:space="preserve">DeLuca, LaPointe-McEwan, et al.,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et al., 2021</w:t>
        </w:r>
      </w:hyperlink>
      <w:r>
        <w:t xml:space="preserve">;</w:t>
      </w:r>
      <w:r>
        <w:t xml:space="preserve"> </w:t>
      </w:r>
      <w:hyperlink w:anchor="X568de4367a2adb3cc7734bdfe3ece898df67951">
        <w:r>
          <w:rPr>
            <w:rStyle w:val="Hyperlink"/>
          </w:rPr>
          <w:t xml:space="preserve">Offerdahl &amp;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1"/>
    <w:bookmarkStart w:id="22"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2"/>
    <w:bookmarkStart w:id="23" w:name="significance-of-the-research"/>
    <w:p>
      <w:pPr>
        <w:pStyle w:val="Heading2"/>
      </w:pPr>
      <w:r>
        <w:t xml:space="preserve">Significance of the Research</w:t>
      </w:r>
    </w:p>
    <w:bookmarkEnd w:id="23"/>
    <w:bookmarkEnd w:id="24"/>
    <w:bookmarkStart w:id="147" w:name="X00e80ae76d4080e847787e2b57aa318db7fe669"/>
    <w:p>
      <w:pPr>
        <w:pStyle w:val="Heading1"/>
      </w:pPr>
      <w:r>
        <w:t xml:space="preserve">A Review of the Literature on Assessment in Higher Education</w:t>
      </w:r>
    </w:p>
    <w:bookmarkStart w:id="25"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et al.,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5"/>
    <w:bookmarkStart w:id="26"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has remained high</w:t>
      </w:r>
      <w:r>
        <w:t xml:space="preserve"> </w:t>
      </w:r>
      <w:hyperlink w:anchor="ref-lipnevichWhatGradesMean2020">
        <w:r>
          <w:rPr>
            <w:rStyle w:val="Hyperlink"/>
          </w:rPr>
          <w:t xml:space="preserve">Lipnevich et al.</w:t>
        </w:r>
      </w:hyperlink>
      <w:r>
        <w:t xml:space="preserve"> </w:t>
      </w:r>
      <w:r>
        <w:t xml:space="preserve">(</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ref-biggsWhatStudentDoes1999">
        <w:r>
          <w:rPr>
            <w:rStyle w:val="Hyperlink"/>
          </w:rPr>
          <w:t xml:space="preserve">1999</w:t>
        </w:r>
      </w:hyperlink>
      <w:r>
        <w:t xml:space="preserve">,</w:t>
      </w:r>
      <w:r>
        <w:t xml:space="preserve"> </w:t>
      </w:r>
      <w:hyperlink w:anchor="X6d502c1fbcba67bdb61d23bc33194bf5c0f1ecb">
        <w:r>
          <w:rPr>
            <w:rStyle w:val="Hyperlink"/>
          </w:rPr>
          <w:t xml:space="preserve">1996</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6"/>
    <w:bookmarkStart w:id="27"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et al.,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et al.,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et al.,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et al.</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7"/>
    <w:bookmarkStart w:id="29"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et al.,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&amp;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et al.,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et al.,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p.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et al.,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&amp;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p.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943600" cy="5943599"/>
            <wp:effectExtent b="0" l="0" r="0" t="0"/>
            <wp:docPr descr="alt-text" title="Approaches to Classroom Assessment" id="1" name="Picture"/>
            <a:graphic>
              <a:graphicData uri="http://schemas.openxmlformats.org/drawingml/2006/picture">
                <pic:pic>
                  <pic:nvPicPr>
                    <pic:cNvPr descr="images/approaches-to-assessment.png" id="0" name="Picture"/>
                    <pic:cNvPicPr>
                      <a:picLocks noChangeArrowheads="1" noChangeAspect="1"/>
                    </pic:cNvPicPr>
                  </pic:nvPicPr>
                  <pic:blipFill>
                    <a:blip r:embed="rId28"/>
                    <a:stretch>
                      <a:fillRect/>
                    </a:stretch>
                  </pic:blipFill>
                  <pic:spPr bwMode="auto">
                    <a:xfrm>
                      <a:off x="0" y="0"/>
                      <a:ext cx="5943600" cy="5943599"/>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et al., 2021, p. 10</w:t>
        </w:r>
      </w:hyperlink>
      <w:r>
        <w:t xml:space="preserve">)</w:t>
      </w:r>
    </w:p>
    <w:bookmarkEnd w:id="29"/>
    <w:bookmarkStart w:id="30"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&amp;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w:t>
      </w:r>
      <w:r>
        <w:t xml:space="preserve">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et al.,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et al.,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p.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&amp; Dede, 2010</w:t>
        </w:r>
      </w:hyperlink>
      <w:r>
        <w:t xml:space="preserve">;</w:t>
      </w:r>
      <w:r>
        <w:t xml:space="preserve"> </w:t>
      </w:r>
      <w:hyperlink w:anchor="Xcffd07f338ae9c1e0f3a4638f84c8ddd08fd0be">
        <w:r>
          <w:rPr>
            <w:rStyle w:val="Hyperlink"/>
          </w:rPr>
          <w:t xml:space="preserve">DeLuca et al., 2021</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w:t>
      </w:r>
    </w:p>
    <w:bookmarkEnd w:id="30"/>
    <w:bookmarkStart w:id="31"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&amp;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1"/>
    <w:bookmarkStart w:id="146"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et al.,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943600" cy="2696633"/>
            <wp:effectExtent b="0" l="0" r="0" t="0"/>
            <wp:docPr descr="alt-text" title="3P Model of Teaching and Learning" id="1" name="Picture"/>
            <a:graphic>
              <a:graphicData uri="http://schemas.openxmlformats.org/drawingml/2006/picture">
                <pic:pic>
                  <pic:nvPicPr>
                    <pic:cNvPr descr="images/3p-model.png" id="0" name="Picture"/>
                    <pic:cNvPicPr>
                      <a:picLocks noChangeArrowheads="1" noChangeAspect="1"/>
                    </pic:cNvPicPr>
                  </pic:nvPicPr>
                  <pic:blipFill>
                    <a:blip r:embed="rId32"/>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Start w:id="145" w:name="refs"/>
    <w:bookmarkStart w:id="33" w:name="ref-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33"/>
    <w:bookmarkStart w:id="35" w:name="ref-bearmanSupportAssessmentPractice2016"/>
    <w:p>
      <w:pPr>
        <w:pStyle w:val="Bibliography"/>
      </w:pPr>
      <w:r>
        <w:t xml:space="preserve">Bearman, M., Dawson, P., Boud, D., Bennett, S., Hall, M., &amp; Molloy, E. (2016). 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w:t>
      </w:r>
      <w:r>
        <w:t xml:space="preserve"> </w:t>
      </w:r>
      <w:r>
        <w:rPr>
          <w:iCs/>
          <w:i/>
        </w:rPr>
        <w:t xml:space="preserve">21</w:t>
      </w:r>
      <w:r>
        <w:t xml:space="preserve">(5), 545–556.</w:t>
      </w:r>
      <w:r>
        <w:t xml:space="preserve"> </w:t>
      </w:r>
      <w:hyperlink r:id="rId34">
        <w:r>
          <w:rPr>
            <w:rStyle w:val="Hyperlink"/>
          </w:rPr>
          <w:t xml:space="preserve">https://doi.org/gjsn3g</w:t>
        </w:r>
      </w:hyperlink>
    </w:p>
    <w:bookmarkEnd w:id="35"/>
    <w:bookmarkStart w:id="37" w:name="ref-benjaminHistoryTeachingMachines1988"/>
    <w:p>
      <w:pPr>
        <w:pStyle w:val="Bibliography"/>
      </w:pPr>
      <w:r>
        <w:t xml:space="preserve">Benjamin, L. T. (1988). A history of teaching machines.</w:t>
      </w:r>
      <w:r>
        <w:t xml:space="preserve"> </w:t>
      </w:r>
      <w:r>
        <w:rPr>
          <w:iCs/>
          <w:i/>
        </w:rPr>
        <w:t xml:space="preserve">American Psychologist</w:t>
      </w:r>
      <w:r>
        <w:t xml:space="preserve">,</w:t>
      </w:r>
      <w:r>
        <w:t xml:space="preserve"> </w:t>
      </w:r>
      <w:r>
        <w:rPr>
          <w:iCs/>
          <w:i/>
        </w:rPr>
        <w:t xml:space="preserve">43</w:t>
      </w:r>
      <w:r>
        <w:t xml:space="preserve">(9), 703–712.</w:t>
      </w:r>
      <w:r>
        <w:t xml:space="preserve"> </w:t>
      </w:r>
      <w:hyperlink r:id="rId36">
        <w:r>
          <w:rPr>
            <w:rStyle w:val="Hyperlink"/>
          </w:rPr>
          <w:t xml:space="preserve">https://doi.org/djgzjr</w:t>
        </w:r>
      </w:hyperlink>
    </w:p>
    <w:bookmarkEnd w:id="37"/>
    <w:bookmarkStart w:id="39"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38">
        <w:r>
          <w:rPr>
            <w:rStyle w:val="Hyperlink"/>
          </w:rPr>
          <w:t xml:space="preserve">https://doi.org/ftmsvc</w:t>
        </w:r>
      </w:hyperlink>
    </w:p>
    <w:bookmarkEnd w:id="39"/>
    <w:bookmarkStart w:id="41" w:name="ref-biggsWhatStudentDoes1999"/>
    <w:p>
      <w:pPr>
        <w:pStyle w:val="Bibliography"/>
      </w:pPr>
      <w:r>
        <w:t xml:space="preserve">Biggs, J. (1999). 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w:t>
      </w:r>
      <w:r>
        <w:t xml:space="preserve"> </w:t>
      </w:r>
      <w:r>
        <w:rPr>
          <w:iCs/>
          <w:i/>
        </w:rPr>
        <w:t xml:space="preserve">18</w:t>
      </w:r>
      <w:r>
        <w:t xml:space="preserve">(1), 57–75.</w:t>
      </w:r>
      <w:r>
        <w:t xml:space="preserve"> </w:t>
      </w:r>
      <w:hyperlink r:id="rId40">
        <w:r>
          <w:rPr>
            <w:rStyle w:val="Hyperlink"/>
          </w:rPr>
          <w:t xml:space="preserve">https://doi.org/drgphk</w:t>
        </w:r>
      </w:hyperlink>
    </w:p>
    <w:bookmarkEnd w:id="41"/>
    <w:bookmarkStart w:id="43" w:name="X6d502c1fbcba67bdb61d23bc33194bf5c0f1ecb"/>
    <w:p>
      <w:pPr>
        <w:pStyle w:val="Bibliography"/>
      </w:pPr>
      <w:r>
        <w:t xml:space="preserve">Biggs, J. (1996). Enhancing teaching through constructive alignment.</w:t>
      </w:r>
      <w:r>
        <w:t xml:space="preserve"> </w:t>
      </w:r>
      <w:r>
        <w:rPr>
          <w:iCs/>
          <w:i/>
        </w:rPr>
        <w:t xml:space="preserve">Higher Education</w:t>
      </w:r>
      <w:r>
        <w:t xml:space="preserve">,</w:t>
      </w:r>
      <w:r>
        <w:t xml:space="preserve"> </w:t>
      </w:r>
      <w:r>
        <w:rPr>
          <w:iCs/>
          <w:i/>
        </w:rPr>
        <w:t xml:space="preserve">32</w:t>
      </w:r>
      <w:r>
        <w:t xml:space="preserve">(3), 347–364.</w:t>
      </w:r>
      <w:r>
        <w:t xml:space="preserve"> </w:t>
      </w:r>
      <w:hyperlink r:id="rId42">
        <w:r>
          <w:rPr>
            <w:rStyle w:val="Hyperlink"/>
          </w:rPr>
          <w:t xml:space="preserve">https://doi.org/chx3gp</w:t>
        </w:r>
      </w:hyperlink>
    </w:p>
    <w:bookmarkEnd w:id="43"/>
    <w:bookmarkStart w:id="45" w:name="ref-biggsTheoryPracticeCognitive1993"/>
    <w:p>
      <w:pPr>
        <w:pStyle w:val="Bibliography"/>
      </w:pPr>
      <w:r>
        <w:t xml:space="preserve">Biggs, J. B. (1993). 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w:t>
      </w:r>
      <w:r>
        <w:t xml:space="preserve"> </w:t>
      </w:r>
      <w:r>
        <w:rPr>
          <w:iCs/>
          <w:i/>
        </w:rPr>
        <w:t xml:space="preserve">12</w:t>
      </w:r>
      <w:r>
        <w:t xml:space="preserve">(1), 73–85.</w:t>
      </w:r>
      <w:r>
        <w:t xml:space="preserve"> </w:t>
      </w:r>
      <w:hyperlink r:id="rId44">
        <w:r>
          <w:rPr>
            <w:rStyle w:val="Hyperlink"/>
          </w:rPr>
          <w:t xml:space="preserve">https://doi.org/ccdmd9</w:t>
        </w:r>
      </w:hyperlink>
    </w:p>
    <w:bookmarkEnd w:id="45"/>
    <w:bookmarkStart w:id="46"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46"/>
    <w:bookmarkStart w:id="47"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47"/>
    <w:bookmarkStart w:id="49" w:name="Xed666ae61dbae1b52e6dfe20fa7c7ad7b3c36ec"/>
    <w:p>
      <w:pPr>
        <w:pStyle w:val="Bibliography"/>
      </w:pPr>
      <w:r>
        <w:t xml:space="preserve">Birenbaum, Menucha. (2007). 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w:t>
      </w:r>
      <w:r>
        <w:t xml:space="preserve"> </w:t>
      </w:r>
      <w:r>
        <w:rPr>
          <w:iCs/>
          <w:i/>
        </w:rPr>
        <w:t xml:space="preserve">53</w:t>
      </w:r>
      <w:r>
        <w:t xml:space="preserve">(6), 749–768.</w:t>
      </w:r>
      <w:r>
        <w:t xml:space="preserve"> </w:t>
      </w:r>
      <w:hyperlink r:id="rId48">
        <w:r>
          <w:rPr>
            <w:rStyle w:val="Hyperlink"/>
          </w:rPr>
          <w:t xml:space="preserve">https://doi.org/cqgvs8</w:t>
        </w:r>
      </w:hyperlink>
    </w:p>
    <w:bookmarkEnd w:id="49"/>
    <w:bookmarkStart w:id="51"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50">
        <w:r>
          <w:rPr>
            <w:rStyle w:val="Hyperlink"/>
          </w:rPr>
          <w:t xml:space="preserve">https://doi.org/fpnss4</w:t>
        </w:r>
      </w:hyperlink>
    </w:p>
    <w:bookmarkEnd w:id="51"/>
    <w:bookmarkStart w:id="52"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52"/>
    <w:bookmarkStart w:id="53" w:name="X37eab5d4961ef5dec4a83729881ef2d687f04ae"/>
    <w:p>
      <w:pPr>
        <w:pStyle w:val="Bibliography"/>
      </w:pPr>
      <w:r>
        <w:t xml:space="preserve">Braguinski, N. (2018). 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w:t>
      </w:r>
      <w:r>
        <w:t xml:space="preserve"> </w:t>
      </w:r>
      <w:r>
        <w:rPr>
          <w:iCs/>
          <w:i/>
        </w:rPr>
        <w:t xml:space="preserve">7</w:t>
      </w:r>
      <w:r>
        <w:t xml:space="preserve">(1), 19.</w:t>
      </w:r>
    </w:p>
    <w:bookmarkEnd w:id="53"/>
    <w:bookmarkStart w:id="55"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54">
        <w:r>
          <w:rPr>
            <w:rStyle w:val="Hyperlink"/>
          </w:rPr>
          <w:t xml:space="preserve">https://doi.org/10.1007/978-3-319-17727-4_64-1</w:t>
        </w:r>
      </w:hyperlink>
    </w:p>
    <w:bookmarkEnd w:id="55"/>
    <w:bookmarkStart w:id="57"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56">
        <w:r>
          <w:rPr>
            <w:rStyle w:val="Hyperlink"/>
          </w:rPr>
          <w:t xml:space="preserve">https://doi.org/cwcqj4</w:t>
        </w:r>
      </w:hyperlink>
    </w:p>
    <w:bookmarkEnd w:id="57"/>
    <w:bookmarkStart w:id="59" w:name="X398061bedf4ca6ea011494eb395f9026963cd42"/>
    <w:p>
      <w:pPr>
        <w:pStyle w:val="Bibliography"/>
      </w:pPr>
      <w:r>
        <w:t xml:space="preserve">Brown, G. (2017).</w:t>
      </w:r>
      <w:r>
        <w:t xml:space="preserve"> </w:t>
      </w:r>
      <w:r>
        <w:rPr>
          <w:iCs/>
          <w:i/>
        </w:rPr>
        <w:t xml:space="preserve">Teachers</w:t>
      </w:r>
      <w:r>
        <w:rPr>
          <w:iCs/>
          <w:i/>
        </w:rPr>
        <w:t xml:space="preserve"> </w:t>
      </w:r>
      <w:r>
        <w:rPr>
          <w:iCs/>
          <w:i/>
        </w:rPr>
        <w:t xml:space="preserve">Conceptions</w:t>
      </w:r>
      <w:r>
        <w:rPr>
          <w:iCs/>
          <w:i/>
        </w:rPr>
        <w:t xml:space="preserve"> </w:t>
      </w:r>
      <w:r>
        <w:rPr>
          <w:iCs/>
          <w:i/>
        </w:rPr>
        <w:t xml:space="preserve">of</w:t>
      </w:r>
      <w:r>
        <w:rPr>
          <w:iCs/>
          <w:i/>
        </w:rPr>
        <w:t xml:space="preserve"> </w:t>
      </w:r>
      <w:r>
        <w:rPr>
          <w:iCs/>
          <w:i/>
        </w:rPr>
        <w:t xml:space="preserve">Assessment</w:t>
      </w:r>
      <w:r>
        <w:rPr>
          <w:iCs/>
          <w:i/>
        </w:rPr>
        <w:t xml:space="preserve"> </w:t>
      </w:r>
      <w:r>
        <w:rPr>
          <w:iCs/>
          <w:i/>
        </w:rPr>
        <w:t xml:space="preserve">-</w:t>
      </w:r>
      <w:r>
        <w:rPr>
          <w:iCs/>
          <w:i/>
        </w:rPr>
        <w:t xml:space="preserve"> </w:t>
      </w:r>
      <w:r>
        <w:rPr>
          <w:iCs/>
          <w:i/>
        </w:rPr>
        <w:t xml:space="preserve">Secondary Schools Long</w:t>
      </w:r>
      <w:r>
        <w:rPr>
          <w:iCs/>
          <w:i/>
        </w:rPr>
        <w:t xml:space="preserve"> </w:t>
      </w:r>
      <w:r>
        <w:rPr>
          <w:iCs/>
          <w:i/>
        </w:rPr>
        <w:t xml:space="preserve">and</w:t>
      </w:r>
      <w:r>
        <w:rPr>
          <w:iCs/>
          <w:i/>
        </w:rPr>
        <w:t xml:space="preserve"> </w:t>
      </w:r>
      <w:r>
        <w:rPr>
          <w:iCs/>
          <w:i/>
        </w:rPr>
        <w:t xml:space="preserve">Abridged</w:t>
      </w:r>
      <w:r>
        <w:t xml:space="preserve">.</w:t>
      </w:r>
      <w:r>
        <w:t xml:space="preserve"> </w:t>
      </w:r>
      <w:hyperlink r:id="rId58">
        <w:r>
          <w:rPr>
            <w:rStyle w:val="Hyperlink"/>
          </w:rPr>
          <w:t xml:space="preserve">https://doi.org/gj4tz6</w:t>
        </w:r>
      </w:hyperlink>
    </w:p>
    <w:bookmarkEnd w:id="59"/>
    <w:bookmarkStart w:id="61"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60">
        <w:r>
          <w:rPr>
            <w:rStyle w:val="Hyperlink"/>
          </w:rPr>
          <w:t xml:space="preserve">https://doi.org/c3k8f5</w:t>
        </w:r>
      </w:hyperlink>
    </w:p>
    <w:bookmarkEnd w:id="61"/>
    <w:bookmarkStart w:id="63" w:name="ref-caputiReflectionsNextGeneration2019"/>
    <w:p>
      <w:pPr>
        <w:pStyle w:val="Bibliography"/>
      </w:pPr>
      <w:r>
        <w:t xml:space="preserve">Caputi, L. J. (2019). 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w:t>
      </w:r>
      <w:r>
        <w:t xml:space="preserve"> </w:t>
      </w:r>
      <w:r>
        <w:rPr>
          <w:iCs/>
          <w:i/>
        </w:rPr>
        <w:t xml:space="preserve">40</w:t>
      </w:r>
      <w:r>
        <w:t xml:space="preserve">(1), 2–3.</w:t>
      </w:r>
      <w:r>
        <w:t xml:space="preserve"> </w:t>
      </w:r>
      <w:hyperlink r:id="rId62">
        <w:r>
          <w:rPr>
            <w:rStyle w:val="Hyperlink"/>
          </w:rPr>
          <w:t xml:space="preserve">https://doi.org/d8wq</w:t>
        </w:r>
      </w:hyperlink>
    </w:p>
    <w:bookmarkEnd w:id="63"/>
    <w:bookmarkStart w:id="65" w:name="X8d225d8bf3a6cb9ee5ffa78c73dfa381c6a7c30"/>
    <w:p>
      <w:pPr>
        <w:pStyle w:val="Bibliography"/>
      </w:pPr>
      <w:r>
        <w:t xml:space="preserve">Clarke-Midura, J., &amp; Dede, C. (2010). 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w:t>
      </w:r>
      <w:r>
        <w:t xml:space="preserve"> </w:t>
      </w:r>
      <w:r>
        <w:rPr>
          <w:iCs/>
          <w:i/>
        </w:rPr>
        <w:t xml:space="preserve">42</w:t>
      </w:r>
      <w:r>
        <w:t xml:space="preserve">(3), 309–328.</w:t>
      </w:r>
      <w:r>
        <w:t xml:space="preserve"> </w:t>
      </w:r>
      <w:hyperlink r:id="rId64">
        <w:r>
          <w:rPr>
            <w:rStyle w:val="Hyperlink"/>
          </w:rPr>
          <w:t xml:space="preserve">https://doi.org/ghdnhh</w:t>
        </w:r>
      </w:hyperlink>
    </w:p>
    <w:bookmarkEnd w:id="65"/>
    <w:bookmarkStart w:id="67"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66">
        <w:r>
          <w:rPr>
            <w:rStyle w:val="Hyperlink"/>
          </w:rPr>
          <w:t xml:space="preserve">https://doi.org/dvd8nf</w:t>
        </w:r>
      </w:hyperlink>
    </w:p>
    <w:bookmarkEnd w:id="67"/>
    <w:bookmarkStart w:id="69"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68">
        <w:r>
          <w:rPr>
            <w:rStyle w:val="Hyperlink"/>
          </w:rPr>
          <w:t xml:space="preserve">https://doi.org/10.1080/01626620.2012.730347</w:t>
        </w:r>
      </w:hyperlink>
    </w:p>
    <w:bookmarkEnd w:id="69"/>
    <w:bookmarkStart w:id="71"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70">
        <w:r>
          <w:rPr>
            <w:rStyle w:val="Hyperlink"/>
          </w:rPr>
          <w:t xml:space="preserve">https://doi.org/gj5v98</w:t>
        </w:r>
      </w:hyperlink>
    </w:p>
    <w:bookmarkEnd w:id="71"/>
    <w:bookmarkStart w:id="73"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72">
        <w:r>
          <w:rPr>
            <w:rStyle w:val="Hyperlink"/>
          </w:rPr>
          <w:t xml:space="preserve">https://doi.org/gh5k63</w:t>
        </w:r>
      </w:hyperlink>
    </w:p>
    <w:bookmarkEnd w:id="73"/>
    <w:bookmarkStart w:id="75" w:name="Xedee9bc10fe7ddda531b14b05542852ae9f5f1e"/>
    <w:p>
      <w:pPr>
        <w:pStyle w:val="Bibliography"/>
      </w:pPr>
      <w:r>
        <w:t xml:space="preserve">DeLuca, C., LaPointe-McEwan, D., &amp; Luhanga, U. (2016a).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74">
        <w:r>
          <w:rPr>
            <w:rStyle w:val="Hyperlink"/>
          </w:rPr>
          <w:t xml:space="preserve">https://doi.org/gfgtsg</w:t>
        </w:r>
      </w:hyperlink>
    </w:p>
    <w:bookmarkEnd w:id="75"/>
    <w:bookmarkStart w:id="77" w:name="ref-delucaTeacherAssessmentLiteracy2016"/>
    <w:p>
      <w:pPr>
        <w:pStyle w:val="Bibliography"/>
      </w:pPr>
      <w:r>
        <w:t xml:space="preserve">DeLuca, C., LaPointe-McEwan, D., &amp; Luhanga, U. (2016b). Teacher assessment literacy: A review of international standards and measures.</w:t>
      </w:r>
      <w:r>
        <w:t xml:space="preserve"> </w:t>
      </w:r>
      <w:r>
        <w:rPr>
          <w:iCs/>
          <w:i/>
        </w:rPr>
        <w:t xml:space="preserve">Educational Assessment, Evaluation and Accountability</w:t>
      </w:r>
      <w:r>
        <w:t xml:space="preserve">,</w:t>
      </w:r>
      <w:r>
        <w:t xml:space="preserve"> </w:t>
      </w:r>
      <w:r>
        <w:rPr>
          <w:iCs/>
          <w:i/>
        </w:rPr>
        <w:t xml:space="preserve">28</w:t>
      </w:r>
      <w:r>
        <w:t xml:space="preserve">, 251–272.</w:t>
      </w:r>
      <w:r>
        <w:t xml:space="preserve"> </w:t>
      </w:r>
      <w:hyperlink r:id="rId76">
        <w:r>
          <w:rPr>
            <w:rStyle w:val="Hyperlink"/>
          </w:rPr>
          <w:t xml:space="preserve">https://doi.org/f828mh</w:t>
        </w:r>
      </w:hyperlink>
    </w:p>
    <w:bookmarkEnd w:id="77"/>
    <w:bookmarkStart w:id="79"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78">
        <w:r>
          <w:rPr>
            <w:rStyle w:val="Hyperlink"/>
          </w:rPr>
          <w:t xml:space="preserve">https://doi.org/gjxvc7</w:t>
        </w:r>
      </w:hyperlink>
    </w:p>
    <w:bookmarkEnd w:id="79"/>
    <w:bookmarkStart w:id="81"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80">
        <w:r>
          <w:rPr>
            <w:rStyle w:val="Hyperlink"/>
          </w:rPr>
          <w:t xml:space="preserve">https://doi.org/gh5k6p</w:t>
        </w:r>
      </w:hyperlink>
    </w:p>
    <w:bookmarkEnd w:id="81"/>
    <w:bookmarkStart w:id="82"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82"/>
    <w:bookmarkStart w:id="84"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83">
        <w:r>
          <w:rPr>
            <w:rStyle w:val="Hyperlink"/>
          </w:rPr>
          <w:t xml:space="preserve">https://doi.org/ctccpq</w:t>
        </w:r>
      </w:hyperlink>
    </w:p>
    <w:bookmarkEnd w:id="84"/>
    <w:bookmarkStart w:id="85"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85"/>
    <w:bookmarkStart w:id="86" w:name="ref-frantzSpeakSpell2014"/>
    <w:p>
      <w:pPr>
        <w:pStyle w:val="Bibliography"/>
      </w:pPr>
      <w:r>
        <w:t xml:space="preserve">Frantz, G.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p>
    <w:bookmarkEnd w:id="86"/>
    <w:bookmarkStart w:id="87"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87"/>
    <w:bookmarkStart w:id="89" w:name="Xe3aa0c16cb2acc5791f9f0bae56342b4d10012d"/>
    <w:p>
      <w:pPr>
        <w:pStyle w:val="Bibliography"/>
      </w:pPr>
      <w:r>
        <w:t xml:space="preserve">Herppich, S., Praetorius, A.-K., Förster, N., Glogger-Frey, I., Karst, K., Leutner, D., Behrmann, L., Böhmer, M., Ufer, S., Klug, J., Hetmanek, A., Ohle, A., Böhmer, I., Karing, C., Kaiser, J., &amp; Südkamp, A. (2018). 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w:t>
      </w:r>
      <w:r>
        <w:t xml:space="preserve"> </w:t>
      </w:r>
      <w:r>
        <w:rPr>
          <w:iCs/>
          <w:i/>
        </w:rPr>
        <w:t xml:space="preserve">76</w:t>
      </w:r>
      <w:r>
        <w:t xml:space="preserve">, 181–193.</w:t>
      </w:r>
      <w:r>
        <w:t xml:space="preserve"> </w:t>
      </w:r>
      <w:hyperlink r:id="rId88">
        <w:r>
          <w:rPr>
            <w:rStyle w:val="Hyperlink"/>
          </w:rPr>
          <w:t xml:space="preserve">https://doi.org/gfjsvn</w:t>
        </w:r>
      </w:hyperlink>
    </w:p>
    <w:bookmarkEnd w:id="89"/>
    <w:bookmarkStart w:id="90" w:name="ref-irvineLandscapeMergingModalities2020"/>
    <w:p>
      <w:pPr>
        <w:pStyle w:val="Bibliography"/>
      </w:pPr>
      <w:r>
        <w:t xml:space="preserve">Irvine, V. (2020). The</w:t>
      </w:r>
      <w:r>
        <w:t xml:space="preserve"> </w:t>
      </w:r>
      <w:r>
        <w:t xml:space="preserve">Landscape</w:t>
      </w:r>
      <w:r>
        <w:t xml:space="preserve"> </w:t>
      </w:r>
      <w:r>
        <w:t xml:space="preserve">of merging modalities.</w:t>
      </w:r>
      <w:r>
        <w:t xml:space="preserve"> </w:t>
      </w:r>
      <w:r>
        <w:rPr>
          <w:iCs/>
          <w:i/>
        </w:rPr>
        <w:t xml:space="preserve">EDUCAUSE Review</w:t>
      </w:r>
      <w:r>
        <w:t xml:space="preserve">,</w:t>
      </w:r>
      <w:r>
        <w:t xml:space="preserve"> </w:t>
      </w:r>
      <w:r>
        <w:rPr>
          <w:iCs/>
          <w:i/>
        </w:rPr>
        <w:t xml:space="preserve">2020</w:t>
      </w:r>
      <w:r>
        <w:t xml:space="preserve">(4), 40–58.</w:t>
      </w:r>
    </w:p>
    <w:bookmarkEnd w:id="90"/>
    <w:bookmarkStart w:id="92" w:name="ref-jonesStudentWellbeingAssessment2021"/>
    <w:p>
      <w:pPr>
        <w:pStyle w:val="Bibliography"/>
      </w:pPr>
      <w:r>
        <w:t xml:space="preserve">Jones, E., Priestley, M., Brewster, L., Wilbraham, S. J., Hughes, G., &amp; Spanner, L. (2021). Student wellbeing and assessment in higher education: The balancing act.</w:t>
      </w:r>
      <w:r>
        <w:t xml:space="preserve"> </w:t>
      </w:r>
      <w:r>
        <w:rPr>
          <w:iCs/>
          <w:i/>
        </w:rPr>
        <w:t xml:space="preserve">Assessment &amp; Evaluation in Higher Education</w:t>
      </w:r>
      <w:r>
        <w:t xml:space="preserve">,</w:t>
      </w:r>
      <w:r>
        <w:t xml:space="preserve"> </w:t>
      </w:r>
      <w:r>
        <w:rPr>
          <w:iCs/>
          <w:i/>
        </w:rPr>
        <w:t xml:space="preserve">46</w:t>
      </w:r>
      <w:r>
        <w:t xml:space="preserve">(3), 438–450.</w:t>
      </w:r>
      <w:r>
        <w:t xml:space="preserve"> </w:t>
      </w:r>
      <w:hyperlink r:id="rId91">
        <w:r>
          <w:rPr>
            <w:rStyle w:val="Hyperlink"/>
          </w:rPr>
          <w:t xml:space="preserve">https://doi.org/gk36pd</w:t>
        </w:r>
      </w:hyperlink>
    </w:p>
    <w:bookmarkEnd w:id="92"/>
    <w:bookmarkStart w:id="93"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93"/>
    <w:bookmarkStart w:id="95" w:name="Xcf88c9b5dbcbac8629742c94c8d713b40740bc0"/>
    <w:p>
      <w:pPr>
        <w:pStyle w:val="Bibliography"/>
      </w:pPr>
      <w:r>
        <w:t xml:space="preserve">Lin, Q., Yin, Y., Tang, X., Hadad, R., &amp; Zhai, X. (2020). 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w:t>
      </w:r>
      <w:r>
        <w:t xml:space="preserve"> </w:t>
      </w:r>
      <w:r>
        <w:rPr>
          <w:iCs/>
          <w:i/>
        </w:rPr>
        <w:t xml:space="preserve">157</w:t>
      </w:r>
      <w:r>
        <w:t xml:space="preserve">, 103944.</w:t>
      </w:r>
      <w:r>
        <w:t xml:space="preserve"> </w:t>
      </w:r>
      <w:hyperlink r:id="rId94">
        <w:r>
          <w:rPr>
            <w:rStyle w:val="Hyperlink"/>
          </w:rPr>
          <w:t xml:space="preserve">https://doi.org/ghgzp9</w:t>
        </w:r>
      </w:hyperlink>
    </w:p>
    <w:bookmarkEnd w:id="95"/>
    <w:bookmarkStart w:id="97"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96">
        <w:r>
          <w:rPr>
            <w:rStyle w:val="Hyperlink"/>
          </w:rPr>
          <w:t xml:space="preserve">https://doi.org/ghjw3k</w:t>
        </w:r>
      </w:hyperlink>
    </w:p>
    <w:bookmarkEnd w:id="97"/>
    <w:bookmarkStart w:id="99"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98">
        <w:r>
          <w:rPr>
            <w:rStyle w:val="Hyperlink"/>
          </w:rPr>
          <w:t xml:space="preserve">https://doi.org/gj5ngz</w:t>
        </w:r>
      </w:hyperlink>
    </w:p>
    <w:bookmarkEnd w:id="99"/>
    <w:bookmarkStart w:id="101" w:name="X5c86252aa4ff917d9cc0a272767d26b88512cd6"/>
    <w:p>
      <w:pPr>
        <w:pStyle w:val="Bibliography"/>
      </w:pPr>
      <w:r>
        <w:t xml:space="preserve">Medland, E. (2015). Examining the assessment literacy of external examiners.</w:t>
      </w:r>
      <w:r>
        <w:t xml:space="preserve"> </w:t>
      </w:r>
      <w:r>
        <w:rPr>
          <w:iCs/>
          <w:i/>
        </w:rPr>
        <w:t xml:space="preserve">London Review of Education</w:t>
      </w:r>
      <w:r>
        <w:t xml:space="preserve">.</w:t>
      </w:r>
      <w:r>
        <w:t xml:space="preserve"> </w:t>
      </w:r>
      <w:hyperlink r:id="rId100">
        <w:r>
          <w:rPr>
            <w:rStyle w:val="Hyperlink"/>
          </w:rPr>
          <w:t xml:space="preserve">https://doi.org/gk5sph</w:t>
        </w:r>
      </w:hyperlink>
    </w:p>
    <w:bookmarkEnd w:id="101"/>
    <w:bookmarkStart w:id="103"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102">
        <w:r>
          <w:rPr>
            <w:rStyle w:val="Hyperlink"/>
          </w:rPr>
          <w:t xml:space="preserve">https://doi.org/gjm236</w:t>
        </w:r>
      </w:hyperlink>
    </w:p>
    <w:bookmarkEnd w:id="103"/>
    <w:bookmarkStart w:id="105" w:name="X949dc1c922451eed515cca009b0e2211dbab978"/>
    <w:p>
      <w:pPr>
        <w:pStyle w:val="Bibliography"/>
      </w:pPr>
      <w:r>
        <w:t xml:space="preserve">Natriello, G. (1987). 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w:t>
      </w:r>
      <w:r>
        <w:t xml:space="preserve"> </w:t>
      </w:r>
      <w:r>
        <w:rPr>
          <w:iCs/>
          <w:i/>
        </w:rPr>
        <w:t xml:space="preserve">22</w:t>
      </w:r>
      <w:r>
        <w:t xml:space="preserve">(2), 155–175.</w:t>
      </w:r>
      <w:r>
        <w:t xml:space="preserve"> </w:t>
      </w:r>
      <w:hyperlink r:id="rId104">
        <w:r>
          <w:rPr>
            <w:rStyle w:val="Hyperlink"/>
          </w:rPr>
          <w:t xml:space="preserve">https://doi.org/cgqtqx</w:t>
        </w:r>
      </w:hyperlink>
    </w:p>
    <w:bookmarkEnd w:id="105"/>
    <w:bookmarkStart w:id="107" w:name="Xb8ef97dcd64a46920c7df0026dc0b714b2ee92d"/>
    <w:p>
      <w:pPr>
        <w:pStyle w:val="Bibliography"/>
      </w:pPr>
      <w:r>
        <w:t xml:space="preserve">O’Donnell, M. (2020). Assessment as and of</w:t>
      </w:r>
      <w:r>
        <w:t xml:space="preserve"> </w:t>
      </w:r>
      <w:r>
        <w:t xml:space="preserve">Digital Practice</w:t>
      </w:r>
      <w:r>
        <w:t xml:space="preserve">:</w:t>
      </w:r>
      <w:r>
        <w:t xml:space="preserve"> </w:t>
      </w:r>
      <w:r>
        <w:t xml:space="preserve">Building Productive Digital Literacies</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111–125).</w:t>
      </w:r>
      <w:r>
        <w:t xml:space="preserve"> </w:t>
      </w:r>
      <w:r>
        <w:t xml:space="preserve">Springer International Publishing</w:t>
      </w:r>
      <w:r>
        <w:t xml:space="preserve">.</w:t>
      </w:r>
      <w:r>
        <w:t xml:space="preserve"> </w:t>
      </w:r>
      <w:hyperlink r:id="rId106">
        <w:r>
          <w:rPr>
            <w:rStyle w:val="Hyperlink"/>
          </w:rPr>
          <w:t xml:space="preserve">https://doi.org/10.1007/978-3-030-41956-1_9</w:t>
        </w:r>
      </w:hyperlink>
    </w:p>
    <w:bookmarkEnd w:id="107"/>
    <w:bookmarkStart w:id="109"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108">
        <w:r>
          <w:rPr>
            <w:rStyle w:val="Hyperlink"/>
          </w:rPr>
          <w:t xml:space="preserve">https://doi.org/d89z7p</w:t>
        </w:r>
      </w:hyperlink>
    </w:p>
    <w:bookmarkEnd w:id="109"/>
    <w:bookmarkStart w:id="110" w:name="ref-oldfieldAssessmentDigitalAge2012"/>
    <w:p>
      <w:pPr>
        <w:pStyle w:val="Bibliography"/>
      </w:pPr>
      <w:r>
        <w:t xml:space="preserve">Oldfield, A., Broadfoot, P., Sutherland, R., &amp; Timmis, S. (2012).</w:t>
      </w:r>
      <w:r>
        <w:t xml:space="preserve"> </w:t>
      </w:r>
      <w:r>
        <w:rPr>
          <w:iCs/>
          <w:i/>
        </w:rPr>
        <w:t xml:space="preserve">Assessment in a</w:t>
      </w:r>
      <w:r>
        <w:rPr>
          <w:iCs/>
          <w:i/>
        </w:rPr>
        <w:t xml:space="preserve"> </w:t>
      </w:r>
      <w:r>
        <w:rPr>
          <w:iCs/>
          <w:i/>
        </w:rPr>
        <w:t xml:space="preserve">Digital Age</w:t>
      </w:r>
      <w:r>
        <w:rPr>
          <w:iCs/>
          <w:i/>
        </w:rPr>
        <w:t xml:space="preserve">:</w:t>
      </w:r>
      <w:r>
        <w:rPr>
          <w:iCs/>
          <w:i/>
        </w:rPr>
        <w:t xml:space="preserve"> </w:t>
      </w:r>
      <w:r>
        <w:rPr>
          <w:iCs/>
          <w:i/>
        </w:rPr>
        <w:t xml:space="preserve">A</w:t>
      </w:r>
      <w:r>
        <w:rPr>
          <w:iCs/>
          <w:i/>
        </w:rPr>
        <w:t xml:space="preserve"> </w:t>
      </w:r>
      <w:r>
        <w:rPr>
          <w:iCs/>
          <w:i/>
        </w:rPr>
        <w:t xml:space="preserve">research review</w:t>
      </w:r>
      <w:r>
        <w:t xml:space="preserve">.</w:t>
      </w:r>
      <w:r>
        <w:t xml:space="preserve"> </w:t>
      </w:r>
      <w:r>
        <w:t xml:space="preserve">Graduate School of Education, University of Bristol</w:t>
      </w:r>
      <w:r>
        <w:t xml:space="preserve">.</w:t>
      </w:r>
    </w:p>
    <w:bookmarkEnd w:id="110"/>
    <w:bookmarkStart w:id="112" w:name="ref-pastoreTeacherAssessmentLiteracy2019"/>
    <w:p>
      <w:pPr>
        <w:pStyle w:val="Bibliography"/>
      </w:pPr>
      <w:r>
        <w:t xml:space="preserve">Pastore, S., &amp; Andrade, H. L. (2019). 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w:t>
      </w:r>
      <w:r>
        <w:t xml:space="preserve"> </w:t>
      </w:r>
      <w:r>
        <w:rPr>
          <w:iCs/>
          <w:i/>
        </w:rPr>
        <w:t xml:space="preserve">84</w:t>
      </w:r>
      <w:r>
        <w:t xml:space="preserve">, 128–138.</w:t>
      </w:r>
      <w:r>
        <w:t xml:space="preserve"> </w:t>
      </w:r>
      <w:hyperlink r:id="rId111">
        <w:r>
          <w:rPr>
            <w:rStyle w:val="Hyperlink"/>
          </w:rPr>
          <w:t xml:space="preserve">https://doi.org/gh5k7b</w:t>
        </w:r>
      </w:hyperlink>
    </w:p>
    <w:bookmarkEnd w:id="112"/>
    <w:bookmarkStart w:id="114"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113">
        <w:r>
          <w:rPr>
            <w:rStyle w:val="Hyperlink"/>
          </w:rPr>
          <w:t xml:space="preserve">https://doi.org/10.17226/10019</w:t>
        </w:r>
      </w:hyperlink>
    </w:p>
    <w:bookmarkEnd w:id="114"/>
    <w:bookmarkStart w:id="116"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115">
        <w:r>
          <w:rPr>
            <w:rStyle w:val="Hyperlink"/>
          </w:rPr>
          <w:t xml:space="preserve">https://doi.org/ggfh8z</w:t>
        </w:r>
      </w:hyperlink>
    </w:p>
    <w:bookmarkEnd w:id="116"/>
    <w:bookmarkStart w:id="118" w:name="X2ef0bb9d5e3fccea0cf8ddd6c54b6184255abbf"/>
    <w:p>
      <w:pPr>
        <w:pStyle w:val="Bibliography"/>
      </w:pPr>
      <w:r>
        <w:t xml:space="preserve">Popham, W. J. (2011). 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w:t>
      </w:r>
      <w:r>
        <w:t xml:space="preserve"> </w:t>
      </w:r>
      <w:r>
        <w:rPr>
          <w:iCs/>
          <w:i/>
        </w:rPr>
        <w:t xml:space="preserve">46</w:t>
      </w:r>
      <w:r>
        <w:t xml:space="preserve">(4), 265–273.</w:t>
      </w:r>
      <w:r>
        <w:t xml:space="preserve"> </w:t>
      </w:r>
      <w:hyperlink r:id="rId117">
        <w:r>
          <w:rPr>
            <w:rStyle w:val="Hyperlink"/>
          </w:rPr>
          <w:t xml:space="preserve">https://doi.org/dctz5h</w:t>
        </w:r>
      </w:hyperlink>
    </w:p>
    <w:bookmarkEnd w:id="118"/>
    <w:bookmarkStart w:id="119" w:name="ref-presseyMachineAutomaticTeaching1927"/>
    <w:p>
      <w:pPr>
        <w:pStyle w:val="Bibliography"/>
      </w:pPr>
      <w:r>
        <w:t xml:space="preserve">Pressey, S. L. (1927). A machine for automatic teaching of drill material.</w:t>
      </w:r>
      <w:r>
        <w:t xml:space="preserve"> </w:t>
      </w:r>
      <w:r>
        <w:rPr>
          <w:iCs/>
          <w:i/>
        </w:rPr>
        <w:t xml:space="preserve">School &amp; Society</w:t>
      </w:r>
      <w:r>
        <w:t xml:space="preserve">,</w:t>
      </w:r>
      <w:r>
        <w:t xml:space="preserve"> </w:t>
      </w:r>
      <w:r>
        <w:rPr>
          <w:iCs/>
          <w:i/>
        </w:rPr>
        <w:t xml:space="preserve">25</w:t>
      </w:r>
      <w:r>
        <w:t xml:space="preserve">, 549–552.</w:t>
      </w:r>
    </w:p>
    <w:bookmarkEnd w:id="119"/>
    <w:bookmarkStart w:id="121" w:name="ref-priceIfWasGoing2011"/>
    <w:p>
      <w:pPr>
        <w:pStyle w:val="Bibliography"/>
      </w:pPr>
      <w:r>
        <w:t xml:space="preserve">Price, M., Carroll, J., O’Donovan, B., &amp; Rust, C. (2011). 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w:t>
      </w:r>
      <w:r>
        <w:t xml:space="preserve"> </w:t>
      </w:r>
      <w:r>
        <w:rPr>
          <w:iCs/>
          <w:i/>
        </w:rPr>
        <w:t xml:space="preserve">36</w:t>
      </w:r>
      <w:r>
        <w:t xml:space="preserve">(4), 479–492.</w:t>
      </w:r>
      <w:r>
        <w:t xml:space="preserve"> </w:t>
      </w:r>
      <w:hyperlink r:id="rId120">
        <w:r>
          <w:rPr>
            <w:rStyle w:val="Hyperlink"/>
          </w:rPr>
          <w:t xml:space="preserve">https://doi.org/d4sz5m</w:t>
        </w:r>
      </w:hyperlink>
    </w:p>
    <w:bookmarkEnd w:id="121"/>
    <w:bookmarkStart w:id="122" w:name="ref-scrivenMethodologyEvaluation1967"/>
    <w:p>
      <w:pPr>
        <w:pStyle w:val="Bibliography"/>
      </w:pPr>
      <w:r>
        <w:t xml:space="preserve">Scriven, M. (1967). The methodology of evaluation. In B. O. Smith (Ed.),</w:t>
      </w:r>
      <w:r>
        <w:t xml:space="preserve"> </w:t>
      </w:r>
      <w:r>
        <w:rPr>
          <w:iCs/>
          <w:i/>
        </w:rPr>
        <w:t xml:space="preserve">Perspectives of curriculum evaluation</w:t>
      </w:r>
      <w:r>
        <w:t xml:space="preserve">.</w:t>
      </w:r>
      <w:r>
        <w:t xml:space="preserve"> </w:t>
      </w:r>
      <w:r>
        <w:t xml:space="preserve">Rand McNally</w:t>
      </w:r>
      <w:r>
        <w:t xml:space="preserve">.</w:t>
      </w:r>
    </w:p>
    <w:bookmarkEnd w:id="122"/>
    <w:bookmarkStart w:id="124"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123">
        <w:r>
          <w:rPr>
            <w:rStyle w:val="Hyperlink"/>
          </w:rPr>
          <w:t xml:space="preserve">https://doi.org/cw9jwc</w:t>
        </w:r>
      </w:hyperlink>
    </w:p>
    <w:bookmarkEnd w:id="124"/>
    <w:bookmarkStart w:id="125" w:name="ref-shute21stCenturyAssessment2010"/>
    <w:p>
      <w:pPr>
        <w:pStyle w:val="Bibliography"/>
      </w:pPr>
      <w:r>
        <w:t xml:space="preserve">Shute, V. J., Dennen, V. P., Kim, Y., Donmez, O., &amp; Wang, C. (2010).</w:t>
      </w:r>
      <w:r>
        <w:t xml:space="preserve"> </w:t>
      </w:r>
      <w:r>
        <w:rPr>
          <w:iCs/>
          <w:i/>
        </w:rPr>
        <w:t xml:space="preserve">21st century assessment to promote 21st century learning:</w:t>
      </w:r>
      <w:r>
        <w:rPr>
          <w:iCs/>
          <w:i/>
        </w:rPr>
        <w:t xml:space="preserve"> </w:t>
      </w:r>
      <w:r>
        <w:rPr>
          <w:iCs/>
          <w:i/>
        </w:rPr>
        <w:t xml:space="preserve">The</w:t>
      </w:r>
      <w:r>
        <w:rPr>
          <w:iCs/>
          <w:i/>
        </w:rPr>
        <w:t xml:space="preserve"> </w:t>
      </w:r>
      <w:r>
        <w:rPr>
          <w:iCs/>
          <w:i/>
        </w:rPr>
        <w:t xml:space="preserve">benefits of blinking</w:t>
      </w:r>
      <w:r>
        <w:t xml:space="preserve">.</w:t>
      </w:r>
    </w:p>
    <w:bookmarkEnd w:id="125"/>
    <w:bookmarkStart w:id="126"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26"/>
    <w:bookmarkStart w:id="128" w:name="X88b1c0c95c5ecb040b63ac0eab37de36c7ef351"/>
    <w:p>
      <w:pPr>
        <w:pStyle w:val="Bibliography"/>
      </w:pPr>
      <w:r>
        <w:t xml:space="preserve">Smith Glasgow, M. E., Dreher, H. M., &amp; Schreiber, J. (2019). Standardized testing in nursing education:</w:t>
      </w:r>
      <w:r>
        <w:t xml:space="preserve"> </w:t>
      </w:r>
      <w:r>
        <w:t xml:space="preserve">Preparing</w:t>
      </w:r>
      <w:r>
        <w:t xml:space="preserve"> </w:t>
      </w:r>
      <w:r>
        <w:t xml:space="preserve">students for</w:t>
      </w:r>
      <w:r>
        <w:t xml:space="preserve"> </w:t>
      </w:r>
      <w:r>
        <w:t xml:space="preserve">NCLEX-RN</w:t>
      </w:r>
      <w:r>
        <w:t xml:space="preserve"> </w:t>
      </w:r>
      <w:r>
        <w:t xml:space="preserve">and practice.</w:t>
      </w:r>
      <w:r>
        <w:t xml:space="preserve"> </w:t>
      </w:r>
      <w:r>
        <w:rPr>
          <w:iCs/>
          <w:i/>
        </w:rPr>
        <w:t xml:space="preserve">Journal of Professional Nursing</w:t>
      </w:r>
      <w:r>
        <w:t xml:space="preserve">,</w:t>
      </w:r>
      <w:r>
        <w:t xml:space="preserve"> </w:t>
      </w:r>
      <w:r>
        <w:rPr>
          <w:iCs/>
          <w:i/>
        </w:rPr>
        <w:t xml:space="preserve">35</w:t>
      </w:r>
      <w:r>
        <w:t xml:space="preserve">(6), 440–446.</w:t>
      </w:r>
      <w:r>
        <w:t xml:space="preserve"> </w:t>
      </w:r>
      <w:hyperlink r:id="rId127">
        <w:r>
          <w:rPr>
            <w:rStyle w:val="Hyperlink"/>
          </w:rPr>
          <w:t xml:space="preserve">https://doi.org/ggqh9p</w:t>
        </w:r>
      </w:hyperlink>
    </w:p>
    <w:bookmarkEnd w:id="128"/>
    <w:bookmarkStart w:id="129"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American Educational Research Association</w:t>
      </w:r>
      <w:r>
        <w:t xml:space="preserve">.</w:t>
      </w:r>
    </w:p>
    <w:bookmarkEnd w:id="129"/>
    <w:bookmarkStart w:id="130"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30"/>
    <w:bookmarkStart w:id="131"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31"/>
    <w:bookmarkStart w:id="132"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32"/>
    <w:bookmarkStart w:id="134"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33">
        <w:r>
          <w:rPr>
            <w:rStyle w:val="Hyperlink"/>
          </w:rPr>
          <w:t xml:space="preserve">https://doi.org/gftz95</w:t>
        </w:r>
      </w:hyperlink>
    </w:p>
    <w:bookmarkEnd w:id="134"/>
    <w:bookmarkStart w:id="135"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35"/>
    <w:bookmarkStart w:id="136" w:name="ref-wattersSpeakSpellHistory2015"/>
    <w:p>
      <w:pPr>
        <w:pStyle w:val="Bibliography"/>
      </w:pPr>
      <w:r>
        <w:t xml:space="preserve">Watters, Audrey. (2015). Speak &amp;</w:t>
      </w:r>
      <w:r>
        <w:t xml:space="preserve"> </w:t>
      </w:r>
      <w:r>
        <w:t xml:space="preserve">Spell</w:t>
      </w:r>
      <w:r>
        <w:t xml:space="preserve">:</w:t>
      </w:r>
      <w:r>
        <w:t xml:space="preserve"> </w:t>
      </w:r>
      <w:r>
        <w:t xml:space="preserve">A History</w:t>
      </w:r>
      <w:r>
        <w:t xml:space="preserve">. In</w:t>
      </w:r>
      <w:r>
        <w:t xml:space="preserve"> </w:t>
      </w:r>
      <w:r>
        <w:rPr>
          <w:iCs/>
          <w:i/>
        </w:rPr>
        <w:t xml:space="preserve">Hack Education</w:t>
      </w:r>
      <w:r>
        <w:t xml:space="preserve">. http://hackeducation.com/2015/01/13/speak-and-spell.</w:t>
      </w:r>
    </w:p>
    <w:bookmarkEnd w:id="136"/>
    <w:bookmarkStart w:id="137"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p>
    <w:bookmarkEnd w:id="137"/>
    <w:bookmarkStart w:id="139"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38">
        <w:r>
          <w:rPr>
            <w:rStyle w:val="Hyperlink"/>
          </w:rPr>
          <w:t xml:space="preserve">https://doi.org/10.1007/978-3-319-71054-9_37</w:t>
        </w:r>
      </w:hyperlink>
    </w:p>
    <w:bookmarkEnd w:id="139"/>
    <w:bookmarkStart w:id="141"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40">
        <w:r>
          <w:rPr>
            <w:rStyle w:val="Hyperlink"/>
          </w:rPr>
          <w:t xml:space="preserve">https://doi.org/gh5k7d</w:t>
        </w:r>
      </w:hyperlink>
    </w:p>
    <w:bookmarkEnd w:id="141"/>
    <w:bookmarkStart w:id="142" w:name="ref-woldeab21stCenturyAssessment2019"/>
    <w:p>
      <w:pPr>
        <w:pStyle w:val="Bibliography"/>
      </w:pPr>
      <w:r>
        <w:t xml:space="preserve">Woldeab, D., &amp; Brothen, T. (2019). 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w:t>
      </w:r>
      <w:r>
        <w:t xml:space="preserve"> </w:t>
      </w:r>
      <w:r>
        <w:rPr>
          <w:iCs/>
          <w:i/>
        </w:rPr>
        <w:t xml:space="preserve">34</w:t>
      </w:r>
      <w:r>
        <w:t xml:space="preserve">(1).</w:t>
      </w:r>
    </w:p>
    <w:bookmarkEnd w:id="142"/>
    <w:bookmarkStart w:id="144" w:name="ref-xuTeacherAssessmentLiteracy2016"/>
    <w:p>
      <w:pPr>
        <w:pStyle w:val="Bibliography"/>
      </w:pPr>
      <w:r>
        <w:t xml:space="preserve">Xu, Y., &amp; Brown, G. T. L. (2016). 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w:t>
      </w:r>
      <w:r>
        <w:t xml:space="preserve"> </w:t>
      </w:r>
      <w:r>
        <w:rPr>
          <w:iCs/>
          <w:i/>
        </w:rPr>
        <w:t xml:space="preserve">58</w:t>
      </w:r>
      <w:r>
        <w:t xml:space="preserve">, 149–162.</w:t>
      </w:r>
      <w:r>
        <w:t xml:space="preserve"> </w:t>
      </w:r>
      <w:hyperlink r:id="rId143">
        <w:r>
          <w:rPr>
            <w:rStyle w:val="Hyperlink"/>
          </w:rPr>
          <w:t xml:space="preserve">https://doi.org/f8txgm</w:t>
        </w:r>
      </w:hyperlink>
    </w:p>
    <w:bookmarkEnd w:id="144"/>
    <w:bookmarkEnd w:id="145"/>
    <w:bookmarkEnd w:id="146"/>
    <w:bookmarkEnd w:id="147"/>
    <w:sectPr w:rsidR="00D72BB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8D5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C46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081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3E9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C25F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4F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48F0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2E56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448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hyperlink" Id="rId106" Target="https://doi.org/10.1007/978-3-030-41956-1_9" TargetMode="External" /><Relationship Type="http://schemas.openxmlformats.org/officeDocument/2006/relationships/hyperlink" Id="rId54" Target="https://doi.org/10.1007/978-3-319-17727-4_64-1" TargetMode="External" /><Relationship Type="http://schemas.openxmlformats.org/officeDocument/2006/relationships/hyperlink" Id="rId138" Target="https://doi.org/10.1007/978-3-319-71054-9_37" TargetMode="External" /><Relationship Type="http://schemas.openxmlformats.org/officeDocument/2006/relationships/hyperlink" Id="rId68" Target="https://doi.org/10.1080/01626620.2012.730347" TargetMode="External" /><Relationship Type="http://schemas.openxmlformats.org/officeDocument/2006/relationships/hyperlink" Id="rId113" Target="https://doi.org/10.17226/10019" TargetMode="External" /><Relationship Type="http://schemas.openxmlformats.org/officeDocument/2006/relationships/hyperlink" Id="rId60" Target="https://doi.org/c3k8f5" TargetMode="External" /><Relationship Type="http://schemas.openxmlformats.org/officeDocument/2006/relationships/hyperlink" Id="rId44" Target="https://doi.org/ccdmd9" TargetMode="External" /><Relationship Type="http://schemas.openxmlformats.org/officeDocument/2006/relationships/hyperlink" Id="rId104" Target="https://doi.org/cgqtqx" TargetMode="External" /><Relationship Type="http://schemas.openxmlformats.org/officeDocument/2006/relationships/hyperlink" Id="rId42" Target="https://doi.org/chx3gp" TargetMode="External" /><Relationship Type="http://schemas.openxmlformats.org/officeDocument/2006/relationships/hyperlink" Id="rId48" Target="https://doi.org/cqgvs8" TargetMode="External" /><Relationship Type="http://schemas.openxmlformats.org/officeDocument/2006/relationships/hyperlink" Id="rId83" Target="https://doi.org/ctccpq" TargetMode="External" /><Relationship Type="http://schemas.openxmlformats.org/officeDocument/2006/relationships/hyperlink" Id="rId123" Target="https://doi.org/cw9jwc" TargetMode="External" /><Relationship Type="http://schemas.openxmlformats.org/officeDocument/2006/relationships/hyperlink" Id="rId56" Target="https://doi.org/cwcqj4" TargetMode="External" /><Relationship Type="http://schemas.openxmlformats.org/officeDocument/2006/relationships/hyperlink" Id="rId120" Target="https://doi.org/d4sz5m" TargetMode="External" /><Relationship Type="http://schemas.openxmlformats.org/officeDocument/2006/relationships/hyperlink" Id="rId108" Target="https://doi.org/d89z7p" TargetMode="External" /><Relationship Type="http://schemas.openxmlformats.org/officeDocument/2006/relationships/hyperlink" Id="rId62" Target="https://doi.org/d8wq" TargetMode="External" /><Relationship Type="http://schemas.openxmlformats.org/officeDocument/2006/relationships/hyperlink" Id="rId117" Target="https://doi.org/dctz5h" TargetMode="External" /><Relationship Type="http://schemas.openxmlformats.org/officeDocument/2006/relationships/hyperlink" Id="rId36" Target="https://doi.org/djgzjr" TargetMode="External" /><Relationship Type="http://schemas.openxmlformats.org/officeDocument/2006/relationships/hyperlink" Id="rId40" Target="https://doi.org/drgphk" TargetMode="External" /><Relationship Type="http://schemas.openxmlformats.org/officeDocument/2006/relationships/hyperlink" Id="rId66" Target="https://doi.org/dvd8nf" TargetMode="External" /><Relationship Type="http://schemas.openxmlformats.org/officeDocument/2006/relationships/hyperlink" Id="rId76" Target="https://doi.org/f828mh" TargetMode="External" /><Relationship Type="http://schemas.openxmlformats.org/officeDocument/2006/relationships/hyperlink" Id="rId143" Target="https://doi.org/f8txgm" TargetMode="External" /><Relationship Type="http://schemas.openxmlformats.org/officeDocument/2006/relationships/hyperlink" Id="rId50" Target="https://doi.org/fpnss4" TargetMode="External" /><Relationship Type="http://schemas.openxmlformats.org/officeDocument/2006/relationships/hyperlink" Id="rId38" Target="https://doi.org/ftmsvc" TargetMode="External" /><Relationship Type="http://schemas.openxmlformats.org/officeDocument/2006/relationships/hyperlink" Id="rId74" Target="https://doi.org/gfgtsg" TargetMode="External" /><Relationship Type="http://schemas.openxmlformats.org/officeDocument/2006/relationships/hyperlink" Id="rId88" Target="https://doi.org/gfjsvn" TargetMode="External" /><Relationship Type="http://schemas.openxmlformats.org/officeDocument/2006/relationships/hyperlink" Id="rId133" Target="https://doi.org/gftz95" TargetMode="External" /><Relationship Type="http://schemas.openxmlformats.org/officeDocument/2006/relationships/hyperlink" Id="rId115" Target="https://doi.org/ggfh8z" TargetMode="External" /><Relationship Type="http://schemas.openxmlformats.org/officeDocument/2006/relationships/hyperlink" Id="rId127" Target="https://doi.org/ggqh9p" TargetMode="External" /><Relationship Type="http://schemas.openxmlformats.org/officeDocument/2006/relationships/hyperlink" Id="rId72" Target="https://doi.org/gh5k63" TargetMode="External" /><Relationship Type="http://schemas.openxmlformats.org/officeDocument/2006/relationships/hyperlink" Id="rId80" Target="https://doi.org/gh5k6p" TargetMode="External" /><Relationship Type="http://schemas.openxmlformats.org/officeDocument/2006/relationships/hyperlink" Id="rId111" Target="https://doi.org/gh5k7b" TargetMode="External" /><Relationship Type="http://schemas.openxmlformats.org/officeDocument/2006/relationships/hyperlink" Id="rId140" Target="https://doi.org/gh5k7d" TargetMode="External" /><Relationship Type="http://schemas.openxmlformats.org/officeDocument/2006/relationships/hyperlink" Id="rId64" Target="https://doi.org/ghdnhh" TargetMode="External" /><Relationship Type="http://schemas.openxmlformats.org/officeDocument/2006/relationships/hyperlink" Id="rId94" Target="https://doi.org/ghgzp9" TargetMode="External" /><Relationship Type="http://schemas.openxmlformats.org/officeDocument/2006/relationships/hyperlink" Id="rId96" Target="https://doi.org/ghjw3k" TargetMode="External" /><Relationship Type="http://schemas.openxmlformats.org/officeDocument/2006/relationships/hyperlink" Id="rId58" Target="https://doi.org/gj4tz6" TargetMode="External" /><Relationship Type="http://schemas.openxmlformats.org/officeDocument/2006/relationships/hyperlink" Id="rId98" Target="https://doi.org/gj5ngz" TargetMode="External" /><Relationship Type="http://schemas.openxmlformats.org/officeDocument/2006/relationships/hyperlink" Id="rId70" Target="https://doi.org/gj5v98" TargetMode="External" /><Relationship Type="http://schemas.openxmlformats.org/officeDocument/2006/relationships/hyperlink" Id="rId102" Target="https://doi.org/gjm236" TargetMode="External" /><Relationship Type="http://schemas.openxmlformats.org/officeDocument/2006/relationships/hyperlink" Id="rId34" Target="https://doi.org/gjsn3g" TargetMode="External" /><Relationship Type="http://schemas.openxmlformats.org/officeDocument/2006/relationships/hyperlink" Id="rId78" Target="https://doi.org/gjxvc7" TargetMode="External" /><Relationship Type="http://schemas.openxmlformats.org/officeDocument/2006/relationships/hyperlink" Id="rId91" Target="https://doi.org/gk36pd" TargetMode="External" /><Relationship Type="http://schemas.openxmlformats.org/officeDocument/2006/relationships/hyperlink" Id="rId100" Target="https://doi.org/gk5sph" TargetMode="External" /></Relationships>
</file>

<file path=word/_rels/footnotes.xml.rels><?xml version="1.0" encoding="UTF-8"?>
<Relationships xmlns="http://schemas.openxmlformats.org/package/2006/relationships"><Relationship Type="http://schemas.openxmlformats.org/officeDocument/2006/relationships/hyperlink" Id="rId106" Target="https://doi.org/10.1007/978-3-030-41956-1_9" TargetMode="External" /><Relationship Type="http://schemas.openxmlformats.org/officeDocument/2006/relationships/hyperlink" Id="rId54" Target="https://doi.org/10.1007/978-3-319-17727-4_64-1" TargetMode="External" /><Relationship Type="http://schemas.openxmlformats.org/officeDocument/2006/relationships/hyperlink" Id="rId138" Target="https://doi.org/10.1007/978-3-319-71054-9_37" TargetMode="External" /><Relationship Type="http://schemas.openxmlformats.org/officeDocument/2006/relationships/hyperlink" Id="rId68" Target="https://doi.org/10.1080/01626620.2012.730347" TargetMode="External" /><Relationship Type="http://schemas.openxmlformats.org/officeDocument/2006/relationships/hyperlink" Id="rId113" Target="https://doi.org/10.17226/10019" TargetMode="External" /><Relationship Type="http://schemas.openxmlformats.org/officeDocument/2006/relationships/hyperlink" Id="rId60" Target="https://doi.org/c3k8f5" TargetMode="External" /><Relationship Type="http://schemas.openxmlformats.org/officeDocument/2006/relationships/hyperlink" Id="rId44" Target="https://doi.org/ccdmd9" TargetMode="External" /><Relationship Type="http://schemas.openxmlformats.org/officeDocument/2006/relationships/hyperlink" Id="rId104" Target="https://doi.org/cgqtqx" TargetMode="External" /><Relationship Type="http://schemas.openxmlformats.org/officeDocument/2006/relationships/hyperlink" Id="rId42" Target="https://doi.org/chx3gp" TargetMode="External" /><Relationship Type="http://schemas.openxmlformats.org/officeDocument/2006/relationships/hyperlink" Id="rId48" Target="https://doi.org/cqgvs8" TargetMode="External" /><Relationship Type="http://schemas.openxmlformats.org/officeDocument/2006/relationships/hyperlink" Id="rId83" Target="https://doi.org/ctccpq" TargetMode="External" /><Relationship Type="http://schemas.openxmlformats.org/officeDocument/2006/relationships/hyperlink" Id="rId123" Target="https://doi.org/cw9jwc" TargetMode="External" /><Relationship Type="http://schemas.openxmlformats.org/officeDocument/2006/relationships/hyperlink" Id="rId56" Target="https://doi.org/cwcqj4" TargetMode="External" /><Relationship Type="http://schemas.openxmlformats.org/officeDocument/2006/relationships/hyperlink" Id="rId120" Target="https://doi.org/d4sz5m" TargetMode="External" /><Relationship Type="http://schemas.openxmlformats.org/officeDocument/2006/relationships/hyperlink" Id="rId108" Target="https://doi.org/d89z7p" TargetMode="External" /><Relationship Type="http://schemas.openxmlformats.org/officeDocument/2006/relationships/hyperlink" Id="rId62" Target="https://doi.org/d8wq" TargetMode="External" /><Relationship Type="http://schemas.openxmlformats.org/officeDocument/2006/relationships/hyperlink" Id="rId117" Target="https://doi.org/dctz5h" TargetMode="External" /><Relationship Type="http://schemas.openxmlformats.org/officeDocument/2006/relationships/hyperlink" Id="rId36" Target="https://doi.org/djgzjr" TargetMode="External" /><Relationship Type="http://schemas.openxmlformats.org/officeDocument/2006/relationships/hyperlink" Id="rId40" Target="https://doi.org/drgphk" TargetMode="External" /><Relationship Type="http://schemas.openxmlformats.org/officeDocument/2006/relationships/hyperlink" Id="rId66" Target="https://doi.org/dvd8nf" TargetMode="External" /><Relationship Type="http://schemas.openxmlformats.org/officeDocument/2006/relationships/hyperlink" Id="rId76" Target="https://doi.org/f828mh" TargetMode="External" /><Relationship Type="http://schemas.openxmlformats.org/officeDocument/2006/relationships/hyperlink" Id="rId143" Target="https://doi.org/f8txgm" TargetMode="External" /><Relationship Type="http://schemas.openxmlformats.org/officeDocument/2006/relationships/hyperlink" Id="rId50" Target="https://doi.org/fpnss4" TargetMode="External" /><Relationship Type="http://schemas.openxmlformats.org/officeDocument/2006/relationships/hyperlink" Id="rId38" Target="https://doi.org/ftmsvc" TargetMode="External" /><Relationship Type="http://schemas.openxmlformats.org/officeDocument/2006/relationships/hyperlink" Id="rId74" Target="https://doi.org/gfgtsg" TargetMode="External" /><Relationship Type="http://schemas.openxmlformats.org/officeDocument/2006/relationships/hyperlink" Id="rId88" Target="https://doi.org/gfjsvn" TargetMode="External" /><Relationship Type="http://schemas.openxmlformats.org/officeDocument/2006/relationships/hyperlink" Id="rId133" Target="https://doi.org/gftz95" TargetMode="External" /><Relationship Type="http://schemas.openxmlformats.org/officeDocument/2006/relationships/hyperlink" Id="rId115" Target="https://doi.org/ggfh8z" TargetMode="External" /><Relationship Type="http://schemas.openxmlformats.org/officeDocument/2006/relationships/hyperlink" Id="rId127" Target="https://doi.org/ggqh9p" TargetMode="External" /><Relationship Type="http://schemas.openxmlformats.org/officeDocument/2006/relationships/hyperlink" Id="rId72" Target="https://doi.org/gh5k63" TargetMode="External" /><Relationship Type="http://schemas.openxmlformats.org/officeDocument/2006/relationships/hyperlink" Id="rId80" Target="https://doi.org/gh5k6p" TargetMode="External" /><Relationship Type="http://schemas.openxmlformats.org/officeDocument/2006/relationships/hyperlink" Id="rId111" Target="https://doi.org/gh5k7b" TargetMode="External" /><Relationship Type="http://schemas.openxmlformats.org/officeDocument/2006/relationships/hyperlink" Id="rId140" Target="https://doi.org/gh5k7d" TargetMode="External" /><Relationship Type="http://schemas.openxmlformats.org/officeDocument/2006/relationships/hyperlink" Id="rId64" Target="https://doi.org/ghdnhh" TargetMode="External" /><Relationship Type="http://schemas.openxmlformats.org/officeDocument/2006/relationships/hyperlink" Id="rId94" Target="https://doi.org/ghgzp9" TargetMode="External" /><Relationship Type="http://schemas.openxmlformats.org/officeDocument/2006/relationships/hyperlink" Id="rId96" Target="https://doi.org/ghjw3k" TargetMode="External" /><Relationship Type="http://schemas.openxmlformats.org/officeDocument/2006/relationships/hyperlink" Id="rId58" Target="https://doi.org/gj4tz6" TargetMode="External" /><Relationship Type="http://schemas.openxmlformats.org/officeDocument/2006/relationships/hyperlink" Id="rId98" Target="https://doi.org/gj5ngz" TargetMode="External" /><Relationship Type="http://schemas.openxmlformats.org/officeDocument/2006/relationships/hyperlink" Id="rId70" Target="https://doi.org/gj5v98" TargetMode="External" /><Relationship Type="http://schemas.openxmlformats.org/officeDocument/2006/relationships/hyperlink" Id="rId102" Target="https://doi.org/gjm236" TargetMode="External" /><Relationship Type="http://schemas.openxmlformats.org/officeDocument/2006/relationships/hyperlink" Id="rId34" Target="https://doi.org/gjsn3g" TargetMode="External" /><Relationship Type="http://schemas.openxmlformats.org/officeDocument/2006/relationships/hyperlink" Id="rId78" Target="https://doi.org/gjxvc7" TargetMode="External" /><Relationship Type="http://schemas.openxmlformats.org/officeDocument/2006/relationships/hyperlink" Id="rId91" Target="https://doi.org/gk36pd" TargetMode="External" /><Relationship Type="http://schemas.openxmlformats.org/officeDocument/2006/relationships/hyperlink" Id="rId100" Target="https://doi.org/gk5s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2022-03-23T06:08:41Z</dcterms:created>
  <dcterms:modified xsi:type="dcterms:W3CDTF">2022-03-23T06:08:41Z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2022-03-22</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