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expereienced as learners</w:t>
      </w:r>
      <w:r>
        <w:t xml:space="preserve"> </w:t>
      </w:r>
      <w:r>
        <w:t xml:space="preserve">(</w:t>
      </w:r>
      <w:hyperlink w:anchor="ref-lipnevichWhatGradesMean2020">
        <w:r>
          <w:rPr>
            <w:rStyle w:val="Hyperlink"/>
          </w:rPr>
          <w:t xml:space="preserve">Lipnevich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who are demanding employees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competencies not easily measured in traditional testing formats.</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higher education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w:t>
      </w:r>
    </w:p>
    <w:p>
      <w:pPr>
        <w:pStyle w:val="BodyText"/>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et al.,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Start w:id="20" w:name="problem-to-be-researched"/>
    <w:p>
      <w:pPr>
        <w:pStyle w:val="Heading2"/>
      </w:pPr>
      <w:r>
        <w:t xml:space="preserve">Problem to be Researched</w:t>
      </w:r>
    </w:p>
    <w:bookmarkEnd w:id="20"/>
    <w:bookmarkStart w:id="21"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773f46dba91e2266ea33fc285a547bc86776461">
        <w:r>
          <w:rPr>
            <w:rStyle w:val="Hyperlink"/>
          </w:rPr>
          <w:t xml:space="preserve">DeLuca, Valiquette, et al., 2016</w:t>
        </w:r>
      </w:hyperlink>
      <w:r>
        <w:t xml:space="preserve">;</w:t>
      </w:r>
      <w:r>
        <w:t xml:space="preserve"> </w:t>
      </w:r>
      <w:hyperlink w:anchor="Xedee9bc10fe7ddda531b14b05542852ae9f5f1e">
        <w:r>
          <w:rPr>
            <w:rStyle w:val="Hyperlink"/>
          </w:rPr>
          <w:t xml:space="preserve">DeLuca, LaPointe-McEwan, et al.,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568de4367a2adb3cc7734bdfe3ece898df67951">
        <w:r>
          <w:rPr>
            <w:rStyle w:val="Hyperlink"/>
          </w:rPr>
          <w:t xml:space="preserve">Offerdahl &amp;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1"/>
    <w:bookmarkStart w:id="22"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2"/>
    <w:bookmarkStart w:id="23"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3"/>
    <w:bookmarkEnd w:id="24"/>
    <w:bookmarkStart w:id="144" w:name="X00e80ae76d4080e847787e2b57aa318db7fe669"/>
    <w:p>
      <w:pPr>
        <w:pStyle w:val="Heading1"/>
      </w:pPr>
      <w:r>
        <w:t xml:space="preserve">A Review of the Literature on Assessment in Higher Education</w:t>
      </w:r>
    </w:p>
    <w:bookmarkStart w:id="25"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5"/>
    <w:bookmarkStart w:id="26"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ref-biggsWhatStudentDoes1999">
        <w:r>
          <w:rPr>
            <w:rStyle w:val="Hyperlink"/>
          </w:rPr>
          <w:t xml:space="preserve">1999</w:t>
        </w:r>
      </w:hyperlink>
      <w:r>
        <w:t xml:space="preserve">,</w:t>
      </w:r>
      <w:r>
        <w:t xml:space="preserve"> </w:t>
      </w:r>
      <w:hyperlink w:anchor="X6d502c1fbcba67bdb61d23bc33194bf5c0f1ecb">
        <w:r>
          <w:rPr>
            <w:rStyle w:val="Hyperlink"/>
          </w:rPr>
          <w:t xml:space="preserve">1996</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6"/>
    <w:bookmarkStart w:id="27"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et al.,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et al.,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et al.,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7"/>
    <w:bookmarkStart w:id="29"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et al.,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p.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et al.,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&amp;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28"/>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et al., 2021, p. 10</w:t>
        </w:r>
      </w:hyperlink>
      <w:r>
        <w:t xml:space="preserve">)</w:t>
      </w:r>
    </w:p>
    <w:bookmarkEnd w:id="29"/>
    <w:bookmarkStart w:id="30"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&amp;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et al.,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et al.,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p.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&amp; Dede, 2010</w:t>
        </w:r>
      </w:hyperlink>
      <w:r>
        <w:t xml:space="preserve">;</w:t>
      </w:r>
      <w:r>
        <w:t xml:space="preserve"> </w:t>
      </w:r>
      <w:hyperlink w:anchor="Xcffd07f338ae9c1e0f3a4638f84c8ddd08fd0be">
        <w:r>
          <w:rPr>
            <w:rStyle w:val="Hyperlink"/>
          </w:rPr>
          <w:t xml:space="preserve">DeLuca et al., 2021</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w:t>
      </w:r>
    </w:p>
    <w:bookmarkEnd w:id="30"/>
    <w:bookmarkStart w:id="31"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&amp;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1"/>
    <w:bookmarkStart w:id="143"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2"/>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Start w:id="142" w:name="refs"/>
    <w:bookmarkStart w:id="33"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3"/>
    <w:bookmarkStart w:id="35"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34">
        <w:r>
          <w:rPr>
            <w:rStyle w:val="Hyperlink"/>
          </w:rPr>
          <w:t xml:space="preserve">https://doi.org/gjsn3g</w:t>
        </w:r>
      </w:hyperlink>
    </w:p>
    <w:bookmarkEnd w:id="35"/>
    <w:bookmarkStart w:id="37" w:name="ref-benjaminHistoryTeachingMachines1988"/>
    <w:p>
      <w:pPr>
        <w:pStyle w:val="Bibliography"/>
      </w:pPr>
      <w:r>
        <w:t xml:space="preserve">Benjamin, L. T. (1988). A history of teaching machines.</w:t>
      </w:r>
      <w:r>
        <w:t xml:space="preserve"> </w:t>
      </w:r>
      <w:r>
        <w:rPr>
          <w:iCs/>
          <w:i/>
        </w:rPr>
        <w:t xml:space="preserve">American Psychologist</w:t>
      </w:r>
      <w:r>
        <w:t xml:space="preserve">,</w:t>
      </w:r>
      <w:r>
        <w:t xml:space="preserve"> </w:t>
      </w:r>
      <w:r>
        <w:rPr>
          <w:iCs/>
          <w:i/>
        </w:rPr>
        <w:t xml:space="preserve">43</w:t>
      </w:r>
      <w:r>
        <w:t xml:space="preserve">(9), 703–712.</w:t>
      </w:r>
      <w:r>
        <w:t xml:space="preserve"> </w:t>
      </w:r>
      <w:hyperlink r:id="rId36">
        <w:r>
          <w:rPr>
            <w:rStyle w:val="Hyperlink"/>
          </w:rPr>
          <w:t xml:space="preserve">https://doi.org/djgzjr</w:t>
        </w:r>
      </w:hyperlink>
    </w:p>
    <w:bookmarkEnd w:id="37"/>
    <w:bookmarkStart w:id="39"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38">
        <w:r>
          <w:rPr>
            <w:rStyle w:val="Hyperlink"/>
          </w:rPr>
          <w:t xml:space="preserve">https://doi.org/ftmsvc</w:t>
        </w:r>
      </w:hyperlink>
    </w:p>
    <w:bookmarkEnd w:id="39"/>
    <w:bookmarkStart w:id="41"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0">
        <w:r>
          <w:rPr>
            <w:rStyle w:val="Hyperlink"/>
          </w:rPr>
          <w:t xml:space="preserve">https://doi.org/drgphk</w:t>
        </w:r>
      </w:hyperlink>
    </w:p>
    <w:bookmarkEnd w:id="41"/>
    <w:bookmarkStart w:id="43" w:name="X6d502c1fbcba67bdb61d23bc33194bf5c0f1ecb"/>
    <w:p>
      <w:pPr>
        <w:pStyle w:val="Bibliography"/>
      </w:pPr>
      <w:r>
        <w:t xml:space="preserve">Biggs, J. (1996). Enhancing teaching through constructive alignment.</w:t>
      </w:r>
      <w:r>
        <w:t xml:space="preserve"> </w:t>
      </w:r>
      <w:r>
        <w:rPr>
          <w:iCs/>
          <w:i/>
        </w:rPr>
        <w:t xml:space="preserve">Higher Education</w:t>
      </w:r>
      <w:r>
        <w:t xml:space="preserve">,</w:t>
      </w:r>
      <w:r>
        <w:t xml:space="preserve"> </w:t>
      </w:r>
      <w:r>
        <w:rPr>
          <w:iCs/>
          <w:i/>
        </w:rPr>
        <w:t xml:space="preserve">32</w:t>
      </w:r>
      <w:r>
        <w:t xml:space="preserve">(3), 347–364.</w:t>
      </w:r>
      <w:r>
        <w:t xml:space="preserve"> </w:t>
      </w:r>
      <w:hyperlink r:id="rId42">
        <w:r>
          <w:rPr>
            <w:rStyle w:val="Hyperlink"/>
          </w:rPr>
          <w:t xml:space="preserve">https://doi.org/chx3gp</w:t>
        </w:r>
      </w:hyperlink>
    </w:p>
    <w:bookmarkEnd w:id="43"/>
    <w:bookmarkStart w:id="45" w:name="ref-biggsTheoryPracticeCognitive1993"/>
    <w:p>
      <w:pPr>
        <w:pStyle w:val="Bibliography"/>
      </w:pPr>
      <w:r>
        <w:t xml:space="preserve">Biggs, J. B. (1993). 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w:t>
      </w:r>
      <w:r>
        <w:t xml:space="preserve"> </w:t>
      </w:r>
      <w:r>
        <w:rPr>
          <w:iCs/>
          <w:i/>
        </w:rPr>
        <w:t xml:space="preserve">12</w:t>
      </w:r>
      <w:r>
        <w:t xml:space="preserve">(1), 73–85.</w:t>
      </w:r>
      <w:r>
        <w:t xml:space="preserve"> </w:t>
      </w:r>
      <w:hyperlink r:id="rId44">
        <w:r>
          <w:rPr>
            <w:rStyle w:val="Hyperlink"/>
          </w:rPr>
          <w:t xml:space="preserve">https://doi.org/ccdmd9</w:t>
        </w:r>
      </w:hyperlink>
    </w:p>
    <w:bookmarkEnd w:id="45"/>
    <w:bookmarkStart w:id="46"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6"/>
    <w:bookmarkStart w:id="47"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7"/>
    <w:bookmarkStart w:id="49" w:name="Xed666ae61dbae1b52e6dfe20fa7c7ad7b3c36ec"/>
    <w:p>
      <w:pPr>
        <w:pStyle w:val="Bibliography"/>
      </w:pPr>
      <w:r>
        <w:t xml:space="preserve">Birenbaum, Menucha. (2007). 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w:t>
      </w:r>
      <w:r>
        <w:t xml:space="preserve"> </w:t>
      </w:r>
      <w:r>
        <w:rPr>
          <w:iCs/>
          <w:i/>
        </w:rPr>
        <w:t xml:space="preserve">53</w:t>
      </w:r>
      <w:r>
        <w:t xml:space="preserve">(6), 749–768.</w:t>
      </w:r>
      <w:r>
        <w:t xml:space="preserve"> </w:t>
      </w:r>
      <w:hyperlink r:id="rId48">
        <w:r>
          <w:rPr>
            <w:rStyle w:val="Hyperlink"/>
          </w:rPr>
          <w:t xml:space="preserve">https://doi.org/cqgvs8</w:t>
        </w:r>
      </w:hyperlink>
    </w:p>
    <w:bookmarkEnd w:id="49"/>
    <w:bookmarkStart w:id="51"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0">
        <w:r>
          <w:rPr>
            <w:rStyle w:val="Hyperlink"/>
          </w:rPr>
          <w:t xml:space="preserve">https://doi.org/fpnss4</w:t>
        </w:r>
      </w:hyperlink>
    </w:p>
    <w:bookmarkEnd w:id="51"/>
    <w:bookmarkStart w:id="52"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2"/>
    <w:bookmarkStart w:id="53" w:name="X37eab5d4961ef5dec4a83729881ef2d687f04ae"/>
    <w:p>
      <w:pPr>
        <w:pStyle w:val="Bibliography"/>
      </w:pPr>
      <w:r>
        <w:t xml:space="preserve">Braguinski, N. (2018). 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w:t>
      </w:r>
      <w:r>
        <w:t xml:space="preserve"> </w:t>
      </w:r>
      <w:r>
        <w:rPr>
          <w:iCs/>
          <w:i/>
        </w:rPr>
        <w:t xml:space="preserve">7</w:t>
      </w:r>
      <w:r>
        <w:t xml:space="preserve">(1), 19.</w:t>
      </w:r>
    </w:p>
    <w:bookmarkEnd w:id="53"/>
    <w:bookmarkStart w:id="55"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4">
        <w:r>
          <w:rPr>
            <w:rStyle w:val="Hyperlink"/>
          </w:rPr>
          <w:t xml:space="preserve">https://doi.org/10.1007/978-3-319-17727-4_64-1</w:t>
        </w:r>
      </w:hyperlink>
    </w:p>
    <w:bookmarkEnd w:id="55"/>
    <w:bookmarkStart w:id="57"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6">
        <w:r>
          <w:rPr>
            <w:rStyle w:val="Hyperlink"/>
          </w:rPr>
          <w:t xml:space="preserve">https://doi.org/cwcqj4</w:t>
        </w:r>
      </w:hyperlink>
    </w:p>
    <w:bookmarkEnd w:id="57"/>
    <w:bookmarkStart w:id="59"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8">
        <w:r>
          <w:rPr>
            <w:rStyle w:val="Hyperlink"/>
          </w:rPr>
          <w:t xml:space="preserve">https://doi.org/gj4tz6</w:t>
        </w:r>
      </w:hyperlink>
    </w:p>
    <w:bookmarkEnd w:id="59"/>
    <w:bookmarkStart w:id="61"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60">
        <w:r>
          <w:rPr>
            <w:rStyle w:val="Hyperlink"/>
          </w:rPr>
          <w:t xml:space="preserve">https://doi.org/c3k8f5</w:t>
        </w:r>
      </w:hyperlink>
    </w:p>
    <w:bookmarkEnd w:id="61"/>
    <w:bookmarkStart w:id="63" w:name="ref-caputiReflectionsNextGeneration2019"/>
    <w:p>
      <w:pPr>
        <w:pStyle w:val="Bibliography"/>
      </w:pPr>
      <w:r>
        <w:t xml:space="preserve">Caputi, L. J. (2019). 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w:t>
      </w:r>
      <w:r>
        <w:t xml:space="preserve"> </w:t>
      </w:r>
      <w:r>
        <w:rPr>
          <w:iCs/>
          <w:i/>
        </w:rPr>
        <w:t xml:space="preserve">40</w:t>
      </w:r>
      <w:r>
        <w:t xml:space="preserve">(1), 2–3.</w:t>
      </w:r>
      <w:r>
        <w:t xml:space="preserve"> </w:t>
      </w:r>
      <w:hyperlink r:id="rId62">
        <w:r>
          <w:rPr>
            <w:rStyle w:val="Hyperlink"/>
          </w:rPr>
          <w:t xml:space="preserve">https://doi.org/d8wq</w:t>
        </w:r>
      </w:hyperlink>
    </w:p>
    <w:bookmarkEnd w:id="63"/>
    <w:bookmarkStart w:id="65" w:name="X8d225d8bf3a6cb9ee5ffa78c73dfa381c6a7c30"/>
    <w:p>
      <w:pPr>
        <w:pStyle w:val="Bibliography"/>
      </w:pPr>
      <w:r>
        <w:t xml:space="preserve">Clarke-Midura, J., &amp; Dede, C. (2010). 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w:t>
      </w:r>
      <w:r>
        <w:t xml:space="preserve"> </w:t>
      </w:r>
      <w:r>
        <w:rPr>
          <w:iCs/>
          <w:i/>
        </w:rPr>
        <w:t xml:space="preserve">42</w:t>
      </w:r>
      <w:r>
        <w:t xml:space="preserve">(3), 309–328.</w:t>
      </w:r>
      <w:r>
        <w:t xml:space="preserve"> </w:t>
      </w:r>
      <w:hyperlink r:id="rId64">
        <w:r>
          <w:rPr>
            <w:rStyle w:val="Hyperlink"/>
          </w:rPr>
          <w:t xml:space="preserve">https://doi.org/ghdnhh</w:t>
        </w:r>
      </w:hyperlink>
    </w:p>
    <w:bookmarkEnd w:id="65"/>
    <w:bookmarkStart w:id="67"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6">
        <w:r>
          <w:rPr>
            <w:rStyle w:val="Hyperlink"/>
          </w:rPr>
          <w:t xml:space="preserve">https://doi.org/dvd8nf</w:t>
        </w:r>
      </w:hyperlink>
    </w:p>
    <w:bookmarkEnd w:id="67"/>
    <w:bookmarkStart w:id="69"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68">
        <w:r>
          <w:rPr>
            <w:rStyle w:val="Hyperlink"/>
          </w:rPr>
          <w:t xml:space="preserve">https://doi.org/10.1080/01626620.2012.730347</w:t>
        </w:r>
      </w:hyperlink>
    </w:p>
    <w:bookmarkEnd w:id="69"/>
    <w:bookmarkStart w:id="71"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0">
        <w:r>
          <w:rPr>
            <w:rStyle w:val="Hyperlink"/>
          </w:rPr>
          <w:t xml:space="preserve">https://doi.org/gj5v98</w:t>
        </w:r>
      </w:hyperlink>
    </w:p>
    <w:bookmarkEnd w:id="71"/>
    <w:bookmarkStart w:id="73"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2">
        <w:r>
          <w:rPr>
            <w:rStyle w:val="Hyperlink"/>
          </w:rPr>
          <w:t xml:space="preserve">https://doi.org/gh5k63</w:t>
        </w:r>
      </w:hyperlink>
    </w:p>
    <w:bookmarkEnd w:id="73"/>
    <w:bookmarkStart w:id="75" w:name="Xedee9bc10fe7ddda531b14b05542852ae9f5f1e"/>
    <w:p>
      <w:pPr>
        <w:pStyle w:val="Bibliography"/>
      </w:pPr>
      <w:r>
        <w:t xml:space="preserve">DeLuca, C., LaPointe-McEwan, D., &amp; Luhanga, U. (2016a).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4">
        <w:r>
          <w:rPr>
            <w:rStyle w:val="Hyperlink"/>
          </w:rPr>
          <w:t xml:space="preserve">https://doi.org/gfgtsg</w:t>
        </w:r>
      </w:hyperlink>
    </w:p>
    <w:bookmarkEnd w:id="75"/>
    <w:bookmarkStart w:id="77" w:name="ref-delucaTeacherAssessmentLiteracy2016"/>
    <w:p>
      <w:pPr>
        <w:pStyle w:val="Bibliography"/>
      </w:pPr>
      <w:r>
        <w:t xml:space="preserve">DeLuca, C., LaPointe-McEwan, D., &amp; Luhanga, U. (2016b). Teacher assessment literacy: A review of international standards and measures.</w:t>
      </w:r>
      <w:r>
        <w:t xml:space="preserve"> </w:t>
      </w:r>
      <w:r>
        <w:rPr>
          <w:iCs/>
          <w:i/>
        </w:rPr>
        <w:t xml:space="preserve">Educational Assessment, Evaluation and Accountability</w:t>
      </w:r>
      <w:r>
        <w:t xml:space="preserve">,</w:t>
      </w:r>
      <w:r>
        <w:t xml:space="preserve"> </w:t>
      </w:r>
      <w:r>
        <w:rPr>
          <w:iCs/>
          <w:i/>
        </w:rPr>
        <w:t xml:space="preserve">28</w:t>
      </w:r>
      <w:r>
        <w:t xml:space="preserve">, 251–272.</w:t>
      </w:r>
      <w:r>
        <w:t xml:space="preserve"> </w:t>
      </w:r>
      <w:hyperlink r:id="rId76">
        <w:r>
          <w:rPr>
            <w:rStyle w:val="Hyperlink"/>
          </w:rPr>
          <w:t xml:space="preserve">https://doi.org/f828mh</w:t>
        </w:r>
      </w:hyperlink>
    </w:p>
    <w:bookmarkEnd w:id="77"/>
    <w:bookmarkStart w:id="79"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78">
        <w:r>
          <w:rPr>
            <w:rStyle w:val="Hyperlink"/>
          </w:rPr>
          <w:t xml:space="preserve">https://doi.org/gjxvc7</w:t>
        </w:r>
      </w:hyperlink>
    </w:p>
    <w:bookmarkEnd w:id="79"/>
    <w:bookmarkStart w:id="81"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0">
        <w:r>
          <w:rPr>
            <w:rStyle w:val="Hyperlink"/>
          </w:rPr>
          <w:t xml:space="preserve">https://doi.org/gh5k6p</w:t>
        </w:r>
      </w:hyperlink>
    </w:p>
    <w:bookmarkEnd w:id="81"/>
    <w:bookmarkStart w:id="82"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2"/>
    <w:bookmarkStart w:id="8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3">
        <w:r>
          <w:rPr>
            <w:rStyle w:val="Hyperlink"/>
          </w:rPr>
          <w:t xml:space="preserve">https://doi.org/ctccpq</w:t>
        </w:r>
      </w:hyperlink>
    </w:p>
    <w:bookmarkEnd w:id="84"/>
    <w:bookmarkStart w:id="85"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5"/>
    <w:bookmarkStart w:id="86" w:name="ref-frantzSpeakSpell2014"/>
    <w:p>
      <w:pPr>
        <w:pStyle w:val="Bibliography"/>
      </w:pPr>
      <w:r>
        <w:t xml:space="preserve">Frantz, G.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p>
    <w:bookmarkEnd w:id="86"/>
    <w:bookmarkStart w:id="87"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87"/>
    <w:bookmarkStart w:id="89" w:name="Xe3aa0c16cb2acc5791f9f0bae56342b4d10012d"/>
    <w:p>
      <w:pPr>
        <w:pStyle w:val="Bibliography"/>
      </w:pPr>
      <w:r>
        <w:t xml:space="preserve">Herppich, S., Praetorius, A.-K., Förster, N., Glogger-Frey, I., Karst, K., Leutner, D., Behrmann, L., Böhmer, M., Ufer, S., Klug, J., Hetmanek, A., Ohle, A., Böhmer, I., Karing, C., Kaiser, J., &amp; Südkamp, A. (2018). 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w:t>
      </w:r>
      <w:r>
        <w:t xml:space="preserve"> </w:t>
      </w:r>
      <w:r>
        <w:rPr>
          <w:iCs/>
          <w:i/>
        </w:rPr>
        <w:t xml:space="preserve">76</w:t>
      </w:r>
      <w:r>
        <w:t xml:space="preserve">, 181–193.</w:t>
      </w:r>
      <w:r>
        <w:t xml:space="preserve"> </w:t>
      </w:r>
      <w:hyperlink r:id="rId88">
        <w:r>
          <w:rPr>
            <w:rStyle w:val="Hyperlink"/>
          </w:rPr>
          <w:t xml:space="preserve">https://doi.org/gfjsvn</w:t>
        </w:r>
      </w:hyperlink>
    </w:p>
    <w:bookmarkEnd w:id="89"/>
    <w:bookmarkStart w:id="90" w:name="ref-irvineLandscapeMergingModalities2020"/>
    <w:p>
      <w:pPr>
        <w:pStyle w:val="Bibliography"/>
      </w:pPr>
      <w:r>
        <w:t xml:space="preserve">Irvine, V. (2020). The</w:t>
      </w:r>
      <w:r>
        <w:t xml:space="preserve"> </w:t>
      </w:r>
      <w:r>
        <w:t xml:space="preserve">Landscape</w:t>
      </w:r>
      <w:r>
        <w:t xml:space="preserve"> </w:t>
      </w:r>
      <w:r>
        <w:t xml:space="preserve">of merging modalities.</w:t>
      </w:r>
      <w:r>
        <w:t xml:space="preserve"> </w:t>
      </w:r>
      <w:r>
        <w:rPr>
          <w:iCs/>
          <w:i/>
        </w:rPr>
        <w:t xml:space="preserve">EDUCAUSE Review</w:t>
      </w:r>
      <w:r>
        <w:t xml:space="preserve">,</w:t>
      </w:r>
      <w:r>
        <w:t xml:space="preserve"> </w:t>
      </w:r>
      <w:r>
        <w:rPr>
          <w:iCs/>
          <w:i/>
        </w:rPr>
        <w:t xml:space="preserve">2020</w:t>
      </w:r>
      <w:r>
        <w:t xml:space="preserve">(4), 40–58.</w:t>
      </w:r>
    </w:p>
    <w:bookmarkEnd w:id="90"/>
    <w:bookmarkStart w:id="92" w:name="ref-jonesStudentWellbeingAssessment2021"/>
    <w:p>
      <w:pPr>
        <w:pStyle w:val="Bibliography"/>
      </w:pPr>
      <w:r>
        <w:t xml:space="preserve">Jones, E., Priestley, M., Brewster, L., Wilbraham, S. J., Hughes, G., &amp; Spanner, L. (2021). Student wellbeing and assessment in higher education: The balancing act.</w:t>
      </w:r>
      <w:r>
        <w:t xml:space="preserve"> </w:t>
      </w:r>
      <w:r>
        <w:rPr>
          <w:iCs/>
          <w:i/>
        </w:rPr>
        <w:t xml:space="preserve">Assessment &amp; Evaluation in Higher Education</w:t>
      </w:r>
      <w:r>
        <w:t xml:space="preserve">,</w:t>
      </w:r>
      <w:r>
        <w:t xml:space="preserve"> </w:t>
      </w:r>
      <w:r>
        <w:rPr>
          <w:iCs/>
          <w:i/>
        </w:rPr>
        <w:t xml:space="preserve">46</w:t>
      </w:r>
      <w:r>
        <w:t xml:space="preserve">(3), 438–450.</w:t>
      </w:r>
      <w:r>
        <w:t xml:space="preserve"> </w:t>
      </w:r>
      <w:hyperlink r:id="rId91">
        <w:r>
          <w:rPr>
            <w:rStyle w:val="Hyperlink"/>
          </w:rPr>
          <w:t xml:space="preserve">https://doi.org/gk36pd</w:t>
        </w:r>
      </w:hyperlink>
    </w:p>
    <w:bookmarkEnd w:id="92"/>
    <w:bookmarkStart w:id="93"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3"/>
    <w:bookmarkStart w:id="95" w:name="Xcf88c9b5dbcbac8629742c94c8d713b40740bc0"/>
    <w:p>
      <w:pPr>
        <w:pStyle w:val="Bibliography"/>
      </w:pPr>
      <w:r>
        <w:t xml:space="preserve">Lin, Q., Yin, Y., Tang, X., Hadad, R., &amp; Zhai, X. (2020). 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w:t>
      </w:r>
      <w:r>
        <w:t xml:space="preserve"> </w:t>
      </w:r>
      <w:r>
        <w:rPr>
          <w:iCs/>
          <w:i/>
        </w:rPr>
        <w:t xml:space="preserve">157</w:t>
      </w:r>
      <w:r>
        <w:t xml:space="preserve">, 103944.</w:t>
      </w:r>
      <w:r>
        <w:t xml:space="preserve"> </w:t>
      </w:r>
      <w:hyperlink r:id="rId94">
        <w:r>
          <w:rPr>
            <w:rStyle w:val="Hyperlink"/>
          </w:rPr>
          <w:t xml:space="preserve">https://doi.org/ghgzp9</w:t>
        </w:r>
      </w:hyperlink>
    </w:p>
    <w:bookmarkEnd w:id="95"/>
    <w:bookmarkStart w:id="9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96">
        <w:r>
          <w:rPr>
            <w:rStyle w:val="Hyperlink"/>
          </w:rPr>
          <w:t xml:space="preserve">https://doi.org/ghjw3k</w:t>
        </w:r>
      </w:hyperlink>
    </w:p>
    <w:bookmarkEnd w:id="97"/>
    <w:bookmarkStart w:id="9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98">
        <w:r>
          <w:rPr>
            <w:rStyle w:val="Hyperlink"/>
          </w:rPr>
          <w:t xml:space="preserve">https://doi.org/gj5ngz</w:t>
        </w:r>
      </w:hyperlink>
    </w:p>
    <w:bookmarkEnd w:id="99"/>
    <w:bookmarkStart w:id="101"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100">
        <w:r>
          <w:rPr>
            <w:rStyle w:val="Hyperlink"/>
          </w:rPr>
          <w:t xml:space="preserve">https://doi.org/gk5sph</w:t>
        </w:r>
      </w:hyperlink>
    </w:p>
    <w:bookmarkEnd w:id="101"/>
    <w:bookmarkStart w:id="10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2">
        <w:r>
          <w:rPr>
            <w:rStyle w:val="Hyperlink"/>
          </w:rPr>
          <w:t xml:space="preserve">https://doi.org/gjm236</w:t>
        </w:r>
      </w:hyperlink>
    </w:p>
    <w:bookmarkEnd w:id="103"/>
    <w:bookmarkStart w:id="105"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104">
        <w:r>
          <w:rPr>
            <w:rStyle w:val="Hyperlink"/>
          </w:rPr>
          <w:t xml:space="preserve">https://doi.org/cgqtqx</w:t>
        </w:r>
      </w:hyperlink>
    </w:p>
    <w:bookmarkEnd w:id="105"/>
    <w:bookmarkStart w:id="107"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06">
        <w:r>
          <w:rPr>
            <w:rStyle w:val="Hyperlink"/>
          </w:rPr>
          <w:t xml:space="preserve">https://doi.org/d89z7p</w:t>
        </w:r>
      </w:hyperlink>
    </w:p>
    <w:bookmarkEnd w:id="107"/>
    <w:bookmarkStart w:id="108"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108"/>
    <w:bookmarkStart w:id="110"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109">
        <w:r>
          <w:rPr>
            <w:rStyle w:val="Hyperlink"/>
          </w:rPr>
          <w:t xml:space="preserve">https://doi.org/gh5k7b</w:t>
        </w:r>
      </w:hyperlink>
    </w:p>
    <w:bookmarkEnd w:id="110"/>
    <w:bookmarkStart w:id="112"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11">
        <w:r>
          <w:rPr>
            <w:rStyle w:val="Hyperlink"/>
          </w:rPr>
          <w:t xml:space="preserve">https://doi.org/10.17226/10019</w:t>
        </w:r>
      </w:hyperlink>
    </w:p>
    <w:bookmarkEnd w:id="112"/>
    <w:bookmarkStart w:id="114"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13">
        <w:r>
          <w:rPr>
            <w:rStyle w:val="Hyperlink"/>
          </w:rPr>
          <w:t xml:space="preserve">https://doi.org/ggfh8z</w:t>
        </w:r>
      </w:hyperlink>
    </w:p>
    <w:bookmarkEnd w:id="114"/>
    <w:bookmarkStart w:id="116"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115">
        <w:r>
          <w:rPr>
            <w:rStyle w:val="Hyperlink"/>
          </w:rPr>
          <w:t xml:space="preserve">https://doi.org/dctz5h</w:t>
        </w:r>
      </w:hyperlink>
    </w:p>
    <w:bookmarkEnd w:id="116"/>
    <w:bookmarkStart w:id="117" w:name="ref-presseyMachineAutomaticTeaching1927"/>
    <w:p>
      <w:pPr>
        <w:pStyle w:val="Bibliography"/>
      </w:pPr>
      <w:r>
        <w:t xml:space="preserve">Pressey, S. L. (1927). A machine for automatic teaching of drill material.</w:t>
      </w:r>
      <w:r>
        <w:t xml:space="preserve"> </w:t>
      </w:r>
      <w:r>
        <w:rPr>
          <w:iCs/>
          <w:i/>
        </w:rPr>
        <w:t xml:space="preserve">School &amp; Society</w:t>
      </w:r>
      <w:r>
        <w:t xml:space="preserve">,</w:t>
      </w:r>
      <w:r>
        <w:t xml:space="preserve"> </w:t>
      </w:r>
      <w:r>
        <w:rPr>
          <w:iCs/>
          <w:i/>
        </w:rPr>
        <w:t xml:space="preserve">25</w:t>
      </w:r>
      <w:r>
        <w:t xml:space="preserve">, 549–552.</w:t>
      </w:r>
    </w:p>
    <w:bookmarkEnd w:id="117"/>
    <w:bookmarkStart w:id="119" w:name="ref-priceIfWasGoing2011"/>
    <w:p>
      <w:pPr>
        <w:pStyle w:val="Bibliography"/>
      </w:pPr>
      <w:r>
        <w:t xml:space="preserve">Price, M., Carroll, J., O’Donovan, B., &amp; Rust, C. (2011). 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w:t>
      </w:r>
      <w:r>
        <w:t xml:space="preserve"> </w:t>
      </w:r>
      <w:r>
        <w:rPr>
          <w:iCs/>
          <w:i/>
        </w:rPr>
        <w:t xml:space="preserve">36</w:t>
      </w:r>
      <w:r>
        <w:t xml:space="preserve">(4), 479–492.</w:t>
      </w:r>
      <w:r>
        <w:t xml:space="preserve"> </w:t>
      </w:r>
      <w:hyperlink r:id="rId118">
        <w:r>
          <w:rPr>
            <w:rStyle w:val="Hyperlink"/>
          </w:rPr>
          <w:t xml:space="preserve">https://doi.org/d4sz5m</w:t>
        </w:r>
      </w:hyperlink>
    </w:p>
    <w:bookmarkEnd w:id="119"/>
    <w:bookmarkStart w:id="120"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120"/>
    <w:bookmarkStart w:id="122"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21">
        <w:r>
          <w:rPr>
            <w:rStyle w:val="Hyperlink"/>
          </w:rPr>
          <w:t xml:space="preserve">https://doi.org/cw9jwc</w:t>
        </w:r>
      </w:hyperlink>
    </w:p>
    <w:bookmarkEnd w:id="122"/>
    <w:bookmarkStart w:id="123"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23"/>
    <w:bookmarkStart w:id="125"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24">
        <w:r>
          <w:rPr>
            <w:rStyle w:val="Hyperlink"/>
          </w:rPr>
          <w:t xml:space="preserve">https://doi.org/ggqh9p</w:t>
        </w:r>
      </w:hyperlink>
    </w:p>
    <w:bookmarkEnd w:id="125"/>
    <w:bookmarkStart w:id="126"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126"/>
    <w:bookmarkStart w:id="127"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27"/>
    <w:bookmarkStart w:id="128"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28"/>
    <w:bookmarkStart w:id="129"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29"/>
    <w:bookmarkStart w:id="131"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30">
        <w:r>
          <w:rPr>
            <w:rStyle w:val="Hyperlink"/>
          </w:rPr>
          <w:t xml:space="preserve">https://doi.org/gftz95</w:t>
        </w:r>
      </w:hyperlink>
    </w:p>
    <w:bookmarkEnd w:id="131"/>
    <w:bookmarkStart w:id="132"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32"/>
    <w:bookmarkStart w:id="133" w:name="ref-wattersSpeakSpellHistory2015"/>
    <w:p>
      <w:pPr>
        <w:pStyle w:val="Bibliography"/>
      </w:pPr>
      <w:r>
        <w:t xml:space="preserve">Watters, Audrey. (2015). Speak &amp;</w:t>
      </w:r>
      <w:r>
        <w:t xml:space="preserve"> </w:t>
      </w:r>
      <w:r>
        <w:t xml:space="preserve">Spell</w:t>
      </w:r>
      <w:r>
        <w:t xml:space="preserve">:</w:t>
      </w:r>
      <w:r>
        <w:t xml:space="preserve"> </w:t>
      </w:r>
      <w:r>
        <w:t xml:space="preserve">A History</w:t>
      </w:r>
      <w:r>
        <w:t xml:space="preserve">. In</w:t>
      </w:r>
      <w:r>
        <w:t xml:space="preserve"> </w:t>
      </w:r>
      <w:r>
        <w:rPr>
          <w:iCs/>
          <w:i/>
        </w:rPr>
        <w:t xml:space="preserve">Hack Education</w:t>
      </w:r>
      <w:r>
        <w:t xml:space="preserve">. http://hackeducation.com/2015/01/13/speak-and-spell.</w:t>
      </w:r>
    </w:p>
    <w:bookmarkEnd w:id="133"/>
    <w:bookmarkStart w:id="134"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p>
    <w:bookmarkEnd w:id="134"/>
    <w:bookmarkStart w:id="136"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35">
        <w:r>
          <w:rPr>
            <w:rStyle w:val="Hyperlink"/>
          </w:rPr>
          <w:t xml:space="preserve">https://doi.org/10.1007/978-3-319-71054-9_37</w:t>
        </w:r>
      </w:hyperlink>
    </w:p>
    <w:bookmarkEnd w:id="136"/>
    <w:bookmarkStart w:id="138"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37">
        <w:r>
          <w:rPr>
            <w:rStyle w:val="Hyperlink"/>
          </w:rPr>
          <w:t xml:space="preserve">https://doi.org/gh5k7d</w:t>
        </w:r>
      </w:hyperlink>
    </w:p>
    <w:bookmarkEnd w:id="138"/>
    <w:bookmarkStart w:id="139"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39"/>
    <w:bookmarkStart w:id="141"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40">
        <w:r>
          <w:rPr>
            <w:rStyle w:val="Hyperlink"/>
          </w:rPr>
          <w:t xml:space="preserve">https://doi.org/f8txgm</w:t>
        </w:r>
      </w:hyperlink>
    </w:p>
    <w:bookmarkEnd w:id="141"/>
    <w:bookmarkEnd w:id="142"/>
    <w:bookmarkEnd w:id="143"/>
    <w:bookmarkEnd w:id="144"/>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54" Target="https://doi.org/10.1007/978-3-319-17727-4_64-1" TargetMode="External" /><Relationship Type="http://schemas.openxmlformats.org/officeDocument/2006/relationships/hyperlink" Id="rId135" Target="https://doi.org/10.1007/978-3-319-71054-9_37" TargetMode="External" /><Relationship Type="http://schemas.openxmlformats.org/officeDocument/2006/relationships/hyperlink" Id="rId68" Target="https://doi.org/10.1080/01626620.2012.730347" TargetMode="External" /><Relationship Type="http://schemas.openxmlformats.org/officeDocument/2006/relationships/hyperlink" Id="rId111" Target="https://doi.org/10.17226/10019" TargetMode="External" /><Relationship Type="http://schemas.openxmlformats.org/officeDocument/2006/relationships/hyperlink" Id="rId60" Target="https://doi.org/c3k8f5" TargetMode="External" /><Relationship Type="http://schemas.openxmlformats.org/officeDocument/2006/relationships/hyperlink" Id="rId44" Target="https://doi.org/ccdmd9" TargetMode="External" /><Relationship Type="http://schemas.openxmlformats.org/officeDocument/2006/relationships/hyperlink" Id="rId104" Target="https://doi.org/cgqtqx" TargetMode="External" /><Relationship Type="http://schemas.openxmlformats.org/officeDocument/2006/relationships/hyperlink" Id="rId42" Target="https://doi.org/chx3gp" TargetMode="External" /><Relationship Type="http://schemas.openxmlformats.org/officeDocument/2006/relationships/hyperlink" Id="rId48" Target="https://doi.org/cqgvs8" TargetMode="External" /><Relationship Type="http://schemas.openxmlformats.org/officeDocument/2006/relationships/hyperlink" Id="rId83" Target="https://doi.org/ctccpq" TargetMode="External" /><Relationship Type="http://schemas.openxmlformats.org/officeDocument/2006/relationships/hyperlink" Id="rId121" Target="https://doi.org/cw9jwc" TargetMode="External" /><Relationship Type="http://schemas.openxmlformats.org/officeDocument/2006/relationships/hyperlink" Id="rId56" Target="https://doi.org/cwcqj4" TargetMode="External" /><Relationship Type="http://schemas.openxmlformats.org/officeDocument/2006/relationships/hyperlink" Id="rId118" Target="https://doi.org/d4sz5m" TargetMode="External" /><Relationship Type="http://schemas.openxmlformats.org/officeDocument/2006/relationships/hyperlink" Id="rId106" Target="https://doi.org/d89z7p" TargetMode="External" /><Relationship Type="http://schemas.openxmlformats.org/officeDocument/2006/relationships/hyperlink" Id="rId62" Target="https://doi.org/d8wq" TargetMode="External" /><Relationship Type="http://schemas.openxmlformats.org/officeDocument/2006/relationships/hyperlink" Id="rId115" Target="https://doi.org/dctz5h" TargetMode="External" /><Relationship Type="http://schemas.openxmlformats.org/officeDocument/2006/relationships/hyperlink" Id="rId36" Target="https://doi.org/djgzjr" TargetMode="External" /><Relationship Type="http://schemas.openxmlformats.org/officeDocument/2006/relationships/hyperlink" Id="rId40" Target="https://doi.org/drgphk" TargetMode="External" /><Relationship Type="http://schemas.openxmlformats.org/officeDocument/2006/relationships/hyperlink" Id="rId66" Target="https://doi.org/dvd8nf" TargetMode="External" /><Relationship Type="http://schemas.openxmlformats.org/officeDocument/2006/relationships/hyperlink" Id="rId76" Target="https://doi.org/f828mh" TargetMode="External" /><Relationship Type="http://schemas.openxmlformats.org/officeDocument/2006/relationships/hyperlink" Id="rId140" Target="https://doi.org/f8txgm" TargetMode="External" /><Relationship Type="http://schemas.openxmlformats.org/officeDocument/2006/relationships/hyperlink" Id="rId50" Target="https://doi.org/fpnss4" TargetMode="External" /><Relationship Type="http://schemas.openxmlformats.org/officeDocument/2006/relationships/hyperlink" Id="rId38" Target="https://doi.org/ftmsvc" TargetMode="External" /><Relationship Type="http://schemas.openxmlformats.org/officeDocument/2006/relationships/hyperlink" Id="rId74" Target="https://doi.org/gfgtsg" TargetMode="External" /><Relationship Type="http://schemas.openxmlformats.org/officeDocument/2006/relationships/hyperlink" Id="rId88" Target="https://doi.org/gfjsvn" TargetMode="External" /><Relationship Type="http://schemas.openxmlformats.org/officeDocument/2006/relationships/hyperlink" Id="rId130" Target="https://doi.org/gftz95" TargetMode="External" /><Relationship Type="http://schemas.openxmlformats.org/officeDocument/2006/relationships/hyperlink" Id="rId113" Target="https://doi.org/ggfh8z" TargetMode="External" /><Relationship Type="http://schemas.openxmlformats.org/officeDocument/2006/relationships/hyperlink" Id="rId124" Target="https://doi.org/ggqh9p" TargetMode="External" /><Relationship Type="http://schemas.openxmlformats.org/officeDocument/2006/relationships/hyperlink" Id="rId72" Target="https://doi.org/gh5k63" TargetMode="External" /><Relationship Type="http://schemas.openxmlformats.org/officeDocument/2006/relationships/hyperlink" Id="rId80" Target="https://doi.org/gh5k6p" TargetMode="External" /><Relationship Type="http://schemas.openxmlformats.org/officeDocument/2006/relationships/hyperlink" Id="rId109" Target="https://doi.org/gh5k7b" TargetMode="External" /><Relationship Type="http://schemas.openxmlformats.org/officeDocument/2006/relationships/hyperlink" Id="rId137" Target="https://doi.org/gh5k7d" TargetMode="External" /><Relationship Type="http://schemas.openxmlformats.org/officeDocument/2006/relationships/hyperlink" Id="rId64" Target="https://doi.org/ghdnhh" TargetMode="External" /><Relationship Type="http://schemas.openxmlformats.org/officeDocument/2006/relationships/hyperlink" Id="rId94" Target="https://doi.org/ghgzp9" TargetMode="External" /><Relationship Type="http://schemas.openxmlformats.org/officeDocument/2006/relationships/hyperlink" Id="rId96" Target="https://doi.org/ghjw3k" TargetMode="External" /><Relationship Type="http://schemas.openxmlformats.org/officeDocument/2006/relationships/hyperlink" Id="rId58" Target="https://doi.org/gj4tz6" TargetMode="External" /><Relationship Type="http://schemas.openxmlformats.org/officeDocument/2006/relationships/hyperlink" Id="rId98" Target="https://doi.org/gj5ngz" TargetMode="External" /><Relationship Type="http://schemas.openxmlformats.org/officeDocument/2006/relationships/hyperlink" Id="rId70" Target="https://doi.org/gj5v98" TargetMode="External" /><Relationship Type="http://schemas.openxmlformats.org/officeDocument/2006/relationships/hyperlink" Id="rId102" Target="https://doi.org/gjm236" TargetMode="External" /><Relationship Type="http://schemas.openxmlformats.org/officeDocument/2006/relationships/hyperlink" Id="rId34" Target="https://doi.org/gjsn3g" TargetMode="External" /><Relationship Type="http://schemas.openxmlformats.org/officeDocument/2006/relationships/hyperlink" Id="rId78" Target="https://doi.org/gjxvc7" TargetMode="External" /><Relationship Type="http://schemas.openxmlformats.org/officeDocument/2006/relationships/hyperlink" Id="rId91" Target="https://doi.org/gk36pd" TargetMode="External" /><Relationship Type="http://schemas.openxmlformats.org/officeDocument/2006/relationships/hyperlink" Id="rId100"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978-3-319-17727-4_64-1" TargetMode="External" /><Relationship Type="http://schemas.openxmlformats.org/officeDocument/2006/relationships/hyperlink" Id="rId135" Target="https://doi.org/10.1007/978-3-319-71054-9_37" TargetMode="External" /><Relationship Type="http://schemas.openxmlformats.org/officeDocument/2006/relationships/hyperlink" Id="rId68" Target="https://doi.org/10.1080/01626620.2012.730347" TargetMode="External" /><Relationship Type="http://schemas.openxmlformats.org/officeDocument/2006/relationships/hyperlink" Id="rId111" Target="https://doi.org/10.17226/10019" TargetMode="External" /><Relationship Type="http://schemas.openxmlformats.org/officeDocument/2006/relationships/hyperlink" Id="rId60" Target="https://doi.org/c3k8f5" TargetMode="External" /><Relationship Type="http://schemas.openxmlformats.org/officeDocument/2006/relationships/hyperlink" Id="rId44" Target="https://doi.org/ccdmd9" TargetMode="External" /><Relationship Type="http://schemas.openxmlformats.org/officeDocument/2006/relationships/hyperlink" Id="rId104" Target="https://doi.org/cgqtqx" TargetMode="External" /><Relationship Type="http://schemas.openxmlformats.org/officeDocument/2006/relationships/hyperlink" Id="rId42" Target="https://doi.org/chx3gp" TargetMode="External" /><Relationship Type="http://schemas.openxmlformats.org/officeDocument/2006/relationships/hyperlink" Id="rId48" Target="https://doi.org/cqgvs8" TargetMode="External" /><Relationship Type="http://schemas.openxmlformats.org/officeDocument/2006/relationships/hyperlink" Id="rId83" Target="https://doi.org/ctccpq" TargetMode="External" /><Relationship Type="http://schemas.openxmlformats.org/officeDocument/2006/relationships/hyperlink" Id="rId121" Target="https://doi.org/cw9jwc" TargetMode="External" /><Relationship Type="http://schemas.openxmlformats.org/officeDocument/2006/relationships/hyperlink" Id="rId56" Target="https://doi.org/cwcqj4" TargetMode="External" /><Relationship Type="http://schemas.openxmlformats.org/officeDocument/2006/relationships/hyperlink" Id="rId118" Target="https://doi.org/d4sz5m" TargetMode="External" /><Relationship Type="http://schemas.openxmlformats.org/officeDocument/2006/relationships/hyperlink" Id="rId106" Target="https://doi.org/d89z7p" TargetMode="External" /><Relationship Type="http://schemas.openxmlformats.org/officeDocument/2006/relationships/hyperlink" Id="rId62" Target="https://doi.org/d8wq" TargetMode="External" /><Relationship Type="http://schemas.openxmlformats.org/officeDocument/2006/relationships/hyperlink" Id="rId115" Target="https://doi.org/dctz5h" TargetMode="External" /><Relationship Type="http://schemas.openxmlformats.org/officeDocument/2006/relationships/hyperlink" Id="rId36" Target="https://doi.org/djgzjr" TargetMode="External" /><Relationship Type="http://schemas.openxmlformats.org/officeDocument/2006/relationships/hyperlink" Id="rId40" Target="https://doi.org/drgphk" TargetMode="External" /><Relationship Type="http://schemas.openxmlformats.org/officeDocument/2006/relationships/hyperlink" Id="rId66" Target="https://doi.org/dvd8nf" TargetMode="External" /><Relationship Type="http://schemas.openxmlformats.org/officeDocument/2006/relationships/hyperlink" Id="rId76" Target="https://doi.org/f828mh" TargetMode="External" /><Relationship Type="http://schemas.openxmlformats.org/officeDocument/2006/relationships/hyperlink" Id="rId140" Target="https://doi.org/f8txgm" TargetMode="External" /><Relationship Type="http://schemas.openxmlformats.org/officeDocument/2006/relationships/hyperlink" Id="rId50" Target="https://doi.org/fpnss4" TargetMode="External" /><Relationship Type="http://schemas.openxmlformats.org/officeDocument/2006/relationships/hyperlink" Id="rId38" Target="https://doi.org/ftmsvc" TargetMode="External" /><Relationship Type="http://schemas.openxmlformats.org/officeDocument/2006/relationships/hyperlink" Id="rId74" Target="https://doi.org/gfgtsg" TargetMode="External" /><Relationship Type="http://schemas.openxmlformats.org/officeDocument/2006/relationships/hyperlink" Id="rId88" Target="https://doi.org/gfjsvn" TargetMode="External" /><Relationship Type="http://schemas.openxmlformats.org/officeDocument/2006/relationships/hyperlink" Id="rId130" Target="https://doi.org/gftz95" TargetMode="External" /><Relationship Type="http://schemas.openxmlformats.org/officeDocument/2006/relationships/hyperlink" Id="rId113" Target="https://doi.org/ggfh8z" TargetMode="External" /><Relationship Type="http://schemas.openxmlformats.org/officeDocument/2006/relationships/hyperlink" Id="rId124" Target="https://doi.org/ggqh9p" TargetMode="External" /><Relationship Type="http://schemas.openxmlformats.org/officeDocument/2006/relationships/hyperlink" Id="rId72" Target="https://doi.org/gh5k63" TargetMode="External" /><Relationship Type="http://schemas.openxmlformats.org/officeDocument/2006/relationships/hyperlink" Id="rId80" Target="https://doi.org/gh5k6p" TargetMode="External" /><Relationship Type="http://schemas.openxmlformats.org/officeDocument/2006/relationships/hyperlink" Id="rId109" Target="https://doi.org/gh5k7b" TargetMode="External" /><Relationship Type="http://schemas.openxmlformats.org/officeDocument/2006/relationships/hyperlink" Id="rId137" Target="https://doi.org/gh5k7d" TargetMode="External" /><Relationship Type="http://schemas.openxmlformats.org/officeDocument/2006/relationships/hyperlink" Id="rId64" Target="https://doi.org/ghdnhh" TargetMode="External" /><Relationship Type="http://schemas.openxmlformats.org/officeDocument/2006/relationships/hyperlink" Id="rId94" Target="https://doi.org/ghgzp9" TargetMode="External" /><Relationship Type="http://schemas.openxmlformats.org/officeDocument/2006/relationships/hyperlink" Id="rId96" Target="https://doi.org/ghjw3k" TargetMode="External" /><Relationship Type="http://schemas.openxmlformats.org/officeDocument/2006/relationships/hyperlink" Id="rId58" Target="https://doi.org/gj4tz6" TargetMode="External" /><Relationship Type="http://schemas.openxmlformats.org/officeDocument/2006/relationships/hyperlink" Id="rId98" Target="https://doi.org/gj5ngz" TargetMode="External" /><Relationship Type="http://schemas.openxmlformats.org/officeDocument/2006/relationships/hyperlink" Id="rId70" Target="https://doi.org/gj5v98" TargetMode="External" /><Relationship Type="http://schemas.openxmlformats.org/officeDocument/2006/relationships/hyperlink" Id="rId102" Target="https://doi.org/gjm236" TargetMode="External" /><Relationship Type="http://schemas.openxmlformats.org/officeDocument/2006/relationships/hyperlink" Id="rId34" Target="https://doi.org/gjsn3g" TargetMode="External" /><Relationship Type="http://schemas.openxmlformats.org/officeDocument/2006/relationships/hyperlink" Id="rId78" Target="https://doi.org/gjxvc7" TargetMode="External" /><Relationship Type="http://schemas.openxmlformats.org/officeDocument/2006/relationships/hyperlink" Id="rId91" Target="https://doi.org/gk36pd" TargetMode="External" /><Relationship Type="http://schemas.openxmlformats.org/officeDocument/2006/relationships/hyperlink" Id="rId100"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2022-03-22T23:46:33Z</dcterms:created>
  <dcterms:modified xsi:type="dcterms:W3CDTF">2022-03-22T23:46:33Z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2022-03-22</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