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This site hosts the open development of my PhD dissertation at University of Victoria. It is an active work in progress.</w:t>
      </w:r>
    </w:p>
    <w:p>
      <w:pPr>
        <w:pStyle w:val="BodyText"/>
      </w:pPr>
      <w:r>
        <w:t xml:space="preserve">Please contact me at cmadland [at] uvic [dot] ca if you have questions or comments. Alternately, you can annotate with hypothes.is, which is active in the top, right corner. Keep in mind, that with regular updates, your annotation may very well become orphaned.</w:t>
      </w:r>
    </w:p>
    <w:bookmarkEnd w:id="20"/>
    <w:bookmarkStart w:id="25" w:name="introduction"/>
    <w:p>
      <w:pPr>
        <w:pStyle w:val="Heading1"/>
      </w:pPr>
      <w:r>
        <w:t xml:space="preserve">Introduction</w:t>
      </w:r>
    </w:p>
    <w:p>
      <w:pPr>
        <w:pStyle w:val="FirstParagraph"/>
      </w:pPr>
      <w:r>
        <w:t xml:space="preserve">Assessing learning is both a critical component of the work of teaching in higher education and also a major factor in learners’ experiences of higher education</w:t>
      </w:r>
      <w:r>
        <w:t xml:space="preserve"> </w:t>
      </w:r>
      <w:r>
        <w:t xml:space="preserve">(</w:t>
      </w:r>
      <w:hyperlink w:anchor="ref-biggsWhatStudentDoes1999">
        <w:r>
          <w:rPr>
            <w:rStyle w:val="Hyperlink"/>
          </w:rPr>
          <w:t xml:space="preserve">J. Biggs, 1999</w:t>
        </w:r>
      </w:hyperlink>
      <w:r>
        <w:t xml:space="preserve">;</w:t>
      </w:r>
      <w:r>
        <w:t xml:space="preserve"> </w:t>
      </w:r>
      <w:hyperlink w:anchor="ref-woldeab21stCenturyAssessment2019">
        <w:r>
          <w:rPr>
            <w:rStyle w:val="Hyperlink"/>
          </w:rPr>
          <w:t xml:space="preserve">Woldeab &amp; Brothen, 2019</w:t>
        </w:r>
      </w:hyperlink>
      <w:r>
        <w:t xml:space="preserve">)</w:t>
      </w:r>
      <w:r>
        <w:t xml:space="preserve">. Faculty and instructors’ approaches to assessment in higher education are shaped by a variety of factors, including the approaches to assessment that they experienced as learners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pressure from our increasingly technological society to integrate digital tools into the teaching and learning process</w:t>
      </w:r>
      <w:r>
        <w:t xml:space="preserve"> </w:t>
      </w:r>
      <w:r>
        <w:t xml:space="preserve">(</w:t>
      </w:r>
      <w:hyperlink w:anchor="Xd3220b3c4c74762840488f1ab7714e7e895bc2e">
        <w:r>
          <w:rPr>
            <w:rStyle w:val="Hyperlink"/>
          </w:rPr>
          <w:t xml:space="preserve">Pellegrino &amp; Quellmalz, 2010</w:t>
        </w:r>
      </w:hyperlink>
      <w:r>
        <w:t xml:space="preserve">)</w:t>
      </w:r>
      <w:r>
        <w:t xml:space="preserve">, and the changing needs of 21st-century employers and objectives of higher education institutions, who seek employees and graduates with demonstrated ability in collaboration, creative problem-solving, analytical thinking, and the ability to learn</w:t>
      </w:r>
      <w:r>
        <w:t xml:space="preserve"> </w:t>
      </w:r>
      <w:r>
        <w:t xml:space="preserve">(</w:t>
      </w:r>
      <w:hyperlink w:anchor="Xaf0f34faf6db1662e8da0b9850d3b9cfe5dbeed">
        <w:r>
          <w:rPr>
            <w:rStyle w:val="Hyperlink"/>
          </w:rPr>
          <w:t xml:space="preserve">Forum, 2020</w:t>
        </w:r>
      </w:hyperlink>
      <w:r>
        <w:t xml:space="preserve">;</w:t>
      </w:r>
      <w:r>
        <w:t xml:space="preserve"> </w:t>
      </w:r>
      <w:hyperlink w:anchor="ref-shute21stCenturyAssessment2010">
        <w:r>
          <w:rPr>
            <w:rStyle w:val="Hyperlink"/>
          </w:rPr>
          <w:t xml:space="preserve">Shute et al., 2010</w:t>
        </w:r>
      </w:hyperlink>
      <w:r>
        <w:t xml:space="preserve">)</w:t>
      </w:r>
      <w:r>
        <w:t xml:space="preserve">, competencies not easily measured in traditional testing formats.</w:t>
      </w:r>
    </w:p>
    <w:p>
      <w:pPr>
        <w:pStyle w:val="BodyTex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contend that instructors in higher education typically have few opportunities to engage in formal preparation for the task of assessing learning, and consequently there is high variability in how instructors assess learning in their courses. This is congruent with Coombs et al.’s</w:t>
      </w:r>
      <w:r>
        <w:t xml:space="preserve"> </w:t>
      </w:r>
      <w:r>
        <w:t xml:space="preserve">(</w:t>
      </w:r>
      <w:hyperlink w:anchor="ref-coombsSeaSeaCanadian2020">
        <w:r>
          <w:rPr>
            <w:rStyle w:val="Hyperlink"/>
          </w:rPr>
          <w:t xml:space="preserve">2020</w:t>
        </w:r>
      </w:hyperlink>
      <w:r>
        <w:t xml:space="preserve">)</w:t>
      </w:r>
      <w:r>
        <w:t xml:space="preserve"> </w:t>
      </w:r>
      <w:r>
        <w:t xml:space="preserve">findings that even preservice teachers in teacher preparation programs are often unprepared for the challenge of assessing learning. If pre-service teachers, who complete a program of formal academic preparation for teaching, are under-prepared, it follows that those who exit doctoral programs with no formal preparation for teaching or assessment</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will be even less adequately prepared. This lack of formal preparation generally means that higher education instructors assess learning in the only way they know how, which is to follow the example of their supervisors and professors from graduate school.</w:t>
      </w:r>
    </w:p>
    <w:p>
      <w:pPr>
        <w:pStyle w:val="BodyText"/>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curricula began to take a more social-constructivist approach that emphasized higher-order thinking, problem-solving in social contexts, and metacognitive skills over rote memorization.</w:t>
      </w:r>
    </w:p>
    <w:p>
      <w:pPr>
        <w:pStyle w:val="BodyText"/>
      </w:pPr>
      <w:r>
        <w:t xml:space="preserve">Unfortunately, it seemed that the efficiencies of testing memory, recognition, and recall through selected-response tests were too deeply embedded in the practices of higher education instructors who resisted changing their assessments to match the new curricular goals</w:t>
      </w:r>
      <w:r>
        <w:t xml:space="preserve"> </w:t>
      </w:r>
      <w:r>
        <w:t xml:space="preserve">(</w:t>
      </w:r>
      <w:hyperlink w:anchor="ref-shepardRoleAssessmentLearning2000">
        <w:r>
          <w:rPr>
            <w:rStyle w:val="Hyperlink"/>
          </w:rPr>
          <w:t xml:space="preserve">Shepard, 2000</w:t>
        </w:r>
      </w:hyperlink>
      <w:r>
        <w:t xml:space="preserve">)</w:t>
      </w:r>
      <w:r>
        <w:t xml:space="preserve">.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Models of assessment which mimic and re-inscribe traditional assessment practices and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Furthermore, pressures from our increasingly technological society have also impacted instructors’ approaches to their assessment practice. O’Donnell</w:t>
      </w:r>
      <w:r>
        <w:t xml:space="preserve"> </w:t>
      </w:r>
      <w:r>
        <w:t xml:space="preserve">(</w:t>
      </w:r>
      <w:hyperlink w:anchor="Xb8ef97dcd64a46920c7df0026dc0b714b2ee92d">
        <w:r>
          <w:rPr>
            <w:rStyle w:val="Hyperlink"/>
          </w:rPr>
          <w:t xml:space="preserve">2020</w:t>
        </w:r>
      </w:hyperlink>
      <w:r>
        <w:t xml:space="preserve">)</w:t>
      </w:r>
      <w:r>
        <w:t xml:space="preserve"> </w:t>
      </w:r>
      <w:r>
        <w:t xml:space="preserve">argues that</w:t>
      </w:r>
      <w:r>
        <w:t xml:space="preserve"> </w:t>
      </w:r>
      <w:r>
        <w:rPr>
          <w:iCs/>
          <w:i/>
        </w:rPr>
        <w:t xml:space="preserve">all</w:t>
      </w:r>
      <w:r>
        <w:t xml:space="preserve"> </w:t>
      </w:r>
      <w:r>
        <w:t xml:space="preserve">learning in higher education is now mediated in some way by technology, even if it is the superficial use of a word processor an instructor uses to create course materials or a learner uses to compose an essay. Even so, he claims that the use of technology often does little more than increase the efficiency (a term which he declines to define) of existing practices (an example might be reducing the time it takes to score a selected-response exam by using bubble sheets for examinee responses). This critique echoes Timmis et al.</w:t>
      </w:r>
      <w:r>
        <w:t xml:space="preserve"> </w:t>
      </w:r>
      <w:r>
        <w:t xml:space="preserve">(</w:t>
      </w:r>
      <w:hyperlink w:anchor="X9783eef1c37e492f1192ce9092108eb526b7f44">
        <w:r>
          <w:rPr>
            <w:rStyle w:val="Hyperlink"/>
          </w:rPr>
          <w:t xml:space="preserve">2016</w:t>
        </w:r>
      </w:hyperlink>
      <w:r>
        <w:t xml:space="preserve">)</w:t>
      </w:r>
      <w:r>
        <w:t xml:space="preserve"> </w:t>
      </w:r>
      <w:r>
        <w:t xml:space="preserve">who argue that prioritizing superficial characteristics of technology, like</w:t>
      </w:r>
      <w:r>
        <w:t xml:space="preserve"> </w:t>
      </w:r>
      <w:r>
        <w:t xml:space="preserve">‘</w:t>
      </w:r>
      <w:r>
        <w:t xml:space="preserve">efficiency,</w:t>
      </w:r>
      <w:r>
        <w:t xml:space="preserve">’</w:t>
      </w:r>
      <w:r>
        <w:t xml:space="preserve"> </w:t>
      </w:r>
      <w:r>
        <w:t xml:space="preserve">comes at the cost of more innovative applications.</w:t>
      </w:r>
    </w:p>
    <w:p>
      <w:pPr>
        <w:pStyle w:val="BodyText"/>
      </w:pPr>
      <w:r>
        <w:t xml:space="preserve">Additionally, the datafication of higher education has made very large data sets available to individual instructors as well as to learning technology administrators. This is often in the form of log data from learning management systems (LMS) which has been used to explore relationships between learner behaviours in the LMS and achievement</w:t>
      </w:r>
      <w:r>
        <w:t xml:space="preserve"> </w:t>
      </w:r>
      <w:r>
        <w:t xml:space="preserve">(</w:t>
      </w:r>
      <w:hyperlink w:anchor="ref-pardoBidirectionalEffectData2020">
        <w:r>
          <w:rPr>
            <w:rStyle w:val="Hyperlink"/>
          </w:rPr>
          <w:t xml:space="preserve">Pardo &amp; Reimann, 2020</w:t>
        </w:r>
      </w:hyperlink>
      <w:r>
        <w:t xml:space="preserve">;</w:t>
      </w:r>
      <w:r>
        <w:t xml:space="preserve"> </w:t>
      </w:r>
      <w:hyperlink w:anchor="ref-stadlerFirstEqualsLog2020">
        <w:r>
          <w:rPr>
            <w:rStyle w:val="Hyperlink"/>
          </w:rPr>
          <w:t xml:space="preserve">Stadler et al., 2020</w:t>
        </w:r>
      </w:hyperlink>
      <w:r>
        <w:t xml:space="preserve">)</w:t>
      </w:r>
      <w:r>
        <w:t xml:space="preserve">. Shute and Rahimi reported on their exploration of what they call</w:t>
      </w:r>
      <w:r>
        <w:t xml:space="preserve"> </w:t>
      </w:r>
      <w:r>
        <w:t xml:space="preserve">“</w:t>
      </w:r>
      <w:r>
        <w:t xml:space="preserve">stealth assessments</w:t>
      </w:r>
      <w:r>
        <w:t xml:space="preserve">”</w:t>
      </w:r>
      <w:r>
        <w:t xml:space="preserve"> </w:t>
      </w:r>
      <w:r>
        <w:t xml:space="preserve">(</w:t>
      </w:r>
      <w:hyperlink w:anchor="ref-shuteStealthAssessmentCreativity2021">
        <w:r>
          <w:rPr>
            <w:rStyle w:val="Hyperlink"/>
          </w:rPr>
          <w:t xml:space="preserve">2021, p. 4</w:t>
        </w:r>
      </w:hyperlink>
      <w:r>
        <w:t xml:space="preserve">)</w:t>
      </w:r>
      <w:r>
        <w:t xml:space="preserve"> </w:t>
      </w:r>
      <w:r>
        <w:t xml:space="preserve">where large amounts of data are collected as learners interact in game-based learning environments. They argue that stealth assessments, which learners do not notice because they are woven seamlessly into the learning materials and automatically scored based help to alleviate test anxiety for learners, leading to greater achievement</w:t>
      </w:r>
      <w:r>
        <w:t xml:space="preserve"> </w:t>
      </w:r>
      <w:r>
        <w:t xml:space="preserve">(</w:t>
      </w:r>
      <w:hyperlink w:anchor="ref-shute21stCenturyAssessment2010">
        <w:r>
          <w:rPr>
            <w:rStyle w:val="Hyperlink"/>
          </w:rPr>
          <w:t xml:space="preserve">Shute et al., 2010</w:t>
        </w:r>
      </w:hyperlink>
      <w:r>
        <w:t xml:space="preserve">)</w:t>
      </w:r>
      <w:r>
        <w:t xml:space="preserve">. Milligan writes about the optimism with which early learning analytics researchers advocated for using big data that</w:t>
      </w:r>
      <w:r>
        <w:t xml:space="preserve"> </w:t>
      </w:r>
      <w:r>
        <w:t xml:space="preserve">(</w:t>
      </w:r>
      <w:hyperlink w:anchor="X176a232588f05c4bc332011296c94f6bd1d0211">
        <w:r>
          <w:rPr>
            <w:rStyle w:val="Hyperlink"/>
          </w:rPr>
          <w:t xml:space="preserve">2020</w:t>
        </w:r>
      </w:hyperlink>
      <w:r>
        <w:t xml:space="preserve">)</w:t>
      </w:r>
    </w:p>
    <w:bookmarkStart w:id="21" w:name="problem-to-be-researched"/>
    <w:p>
      <w:pPr>
        <w:pStyle w:val="Heading2"/>
      </w:pPr>
      <w:r>
        <w:t xml:space="preserve">Problem to be Researched</w:t>
      </w:r>
    </w:p>
    <w:p>
      <w:pPr>
        <w:pStyle w:val="FirstParagraph"/>
      </w:pPr>
      <w:r>
        <w:t xml:space="preserve">Given the plurality of factors influencing higher education instructors identified above and the relative paucity of published research on assessment in higher education compared to K-12</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this dissertation will unfold over the course of three independent publications. The common thread running through the three publications will be a focus on the problem of the alignment gap between the assessment practices of many higher education instructors and the goals and objectives of modern higher education institutions. Each publication will explore this topic from different viewpoints, or lenses. The first paper will be a detailed review of the literature related to assessment and the impacts of technology on assessment in higher education using DeLuca et al.’s</w:t>
      </w:r>
      <w:r>
        <w:t xml:space="preserve"> </w:t>
      </w:r>
      <w:r>
        <w:t xml:space="preserve">(</w:t>
      </w:r>
      <w:hyperlink w:anchor="Xedee9bc10fe7ddda531b14b05542852ae9f5f1e">
        <w:r>
          <w:rPr>
            <w:rStyle w:val="Hyperlink"/>
          </w:rPr>
          <w:t xml:space="preserve">2016a</w:t>
        </w:r>
      </w:hyperlink>
      <w:r>
        <w:t xml:space="preserve">)</w:t>
      </w:r>
      <w:r>
        <w:t xml:space="preserve"> </w:t>
      </w:r>
      <w:r>
        <w:t xml:space="preserve">approaches to classroom assessment framework. The second paper will be a quantitative analysis of DeLuca et al.’s</w:t>
      </w:r>
      <w:r>
        <w:t xml:space="preserve"> </w:t>
      </w:r>
      <w:r>
        <w:rPr>
          <w:iCs/>
          <w:i/>
        </w:rPr>
        <w:t xml:space="preserve">Approaches to Classroom Assessment Inventory</w:t>
      </w:r>
      <w:r>
        <w:t xml:space="preserve"> </w:t>
      </w:r>
      <w:r>
        <w:t xml:space="preserve">(</w:t>
      </w:r>
      <w:hyperlink w:anchor="ref-delucaACAIInstrumentSpecificationsND">
        <w:r>
          <w:rPr>
            <w:rStyle w:val="Hyperlink"/>
          </w:rPr>
          <w:t xml:space="preserve">ND</w:t>
        </w:r>
      </w:hyperlink>
      <w:r>
        <w:t xml:space="preserve">)</w:t>
      </w:r>
      <w:r>
        <w:t xml:space="preserve"> </w:t>
      </w:r>
      <w:r>
        <w:t xml:space="preserve">revised for a technologically-mediated higher education environment. The third paper will consist of a synthesis of findings from the first two papers with a view to reimagining assessment in 21st-century higher education and consideration given to the ethics of modern trends in technology.</w:t>
      </w:r>
    </w:p>
    <w:p>
      <w:pPr>
        <w:pStyle w:val="BodyText"/>
      </w:pPr>
      <w:r>
        <w:rPr>
          <w:strike/>
        </w:rPr>
        <w:t xml:space="preserve">The author notes that there are myriad examples of formal and informal initiatives in higher education which have not realized significant local or systemic change</w:t>
      </w:r>
      <w:r>
        <w:rPr>
          <w:strike/>
        </w:rPr>
        <w:t xml:space="preserve"> </w:t>
      </w:r>
      <w:r>
        <w:rPr>
          <w:strike/>
        </w:rPr>
        <w:t xml:space="preserve">(</w:t>
      </w:r>
      <w:hyperlink w:anchor="X51a879b1b801bbc5ad6e7fc588f4456f2973b2d">
        <w:r>
          <w:rPr>
            <w:rStyle w:val="Hyperlink"/>
            <w:strike/>
          </w:rPr>
          <w:t xml:space="preserve">Broadfoot, 2016</w:t>
        </w:r>
      </w:hyperlink>
      <w:r>
        <w:rPr>
          <w:strike/>
        </w:rPr>
        <w:t xml:space="preserve">;</w:t>
      </w:r>
      <w:r>
        <w:rPr>
          <w:strike/>
        </w:rPr>
        <w:t xml:space="preserve"> </w:t>
      </w:r>
      <w:hyperlink w:anchor="ref-earlAssessmentLearningUsing2013">
        <w:r>
          <w:rPr>
            <w:rStyle w:val="Hyperlink"/>
            <w:strike/>
          </w:rPr>
          <w:t xml:space="preserve">Earl, 2013</w:t>
        </w:r>
      </w:hyperlink>
      <w:r>
        <w:rPr>
          <w:strike/>
        </w:rPr>
        <w:t xml:space="preserve">)</w:t>
      </w:r>
      <w:r>
        <w:rPr>
          <w:strike/>
        </w:rPr>
        <w:t xml:space="preserve">. Instructors are highly resistant to changing their assessment practices, in part, as Broadfoot claims, because assessment is so important, but also, as will be discussed later, because the approaches that individual instructors take to assessing the work of learners are driven by complex forces</w:t>
      </w:r>
      <w:r>
        <w:rPr>
          <w:strike/>
        </w:rPr>
        <w:t xml:space="preserve"> </w:t>
      </w:r>
      <w:r>
        <w:rPr>
          <w:strike/>
        </w:rPr>
        <w:t xml:space="preserve">(</w:t>
      </w:r>
      <w:hyperlink w:anchor="ref-blackAssessmentClassroomLearning1998">
        <w:r>
          <w:rPr>
            <w:rStyle w:val="Hyperlink"/>
            <w:strike/>
          </w:rPr>
          <w:t xml:space="preserve">Black &amp; Wiliam, 1998</w:t>
        </w:r>
      </w:hyperlink>
      <w:r>
        <w:rPr>
          <w:strike/>
        </w:rPr>
        <w:t xml:space="preserve">;</w:t>
      </w:r>
      <w:r>
        <w:rPr>
          <w:strike/>
        </w:rPr>
        <w:t xml:space="preserve"> </w:t>
      </w:r>
      <w:hyperlink w:anchor="ref-delucaDifferentialSituatedView2019">
        <w:r>
          <w:rPr>
            <w:rStyle w:val="Hyperlink"/>
            <w:strike/>
          </w:rPr>
          <w:t xml:space="preserve">DeLuca et al., 2019</w:t>
        </w:r>
      </w:hyperlink>
      <w:r>
        <w:rPr>
          <w:strike/>
        </w:rPr>
        <w:t xml:space="preserve">;</w:t>
      </w:r>
      <w:r>
        <w:rPr>
          <w:strike/>
        </w:rPr>
        <w:t xml:space="preserve"> </w:t>
      </w:r>
      <w:hyperlink w:anchor="ref-stigginsAssessmentLiteracy1991">
        <w:r>
          <w:rPr>
            <w:rStyle w:val="Hyperlink"/>
            <w:strike/>
          </w:rPr>
          <w:t xml:space="preserve">Stiggins, 1991</w:t>
        </w:r>
      </w:hyperlink>
      <w:r>
        <w:rPr>
          <w:strike/>
        </w:rPr>
        <w:t xml:space="preserve">;</w:t>
      </w:r>
      <w:r>
        <w:rPr>
          <w:strike/>
        </w:rPr>
        <w:t xml:space="preserve"> </w:t>
      </w:r>
      <w:hyperlink w:anchor="X731be6e2e0895c79e0f034fc829fd623ca4b0d3">
        <w:r>
          <w:rPr>
            <w:rStyle w:val="Hyperlink"/>
            <w:strike/>
          </w:rPr>
          <w:t xml:space="preserve">Willis et al., 2013</w:t>
        </w:r>
      </w:hyperlink>
      <w:r>
        <w:rPr>
          <w:strike/>
        </w:rPr>
        <w:t xml:space="preserve">)</w:t>
      </w:r>
      <w:r>
        <w:rPr>
          <w:strike/>
        </w:rPr>
        <w:t xml:space="preserve">.</w:t>
      </w:r>
    </w:p>
    <w:bookmarkEnd w:id="21"/>
    <w:bookmarkStart w:id="22"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773f46dba91e2266ea33fc285a547bc86776461">
        <w:r>
          <w:rPr>
            <w:rStyle w:val="Hyperlink"/>
          </w:rPr>
          <w:t xml:space="preserve">DeLuca, Valiquette, et al., 2016</w:t>
        </w:r>
      </w:hyperlink>
      <w:r>
        <w:t xml:space="preserve">;</w:t>
      </w:r>
      <w:r>
        <w:t xml:space="preserve"> </w:t>
      </w:r>
      <w:hyperlink w:anchor="Xedee9bc10fe7ddda531b14b05542852ae9f5f1e">
        <w:r>
          <w:rPr>
            <w:rStyle w:val="Hyperlink"/>
          </w:rPr>
          <w:t xml:space="preserve">DeLuca, LaPointe-McEwan, et al.,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et al., 2021</w:t>
        </w:r>
      </w:hyperlink>
      <w:r>
        <w:t xml:space="preserve">;</w:t>
      </w:r>
      <w:r>
        <w:t xml:space="preserve"> </w:t>
      </w:r>
      <w:hyperlink w:anchor="X568de4367a2adb3cc7734bdfe3ece898df67951">
        <w:r>
          <w:rPr>
            <w:rStyle w:val="Hyperlink"/>
          </w:rPr>
          <w:t xml:space="preserve">Offerdahl &amp;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2"/>
    <w:bookmarkStart w:id="23"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3"/>
    <w:bookmarkStart w:id="24" w:name="significance-of-the-research"/>
    <w:p>
      <w:pPr>
        <w:pStyle w:val="Heading2"/>
      </w:pPr>
      <w:r>
        <w:t xml:space="preserve">Significance of the Research</w:t>
      </w:r>
    </w:p>
    <w:bookmarkEnd w:id="24"/>
    <w:bookmarkEnd w:id="25"/>
    <w:bookmarkStart w:id="159" w:name="X00e80ae76d4080e847787e2b57aa318db7fe669"/>
    <w:p>
      <w:pPr>
        <w:pStyle w:val="Heading1"/>
      </w:pPr>
      <w:r>
        <w:t xml:space="preserve">A Review of the Literature on Assessment in Higher Education</w:t>
      </w:r>
    </w:p>
    <w:bookmarkStart w:id="26"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6"/>
    <w:bookmarkStart w:id="27"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hyperlink w:anchor="ref-lipnevichWhatGradesMean2020">
        <w:r>
          <w:rPr>
            <w:rStyle w:val="Hyperlink"/>
          </w:rPr>
          <w:t xml:space="preserve">Lipnevich et al.</w:t>
        </w:r>
      </w:hyperlink>
      <w:r>
        <w:t xml:space="preserve"> </w:t>
      </w:r>
      <w:r>
        <w:t xml:space="preserve">(</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ref-biggsWhatStudentDoes1999">
        <w:r>
          <w:rPr>
            <w:rStyle w:val="Hyperlink"/>
          </w:rPr>
          <w:t xml:space="preserve">1999</w:t>
        </w:r>
      </w:hyperlink>
      <w:r>
        <w:t xml:space="preserve">,</w:t>
      </w:r>
      <w:r>
        <w:t xml:space="preserve"> </w:t>
      </w:r>
      <w:hyperlink w:anchor="X6d502c1fbcba67bdb61d23bc33194bf5c0f1ecb">
        <w:r>
          <w:rPr>
            <w:rStyle w:val="Hyperlink"/>
          </w:rPr>
          <w:t xml:space="preserve">1996</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7"/>
    <w:bookmarkStart w:id="28"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et al.,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et al.,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et al.,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et al.</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8"/>
    <w:bookmarkStart w:id="30"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et al.,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p.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et al.,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&amp;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p.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1" name="Picture"/>
            <a:graphic>
              <a:graphicData uri="http://schemas.openxmlformats.org/drawingml/2006/picture">
                <pic:pic>
                  <pic:nvPicPr>
                    <pic:cNvPr descr="images/approaches-to-assessment.png" id="0" name="Picture"/>
                    <pic:cNvPicPr>
                      <a:picLocks noChangeArrowheads="1" noChangeAspect="1"/>
                    </pic:cNvPicPr>
                  </pic:nvPicPr>
                  <pic:blipFill>
                    <a:blip r:embed="rId29"/>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et al., 2021, p. 10</w:t>
        </w:r>
      </w:hyperlink>
      <w:r>
        <w:t xml:space="preserve">)</w:t>
      </w:r>
    </w:p>
    <w:bookmarkEnd w:id="30"/>
    <w:bookmarkStart w:id="31"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&amp;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w:t>
      </w:r>
      <w:r>
        <w:t xml:space="preserve">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et al.,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et al.,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p.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&amp; Dede, 2010</w:t>
        </w:r>
      </w:hyperlink>
      <w:r>
        <w:t xml:space="preserve">;</w:t>
      </w:r>
      <w:r>
        <w:t xml:space="preserve"> </w:t>
      </w:r>
      <w:hyperlink w:anchor="Xcffd07f338ae9c1e0f3a4638f84c8ddd08fd0be">
        <w:r>
          <w:rPr>
            <w:rStyle w:val="Hyperlink"/>
          </w:rPr>
          <w:t xml:space="preserve">DeLuca et al., 2021</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w:t>
      </w:r>
    </w:p>
    <w:bookmarkEnd w:id="31"/>
    <w:bookmarkStart w:id="32"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&amp;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2"/>
    <w:bookmarkStart w:id="158"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et al.,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1" name="Picture"/>
            <a:graphic>
              <a:graphicData uri="http://schemas.openxmlformats.org/drawingml/2006/picture">
                <pic:pic>
                  <pic:nvPicPr>
                    <pic:cNvPr descr="images/3p-model.png" id="0" name="Picture"/>
                    <pic:cNvPicPr>
                      <a:picLocks noChangeArrowheads="1" noChangeAspect="1"/>
                    </pic:cNvPicPr>
                  </pic:nvPicPr>
                  <pic:blipFill>
                    <a:blip r:embed="rId33"/>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Start w:id="157" w:name="refs"/>
    <w:bookmarkStart w:id="34"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34"/>
    <w:bookmarkStart w:id="36" w:name="ref-bearmanSupportAssessmentPractice2016"/>
    <w:p>
      <w:pPr>
        <w:pStyle w:val="Bibliography"/>
      </w:pPr>
      <w:r>
        <w:t xml:space="preserve">Bearman, M., Dawson, P., Boud, D., Bennett, S., Hall, M., &amp; Molloy, E. (2016). 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w:t>
      </w:r>
      <w:r>
        <w:t xml:space="preserve"> </w:t>
      </w:r>
      <w:r>
        <w:rPr>
          <w:iCs/>
          <w:i/>
        </w:rPr>
        <w:t xml:space="preserve">21</w:t>
      </w:r>
      <w:r>
        <w:t xml:space="preserve">(5), 545–556.</w:t>
      </w:r>
      <w:r>
        <w:t xml:space="preserve"> </w:t>
      </w:r>
      <w:hyperlink r:id="rId35">
        <w:r>
          <w:rPr>
            <w:rStyle w:val="Hyperlink"/>
          </w:rPr>
          <w:t xml:space="preserve">https://doi.org/gjsn3g</w:t>
        </w:r>
      </w:hyperlink>
    </w:p>
    <w:bookmarkEnd w:id="36"/>
    <w:bookmarkStart w:id="38" w:name="ref-benjaminHistoryTeachingMachines1988"/>
    <w:p>
      <w:pPr>
        <w:pStyle w:val="Bibliography"/>
      </w:pPr>
      <w:r>
        <w:t xml:space="preserve">Benjamin, L. T. (1988). A history of teaching machines.</w:t>
      </w:r>
      <w:r>
        <w:t xml:space="preserve"> </w:t>
      </w:r>
      <w:r>
        <w:rPr>
          <w:iCs/>
          <w:i/>
        </w:rPr>
        <w:t xml:space="preserve">American Psychologist</w:t>
      </w:r>
      <w:r>
        <w:t xml:space="preserve">,</w:t>
      </w:r>
      <w:r>
        <w:t xml:space="preserve"> </w:t>
      </w:r>
      <w:r>
        <w:rPr>
          <w:iCs/>
          <w:i/>
        </w:rPr>
        <w:t xml:space="preserve">43</w:t>
      </w:r>
      <w:r>
        <w:t xml:space="preserve">(9), 703–712.</w:t>
      </w:r>
      <w:r>
        <w:t xml:space="preserve"> </w:t>
      </w:r>
      <w:hyperlink r:id="rId37">
        <w:r>
          <w:rPr>
            <w:rStyle w:val="Hyperlink"/>
          </w:rPr>
          <w:t xml:space="preserve">https://doi.org/djgzjr</w:t>
        </w:r>
      </w:hyperlink>
    </w:p>
    <w:bookmarkEnd w:id="38"/>
    <w:bookmarkStart w:id="40"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39">
        <w:r>
          <w:rPr>
            <w:rStyle w:val="Hyperlink"/>
          </w:rPr>
          <w:t xml:space="preserve">https://doi.org/ftmsvc</w:t>
        </w:r>
      </w:hyperlink>
    </w:p>
    <w:bookmarkEnd w:id="40"/>
    <w:bookmarkStart w:id="42" w:name="ref-biggsWhatStudentDoes1999"/>
    <w:p>
      <w:pPr>
        <w:pStyle w:val="Bibliography"/>
      </w:pPr>
      <w:r>
        <w:t xml:space="preserve">Biggs, J. (1999). 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w:t>
      </w:r>
      <w:r>
        <w:t xml:space="preserve"> </w:t>
      </w:r>
      <w:r>
        <w:rPr>
          <w:iCs/>
          <w:i/>
        </w:rPr>
        <w:t xml:space="preserve">18</w:t>
      </w:r>
      <w:r>
        <w:t xml:space="preserve">(1), 57–75.</w:t>
      </w:r>
      <w:r>
        <w:t xml:space="preserve"> </w:t>
      </w:r>
      <w:hyperlink r:id="rId41">
        <w:r>
          <w:rPr>
            <w:rStyle w:val="Hyperlink"/>
          </w:rPr>
          <w:t xml:space="preserve">https://doi.org/drgphk</w:t>
        </w:r>
      </w:hyperlink>
    </w:p>
    <w:bookmarkEnd w:id="42"/>
    <w:bookmarkStart w:id="44" w:name="X6d502c1fbcba67bdb61d23bc33194bf5c0f1ecb"/>
    <w:p>
      <w:pPr>
        <w:pStyle w:val="Bibliography"/>
      </w:pPr>
      <w:r>
        <w:t xml:space="preserve">Biggs, J. (1996). Enhancing teaching through constructive alignment.</w:t>
      </w:r>
      <w:r>
        <w:t xml:space="preserve"> </w:t>
      </w:r>
      <w:r>
        <w:rPr>
          <w:iCs/>
          <w:i/>
        </w:rPr>
        <w:t xml:space="preserve">Higher Education</w:t>
      </w:r>
      <w:r>
        <w:t xml:space="preserve">,</w:t>
      </w:r>
      <w:r>
        <w:t xml:space="preserve"> </w:t>
      </w:r>
      <w:r>
        <w:rPr>
          <w:iCs/>
          <w:i/>
        </w:rPr>
        <w:t xml:space="preserve">32</w:t>
      </w:r>
      <w:r>
        <w:t xml:space="preserve">(3), 347–364.</w:t>
      </w:r>
      <w:r>
        <w:t xml:space="preserve"> </w:t>
      </w:r>
      <w:hyperlink r:id="rId43">
        <w:r>
          <w:rPr>
            <w:rStyle w:val="Hyperlink"/>
          </w:rPr>
          <w:t xml:space="preserve">https://doi.org/chx3gp</w:t>
        </w:r>
      </w:hyperlink>
    </w:p>
    <w:bookmarkEnd w:id="44"/>
    <w:bookmarkStart w:id="46" w:name="ref-biggsTheoryPracticeCognitive1993"/>
    <w:p>
      <w:pPr>
        <w:pStyle w:val="Bibliography"/>
      </w:pPr>
      <w:r>
        <w:t xml:space="preserve">Biggs, J. B. (1993). 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w:t>
      </w:r>
      <w:r>
        <w:t xml:space="preserve"> </w:t>
      </w:r>
      <w:r>
        <w:rPr>
          <w:iCs/>
          <w:i/>
        </w:rPr>
        <w:t xml:space="preserve">12</w:t>
      </w:r>
      <w:r>
        <w:t xml:space="preserve">(1), 73–85.</w:t>
      </w:r>
      <w:r>
        <w:t xml:space="preserve"> </w:t>
      </w:r>
      <w:hyperlink r:id="rId45">
        <w:r>
          <w:rPr>
            <w:rStyle w:val="Hyperlink"/>
          </w:rPr>
          <w:t xml:space="preserve">https://doi.org/ccdmd9</w:t>
        </w:r>
      </w:hyperlink>
    </w:p>
    <w:bookmarkEnd w:id="46"/>
    <w:bookmarkStart w:id="47"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7"/>
    <w:bookmarkStart w:id="48"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8"/>
    <w:bookmarkStart w:id="50" w:name="Xed666ae61dbae1b52e6dfe20fa7c7ad7b3c36ec"/>
    <w:p>
      <w:pPr>
        <w:pStyle w:val="Bibliography"/>
      </w:pPr>
      <w:r>
        <w:t xml:space="preserve">Birenbaum, Menucha. (2007). 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w:t>
      </w:r>
      <w:r>
        <w:t xml:space="preserve"> </w:t>
      </w:r>
      <w:r>
        <w:rPr>
          <w:iCs/>
          <w:i/>
        </w:rPr>
        <w:t xml:space="preserve">53</w:t>
      </w:r>
      <w:r>
        <w:t xml:space="preserve">(6), 749–768.</w:t>
      </w:r>
      <w:r>
        <w:t xml:space="preserve"> </w:t>
      </w:r>
      <w:hyperlink r:id="rId49">
        <w:r>
          <w:rPr>
            <w:rStyle w:val="Hyperlink"/>
          </w:rPr>
          <w:t xml:space="preserve">https://doi.org/cqgvs8</w:t>
        </w:r>
      </w:hyperlink>
    </w:p>
    <w:bookmarkEnd w:id="50"/>
    <w:bookmarkStart w:id="52"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51">
        <w:r>
          <w:rPr>
            <w:rStyle w:val="Hyperlink"/>
          </w:rPr>
          <w:t xml:space="preserve">https://doi.org/fpnss4</w:t>
        </w:r>
      </w:hyperlink>
    </w:p>
    <w:bookmarkEnd w:id="52"/>
    <w:bookmarkStart w:id="53"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53"/>
    <w:bookmarkStart w:id="54" w:name="X37eab5d4961ef5dec4a83729881ef2d687f04ae"/>
    <w:p>
      <w:pPr>
        <w:pStyle w:val="Bibliography"/>
      </w:pPr>
      <w:r>
        <w:t xml:space="preserve">Braguinski, N. (2018). 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w:t>
      </w:r>
      <w:r>
        <w:t xml:space="preserve"> </w:t>
      </w:r>
      <w:r>
        <w:rPr>
          <w:iCs/>
          <w:i/>
        </w:rPr>
        <w:t xml:space="preserve">7</w:t>
      </w:r>
      <w:r>
        <w:t xml:space="preserve">(1), 19.</w:t>
      </w:r>
    </w:p>
    <w:bookmarkEnd w:id="54"/>
    <w:bookmarkStart w:id="56"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55">
        <w:r>
          <w:rPr>
            <w:rStyle w:val="Hyperlink"/>
          </w:rPr>
          <w:t xml:space="preserve">https://doi.org/10.1007/978-3-319-17727-4_64-1</w:t>
        </w:r>
      </w:hyperlink>
    </w:p>
    <w:bookmarkEnd w:id="56"/>
    <w:bookmarkStart w:id="58"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7">
        <w:r>
          <w:rPr>
            <w:rStyle w:val="Hyperlink"/>
          </w:rPr>
          <w:t xml:space="preserve">https://doi.org/cwcqj4</w:t>
        </w:r>
      </w:hyperlink>
    </w:p>
    <w:bookmarkEnd w:id="58"/>
    <w:bookmarkStart w:id="60" w:name="X398061bedf4ca6ea011494eb395f9026963cd42"/>
    <w:p>
      <w:pPr>
        <w:pStyle w:val="Bibliography"/>
      </w:pPr>
      <w:r>
        <w:t xml:space="preserve">Brown, G. (2017).</w:t>
      </w:r>
      <w:r>
        <w:t xml:space="preserve"> </w:t>
      </w:r>
      <w:r>
        <w:rPr>
          <w:iCs/>
          <w:i/>
        </w:rPr>
        <w:t xml:space="preserve">Teachers</w:t>
      </w:r>
      <w:r>
        <w:rPr>
          <w:iCs/>
          <w:i/>
        </w:rPr>
        <w:t xml:space="preserve"> </w:t>
      </w:r>
      <w:r>
        <w:rPr>
          <w:iCs/>
          <w:i/>
        </w:rPr>
        <w:t xml:space="preserve">Conceptions</w:t>
      </w:r>
      <w:r>
        <w:rPr>
          <w:iCs/>
          <w:i/>
        </w:rPr>
        <w:t xml:space="preserve"> </w:t>
      </w:r>
      <w:r>
        <w:rPr>
          <w:iCs/>
          <w:i/>
        </w:rPr>
        <w:t xml:space="preserve">of</w:t>
      </w:r>
      <w:r>
        <w:rPr>
          <w:iCs/>
          <w:i/>
        </w:rPr>
        <w:t xml:space="preserve"> </w:t>
      </w:r>
      <w:r>
        <w:rPr>
          <w:iCs/>
          <w:i/>
        </w:rPr>
        <w:t xml:space="preserve">Assessment</w:t>
      </w:r>
      <w:r>
        <w:rPr>
          <w:iCs/>
          <w:i/>
        </w:rPr>
        <w:t xml:space="preserve"> </w:t>
      </w:r>
      <w:r>
        <w:rPr>
          <w:iCs/>
          <w:i/>
        </w:rPr>
        <w:t xml:space="preserve">-</w:t>
      </w:r>
      <w:r>
        <w:rPr>
          <w:iCs/>
          <w:i/>
        </w:rPr>
        <w:t xml:space="preserve"> </w:t>
      </w:r>
      <w:r>
        <w:rPr>
          <w:iCs/>
          <w:i/>
        </w:rPr>
        <w:t xml:space="preserve">Secondary Schools Long</w:t>
      </w:r>
      <w:r>
        <w:rPr>
          <w:iCs/>
          <w:i/>
        </w:rPr>
        <w:t xml:space="preserve"> </w:t>
      </w:r>
      <w:r>
        <w:rPr>
          <w:iCs/>
          <w:i/>
        </w:rPr>
        <w:t xml:space="preserve">and</w:t>
      </w:r>
      <w:r>
        <w:rPr>
          <w:iCs/>
          <w:i/>
        </w:rPr>
        <w:t xml:space="preserve"> </w:t>
      </w:r>
      <w:r>
        <w:rPr>
          <w:iCs/>
          <w:i/>
        </w:rPr>
        <w:t xml:space="preserve">Abridged</w:t>
      </w:r>
      <w:r>
        <w:t xml:space="preserve">.</w:t>
      </w:r>
      <w:r>
        <w:t xml:space="preserve"> </w:t>
      </w:r>
      <w:hyperlink r:id="rId59">
        <w:r>
          <w:rPr>
            <w:rStyle w:val="Hyperlink"/>
          </w:rPr>
          <w:t xml:space="preserve">https://doi.org/gj4tz6</w:t>
        </w:r>
      </w:hyperlink>
    </w:p>
    <w:bookmarkEnd w:id="60"/>
    <w:bookmarkStart w:id="62"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61">
        <w:r>
          <w:rPr>
            <w:rStyle w:val="Hyperlink"/>
          </w:rPr>
          <w:t xml:space="preserve">https://doi.org/c3k8f5</w:t>
        </w:r>
      </w:hyperlink>
    </w:p>
    <w:bookmarkEnd w:id="62"/>
    <w:bookmarkStart w:id="64" w:name="ref-caputiReflectionsNextGeneration2019"/>
    <w:p>
      <w:pPr>
        <w:pStyle w:val="Bibliography"/>
      </w:pPr>
      <w:r>
        <w:t xml:space="preserve">Caputi, L. J. (2019). 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w:t>
      </w:r>
      <w:r>
        <w:t xml:space="preserve"> </w:t>
      </w:r>
      <w:r>
        <w:rPr>
          <w:iCs/>
          <w:i/>
        </w:rPr>
        <w:t xml:space="preserve">40</w:t>
      </w:r>
      <w:r>
        <w:t xml:space="preserve">(1), 2–3.</w:t>
      </w:r>
      <w:r>
        <w:t xml:space="preserve"> </w:t>
      </w:r>
      <w:hyperlink r:id="rId63">
        <w:r>
          <w:rPr>
            <w:rStyle w:val="Hyperlink"/>
          </w:rPr>
          <w:t xml:space="preserve">https://doi.org/d8wq</w:t>
        </w:r>
      </w:hyperlink>
    </w:p>
    <w:bookmarkEnd w:id="64"/>
    <w:bookmarkStart w:id="66" w:name="X8d225d8bf3a6cb9ee5ffa78c73dfa381c6a7c30"/>
    <w:p>
      <w:pPr>
        <w:pStyle w:val="Bibliography"/>
      </w:pPr>
      <w:r>
        <w:t xml:space="preserve">Clarke-Midura, J., &amp; Dede, C. (2010). 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w:t>
      </w:r>
      <w:r>
        <w:t xml:space="preserve"> </w:t>
      </w:r>
      <w:r>
        <w:rPr>
          <w:iCs/>
          <w:i/>
        </w:rPr>
        <w:t xml:space="preserve">42</w:t>
      </w:r>
      <w:r>
        <w:t xml:space="preserve">(3), 309–328.</w:t>
      </w:r>
      <w:r>
        <w:t xml:space="preserve"> </w:t>
      </w:r>
      <w:hyperlink r:id="rId65">
        <w:r>
          <w:rPr>
            <w:rStyle w:val="Hyperlink"/>
          </w:rPr>
          <w:t xml:space="preserve">https://doi.org/ghdnhh</w:t>
        </w:r>
      </w:hyperlink>
    </w:p>
    <w:bookmarkEnd w:id="66"/>
    <w:bookmarkStart w:id="68" w:name="ref-coombsSeaSeaCanadian2020"/>
    <w:p>
      <w:pPr>
        <w:pStyle w:val="Bibliography"/>
      </w:pPr>
      <w:r>
        <w:t xml:space="preserve">Coombs, A., Ge, J., &amp; DeLuca, C. (2020). 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1–17.</w:t>
      </w:r>
      <w:r>
        <w:t xml:space="preserve"> </w:t>
      </w:r>
      <w:hyperlink r:id="rId67">
        <w:r>
          <w:rPr>
            <w:rStyle w:val="Hyperlink"/>
          </w:rPr>
          <w:t xml:space="preserve">https://doi.org/gh5k4z</w:t>
        </w:r>
      </w:hyperlink>
    </w:p>
    <w:bookmarkEnd w:id="68"/>
    <w:bookmarkStart w:id="70"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69">
        <w:r>
          <w:rPr>
            <w:rStyle w:val="Hyperlink"/>
          </w:rPr>
          <w:t xml:space="preserve">https://doi.org/dvd8nf</w:t>
        </w:r>
      </w:hyperlink>
    </w:p>
    <w:bookmarkEnd w:id="70"/>
    <w:bookmarkStart w:id="72"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71">
        <w:r>
          <w:rPr>
            <w:rStyle w:val="Hyperlink"/>
          </w:rPr>
          <w:t xml:space="preserve">https://doi.org/10.1080/01626620.2012.730347</w:t>
        </w:r>
      </w:hyperlink>
    </w:p>
    <w:bookmarkEnd w:id="72"/>
    <w:bookmarkStart w:id="73" w:name="ref-delucaACAIInstrumentSpecificationsND"/>
    <w:p>
      <w:pPr>
        <w:pStyle w:val="Bibliography"/>
      </w:pPr>
      <w:r>
        <w:t xml:space="preserve">DeLuca, C. (ND).</w:t>
      </w:r>
      <w:r>
        <w:t xml:space="preserve"> </w:t>
      </w:r>
      <w:r>
        <w:rPr>
          <w:iCs/>
          <w:i/>
        </w:rPr>
        <w:t xml:space="preserve">ACAI Instrument</w:t>
      </w:r>
      <w:r>
        <w:rPr>
          <w:iCs/>
          <w:i/>
        </w:rPr>
        <w:t xml:space="preserve">,</w:t>
      </w:r>
      <w:r>
        <w:rPr>
          <w:iCs/>
          <w:i/>
        </w:rPr>
        <w:t xml:space="preserve"> </w:t>
      </w:r>
      <w:r>
        <w:rPr>
          <w:iCs/>
          <w:i/>
        </w:rPr>
        <w:t xml:space="preserve">Specifications</w:t>
      </w:r>
      <w:r>
        <w:rPr>
          <w:iCs/>
          <w:i/>
        </w:rPr>
        <w:t xml:space="preserve">, and</w:t>
      </w:r>
      <w:r>
        <w:rPr>
          <w:iCs/>
          <w:i/>
        </w:rPr>
        <w:t xml:space="preserve"> </w:t>
      </w:r>
      <w:r>
        <w:rPr>
          <w:iCs/>
          <w:i/>
        </w:rPr>
        <w:t xml:space="preserve">Related Material</w:t>
      </w:r>
      <w:r>
        <w:t xml:space="preserve">.</w:t>
      </w:r>
      <w:r>
        <w:t xml:space="preserve"> </w:t>
      </w:r>
      <w:r>
        <w:t xml:space="preserve">Classroom Assessment Research Team (CART)</w:t>
      </w:r>
      <w:r>
        <w:t xml:space="preserve">.</w:t>
      </w:r>
    </w:p>
    <w:bookmarkEnd w:id="73"/>
    <w:bookmarkStart w:id="75"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74">
        <w:r>
          <w:rPr>
            <w:rStyle w:val="Hyperlink"/>
          </w:rPr>
          <w:t xml:space="preserve">https://doi.org/gj5v98</w:t>
        </w:r>
      </w:hyperlink>
    </w:p>
    <w:bookmarkEnd w:id="75"/>
    <w:bookmarkStart w:id="77"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76">
        <w:r>
          <w:rPr>
            <w:rStyle w:val="Hyperlink"/>
          </w:rPr>
          <w:t xml:space="preserve">https://doi.org/gh5k63</w:t>
        </w:r>
      </w:hyperlink>
    </w:p>
    <w:bookmarkEnd w:id="77"/>
    <w:bookmarkStart w:id="79" w:name="Xedee9bc10fe7ddda531b14b05542852ae9f5f1e"/>
    <w:p>
      <w:pPr>
        <w:pStyle w:val="Bibliography"/>
      </w:pPr>
      <w:r>
        <w:t xml:space="preserve">DeLuca, C., LaPointe-McEwan, D., &amp; Luhanga, U. (2016a).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78">
        <w:r>
          <w:rPr>
            <w:rStyle w:val="Hyperlink"/>
          </w:rPr>
          <w:t xml:space="preserve">https://doi.org/gfgtsg</w:t>
        </w:r>
      </w:hyperlink>
    </w:p>
    <w:bookmarkEnd w:id="79"/>
    <w:bookmarkStart w:id="81" w:name="ref-delucaTeacherAssessmentLiteracy2016"/>
    <w:p>
      <w:pPr>
        <w:pStyle w:val="Bibliography"/>
      </w:pPr>
      <w:r>
        <w:t xml:space="preserve">DeLuca, C., LaPointe-McEwan, D., &amp; Luhanga, U. (2016b). Teacher assessment literacy: A review of international standards and measures.</w:t>
      </w:r>
      <w:r>
        <w:t xml:space="preserve"> </w:t>
      </w:r>
      <w:r>
        <w:rPr>
          <w:iCs/>
          <w:i/>
        </w:rPr>
        <w:t xml:space="preserve">Educational Assessment, Evaluation and Accountability</w:t>
      </w:r>
      <w:r>
        <w:t xml:space="preserve">,</w:t>
      </w:r>
      <w:r>
        <w:t xml:space="preserve"> </w:t>
      </w:r>
      <w:r>
        <w:rPr>
          <w:iCs/>
          <w:i/>
        </w:rPr>
        <w:t xml:space="preserve">28</w:t>
      </w:r>
      <w:r>
        <w:t xml:space="preserve">, 251–272.</w:t>
      </w:r>
      <w:r>
        <w:t xml:space="preserve"> </w:t>
      </w:r>
      <w:hyperlink r:id="rId80">
        <w:r>
          <w:rPr>
            <w:rStyle w:val="Hyperlink"/>
          </w:rPr>
          <w:t xml:space="preserve">https://doi.org/f828mh</w:t>
        </w:r>
      </w:hyperlink>
    </w:p>
    <w:bookmarkEnd w:id="81"/>
    <w:bookmarkStart w:id="83"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82">
        <w:r>
          <w:rPr>
            <w:rStyle w:val="Hyperlink"/>
          </w:rPr>
          <w:t xml:space="preserve">https://doi.org/gjxvc7</w:t>
        </w:r>
      </w:hyperlink>
    </w:p>
    <w:bookmarkEnd w:id="83"/>
    <w:bookmarkStart w:id="85"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84">
        <w:r>
          <w:rPr>
            <w:rStyle w:val="Hyperlink"/>
          </w:rPr>
          <w:t xml:space="preserve">https://doi.org/gh5k6p</w:t>
        </w:r>
      </w:hyperlink>
    </w:p>
    <w:bookmarkEnd w:id="85"/>
    <w:bookmarkStart w:id="86"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86"/>
    <w:bookmarkStart w:id="88"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87">
        <w:r>
          <w:rPr>
            <w:rStyle w:val="Hyperlink"/>
          </w:rPr>
          <w:t xml:space="preserve">https://doi.org/ctccpq</w:t>
        </w:r>
      </w:hyperlink>
    </w:p>
    <w:bookmarkEnd w:id="88"/>
    <w:bookmarkStart w:id="89"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89"/>
    <w:bookmarkStart w:id="90" w:name="ref-frantzSpeakSpell2014"/>
    <w:p>
      <w:pPr>
        <w:pStyle w:val="Bibliography"/>
      </w:pPr>
      <w:r>
        <w:t xml:space="preserve">Frantz, G.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p>
    <w:bookmarkEnd w:id="90"/>
    <w:bookmarkStart w:id="91"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91"/>
    <w:bookmarkStart w:id="93" w:name="Xe3aa0c16cb2acc5791f9f0bae56342b4d10012d"/>
    <w:p>
      <w:pPr>
        <w:pStyle w:val="Bibliography"/>
      </w:pPr>
      <w:r>
        <w:t xml:space="preserve">Herppich, S., Praetorius, A.-K., Förster, N., Glogger-Frey, I., Karst, K., Leutner, D., Behrmann, L., Böhmer, M., Ufer, S., Klug, J., Hetmanek, A., Ohle, A., Böhmer, I., Karing, C., Kaiser, J., &amp; Südkamp, A. (2018). 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w:t>
      </w:r>
      <w:r>
        <w:t xml:space="preserve"> </w:t>
      </w:r>
      <w:r>
        <w:rPr>
          <w:iCs/>
          <w:i/>
        </w:rPr>
        <w:t xml:space="preserve">76</w:t>
      </w:r>
      <w:r>
        <w:t xml:space="preserve">, 181–193.</w:t>
      </w:r>
      <w:r>
        <w:t xml:space="preserve"> </w:t>
      </w:r>
      <w:hyperlink r:id="rId92">
        <w:r>
          <w:rPr>
            <w:rStyle w:val="Hyperlink"/>
          </w:rPr>
          <w:t xml:space="preserve">https://doi.org/gfjsvn</w:t>
        </w:r>
      </w:hyperlink>
    </w:p>
    <w:bookmarkEnd w:id="93"/>
    <w:bookmarkStart w:id="94" w:name="ref-irvineLandscapeMergingModalities2020"/>
    <w:p>
      <w:pPr>
        <w:pStyle w:val="Bibliography"/>
      </w:pPr>
      <w:r>
        <w:t xml:space="preserve">Irvine, V. (2020). The</w:t>
      </w:r>
      <w:r>
        <w:t xml:space="preserve"> </w:t>
      </w:r>
      <w:r>
        <w:t xml:space="preserve">Landscape</w:t>
      </w:r>
      <w:r>
        <w:t xml:space="preserve"> </w:t>
      </w:r>
      <w:r>
        <w:t xml:space="preserve">of merging modalities.</w:t>
      </w:r>
      <w:r>
        <w:t xml:space="preserve"> </w:t>
      </w:r>
      <w:r>
        <w:rPr>
          <w:iCs/>
          <w:i/>
        </w:rPr>
        <w:t xml:space="preserve">EDUCAUSE Review</w:t>
      </w:r>
      <w:r>
        <w:t xml:space="preserve">,</w:t>
      </w:r>
      <w:r>
        <w:t xml:space="preserve"> </w:t>
      </w:r>
      <w:r>
        <w:rPr>
          <w:iCs/>
          <w:i/>
        </w:rPr>
        <w:t xml:space="preserve">2020</w:t>
      </w:r>
      <w:r>
        <w:t xml:space="preserve">(4), 40–58.</w:t>
      </w:r>
    </w:p>
    <w:bookmarkEnd w:id="94"/>
    <w:bookmarkStart w:id="96" w:name="ref-jonesStudentWellbeingAssessment2021"/>
    <w:p>
      <w:pPr>
        <w:pStyle w:val="Bibliography"/>
      </w:pPr>
      <w:r>
        <w:t xml:space="preserve">Jones, E., Priestley, M., Brewster, L., Wilbraham, S. J., Hughes, G., &amp; Spanner, L. (2021). Student wellbeing and assessment in higher education: The balancing act.</w:t>
      </w:r>
      <w:r>
        <w:t xml:space="preserve"> </w:t>
      </w:r>
      <w:r>
        <w:rPr>
          <w:iCs/>
          <w:i/>
        </w:rPr>
        <w:t xml:space="preserve">Assessment &amp; Evaluation in Higher Education</w:t>
      </w:r>
      <w:r>
        <w:t xml:space="preserve">,</w:t>
      </w:r>
      <w:r>
        <w:t xml:space="preserve"> </w:t>
      </w:r>
      <w:r>
        <w:rPr>
          <w:iCs/>
          <w:i/>
        </w:rPr>
        <w:t xml:space="preserve">46</w:t>
      </w:r>
      <w:r>
        <w:t xml:space="preserve">(3), 438–450.</w:t>
      </w:r>
      <w:r>
        <w:t xml:space="preserve"> </w:t>
      </w:r>
      <w:hyperlink r:id="rId95">
        <w:r>
          <w:rPr>
            <w:rStyle w:val="Hyperlink"/>
          </w:rPr>
          <w:t xml:space="preserve">https://doi.org/gk36pd</w:t>
        </w:r>
      </w:hyperlink>
    </w:p>
    <w:bookmarkEnd w:id="96"/>
    <w:bookmarkStart w:id="97"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97"/>
    <w:bookmarkStart w:id="99" w:name="Xcf88c9b5dbcbac8629742c94c8d713b40740bc0"/>
    <w:p>
      <w:pPr>
        <w:pStyle w:val="Bibliography"/>
      </w:pPr>
      <w:r>
        <w:t xml:space="preserve">Lin, Q., Yin, Y., Tang, X., Hadad, R., &amp; Zhai, X. (2020). 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w:t>
      </w:r>
      <w:r>
        <w:t xml:space="preserve"> </w:t>
      </w:r>
      <w:r>
        <w:rPr>
          <w:iCs/>
          <w:i/>
        </w:rPr>
        <w:t xml:space="preserve">157</w:t>
      </w:r>
      <w:r>
        <w:t xml:space="preserve">, 103944.</w:t>
      </w:r>
      <w:r>
        <w:t xml:space="preserve"> </w:t>
      </w:r>
      <w:hyperlink r:id="rId98">
        <w:r>
          <w:rPr>
            <w:rStyle w:val="Hyperlink"/>
          </w:rPr>
          <w:t xml:space="preserve">https://doi.org/ghgzp9</w:t>
        </w:r>
      </w:hyperlink>
    </w:p>
    <w:bookmarkEnd w:id="99"/>
    <w:bookmarkStart w:id="101"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100">
        <w:r>
          <w:rPr>
            <w:rStyle w:val="Hyperlink"/>
          </w:rPr>
          <w:t xml:space="preserve">https://doi.org/ghjw3k</w:t>
        </w:r>
      </w:hyperlink>
    </w:p>
    <w:bookmarkEnd w:id="101"/>
    <w:bookmarkStart w:id="103"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102">
        <w:r>
          <w:rPr>
            <w:rStyle w:val="Hyperlink"/>
          </w:rPr>
          <w:t xml:space="preserve">https://doi.org/gj5ngz</w:t>
        </w:r>
      </w:hyperlink>
    </w:p>
    <w:bookmarkEnd w:id="103"/>
    <w:bookmarkStart w:id="105"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104">
        <w:r>
          <w:rPr>
            <w:rStyle w:val="Hyperlink"/>
          </w:rPr>
          <w:t xml:space="preserve">https://doi.org/gk5sph</w:t>
        </w:r>
      </w:hyperlink>
    </w:p>
    <w:bookmarkEnd w:id="105"/>
    <w:bookmarkStart w:id="107" w:name="X176a232588f05c4bc332011296c94f6bd1d0211"/>
    <w:p>
      <w:pPr>
        <w:pStyle w:val="Bibliography"/>
      </w:pPr>
      <w:r>
        <w:t xml:space="preserve">Milligan, S. (2020). Standards for</w:t>
      </w:r>
      <w:r>
        <w:t xml:space="preserve"> </w:t>
      </w:r>
      <w:r>
        <w:t xml:space="preserve">Developing Assessments</w:t>
      </w:r>
      <w:r>
        <w:t xml:space="preserve"> </w:t>
      </w:r>
      <w:r>
        <w:t xml:space="preserve">of</w:t>
      </w:r>
      <w:r>
        <w:t xml:space="preserve"> </w:t>
      </w:r>
      <w:r>
        <w:t xml:space="preserve">Learning Using Process Data</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179–192).</w:t>
      </w:r>
      <w:r>
        <w:t xml:space="preserve"> </w:t>
      </w:r>
      <w:r>
        <w:t xml:space="preserve">Springer International Publishing</w:t>
      </w:r>
      <w:r>
        <w:t xml:space="preserve">.</w:t>
      </w:r>
      <w:r>
        <w:t xml:space="preserve"> </w:t>
      </w:r>
      <w:hyperlink r:id="rId106">
        <w:r>
          <w:rPr>
            <w:rStyle w:val="Hyperlink"/>
          </w:rPr>
          <w:t xml:space="preserve">https://doi.org/10.1007/978-3-030-41956-1_13</w:t>
        </w:r>
      </w:hyperlink>
    </w:p>
    <w:bookmarkEnd w:id="107"/>
    <w:bookmarkStart w:id="109"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108">
        <w:r>
          <w:rPr>
            <w:rStyle w:val="Hyperlink"/>
          </w:rPr>
          <w:t xml:space="preserve">https://doi.org/gjm236</w:t>
        </w:r>
      </w:hyperlink>
    </w:p>
    <w:bookmarkEnd w:id="109"/>
    <w:bookmarkStart w:id="111"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110">
        <w:r>
          <w:rPr>
            <w:rStyle w:val="Hyperlink"/>
          </w:rPr>
          <w:t xml:space="preserve">https://doi.org/cgqtqx</w:t>
        </w:r>
      </w:hyperlink>
    </w:p>
    <w:bookmarkEnd w:id="111"/>
    <w:bookmarkStart w:id="113" w:name="Xb8ef97dcd64a46920c7df0026dc0b714b2ee92d"/>
    <w:p>
      <w:pPr>
        <w:pStyle w:val="Bibliography"/>
      </w:pPr>
      <w:r>
        <w:t xml:space="preserve">O’Donnell, M. (2020). Assessment as and of</w:t>
      </w:r>
      <w:r>
        <w:t xml:space="preserve"> </w:t>
      </w:r>
      <w:r>
        <w:t xml:space="preserve">Digital Practice</w:t>
      </w:r>
      <w:r>
        <w:t xml:space="preserve">:</w:t>
      </w:r>
      <w:r>
        <w:t xml:space="preserve"> </w:t>
      </w:r>
      <w:r>
        <w:t xml:space="preserve">Building Productive Digital Literacies</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111–125).</w:t>
      </w:r>
      <w:r>
        <w:t xml:space="preserve"> </w:t>
      </w:r>
      <w:r>
        <w:t xml:space="preserve">Springer International Publishing</w:t>
      </w:r>
      <w:r>
        <w:t xml:space="preserve">.</w:t>
      </w:r>
      <w:r>
        <w:t xml:space="preserve"> </w:t>
      </w:r>
      <w:hyperlink r:id="rId112">
        <w:r>
          <w:rPr>
            <w:rStyle w:val="Hyperlink"/>
          </w:rPr>
          <w:t xml:space="preserve">https://doi.org/10.1007/978-3-030-41956-1_9</w:t>
        </w:r>
      </w:hyperlink>
    </w:p>
    <w:bookmarkEnd w:id="113"/>
    <w:bookmarkStart w:id="115"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114">
        <w:r>
          <w:rPr>
            <w:rStyle w:val="Hyperlink"/>
          </w:rPr>
          <w:t xml:space="preserve">https://doi.org/d89z7p</w:t>
        </w:r>
      </w:hyperlink>
    </w:p>
    <w:bookmarkEnd w:id="115"/>
    <w:bookmarkStart w:id="116" w:name="ref-oldfieldAssessmentDigitalAge2012"/>
    <w:p>
      <w:pPr>
        <w:pStyle w:val="Bibliography"/>
      </w:pPr>
      <w:r>
        <w:t xml:space="preserve">Oldfield, A., Broadfoot, P., Sutherland, R., &amp; Timmis, S. (2012).</w:t>
      </w:r>
      <w:r>
        <w:t xml:space="preserve"> </w:t>
      </w:r>
      <w:r>
        <w:rPr>
          <w:iCs/>
          <w:i/>
        </w:rPr>
        <w:t xml:space="preserve">Assessment in a</w:t>
      </w:r>
      <w:r>
        <w:rPr>
          <w:iCs/>
          <w:i/>
        </w:rPr>
        <w:t xml:space="preserve"> </w:t>
      </w:r>
      <w:r>
        <w:rPr>
          <w:iCs/>
          <w:i/>
        </w:rPr>
        <w:t xml:space="preserve">Digital Age</w:t>
      </w:r>
      <w:r>
        <w:rPr>
          <w:iCs/>
          <w:i/>
        </w:rPr>
        <w:t xml:space="preserve">:</w:t>
      </w:r>
      <w:r>
        <w:rPr>
          <w:iCs/>
          <w:i/>
        </w:rPr>
        <w:t xml:space="preserve"> </w:t>
      </w:r>
      <w:r>
        <w:rPr>
          <w:iCs/>
          <w:i/>
        </w:rPr>
        <w:t xml:space="preserve">A</w:t>
      </w:r>
      <w:r>
        <w:rPr>
          <w:iCs/>
          <w:i/>
        </w:rPr>
        <w:t xml:space="preserve"> </w:t>
      </w:r>
      <w:r>
        <w:rPr>
          <w:iCs/>
          <w:i/>
        </w:rPr>
        <w:t xml:space="preserve">research review</w:t>
      </w:r>
      <w:r>
        <w:t xml:space="preserve">.</w:t>
      </w:r>
      <w:r>
        <w:t xml:space="preserve"> </w:t>
      </w:r>
      <w:r>
        <w:t xml:space="preserve">Graduate School of Education, University of Bristol</w:t>
      </w:r>
      <w:r>
        <w:t xml:space="preserve">.</w:t>
      </w:r>
    </w:p>
    <w:bookmarkEnd w:id="116"/>
    <w:bookmarkStart w:id="118" w:name="ref-pardoBidirectionalEffectData2020"/>
    <w:p>
      <w:pPr>
        <w:pStyle w:val="Bibliography"/>
      </w:pPr>
      <w:r>
        <w:t xml:space="preserve">Pardo, A., &amp; Reimann, P. (2020). The</w:t>
      </w:r>
      <w:r>
        <w:t xml:space="preserve"> </w:t>
      </w:r>
      <w:r>
        <w:t xml:space="preserve">Bi-directional Effect Between Data</w:t>
      </w:r>
      <w:r>
        <w:t xml:space="preserve"> </w:t>
      </w:r>
      <w:r>
        <w:t xml:space="preserve">and</w:t>
      </w:r>
      <w:r>
        <w:t xml:space="preserve"> </w:t>
      </w:r>
      <w:r>
        <w:t xml:space="preserve">Assessments</w:t>
      </w:r>
      <w:r>
        <w:t xml:space="preserve"> </w:t>
      </w:r>
      <w:r>
        <w:t xml:space="preserve">in the</w:t>
      </w:r>
      <w:r>
        <w:t xml:space="preserve"> </w:t>
      </w:r>
      <w:r>
        <w:t xml:space="preserve">Digital Age</w:t>
      </w:r>
      <w:r>
        <w:t xml:space="preserve">. In M. Bearman, P. Dawson, R. Ajjawi, J. Tai, &amp; D. Boud (Eds.),</w:t>
      </w:r>
      <w:r>
        <w:t xml:space="preserve"> </w:t>
      </w:r>
      <w:r>
        <w:rPr>
          <w:iCs/>
          <w:i/>
        </w:rPr>
        <w:t xml:space="preserve">Re-imagining</w:t>
      </w:r>
      <w:r>
        <w:rPr>
          <w:iCs/>
          <w:i/>
        </w:rPr>
        <w:t xml:space="preserve"> </w:t>
      </w:r>
      <w:r>
        <w:rPr>
          <w:iCs/>
          <w:i/>
        </w:rPr>
        <w:t xml:space="preserve">University Assessment</w:t>
      </w:r>
      <w:r>
        <w:rPr>
          <w:iCs/>
          <w:i/>
        </w:rPr>
        <w:t xml:space="preserve"> </w:t>
      </w:r>
      <w:r>
        <w:rPr>
          <w:iCs/>
          <w:i/>
        </w:rPr>
        <w:t xml:space="preserve">in a</w:t>
      </w:r>
      <w:r>
        <w:rPr>
          <w:iCs/>
          <w:i/>
        </w:rPr>
        <w:t xml:space="preserve"> </w:t>
      </w:r>
      <w:r>
        <w:rPr>
          <w:iCs/>
          <w:i/>
        </w:rPr>
        <w:t xml:space="preserve">Digital World</w:t>
      </w:r>
      <w:r>
        <w:t xml:space="preserve"> </w:t>
      </w:r>
      <w:r>
        <w:t xml:space="preserve">(Vol. 7, pp. 165–178).</w:t>
      </w:r>
      <w:r>
        <w:t xml:space="preserve"> </w:t>
      </w:r>
      <w:r>
        <w:t xml:space="preserve">Springer International Publishing</w:t>
      </w:r>
      <w:r>
        <w:t xml:space="preserve">.</w:t>
      </w:r>
      <w:r>
        <w:t xml:space="preserve"> </w:t>
      </w:r>
      <w:hyperlink r:id="rId117">
        <w:r>
          <w:rPr>
            <w:rStyle w:val="Hyperlink"/>
          </w:rPr>
          <w:t xml:space="preserve">https://doi.org/10.1007/978-3-030-41956-1_12</w:t>
        </w:r>
      </w:hyperlink>
    </w:p>
    <w:bookmarkEnd w:id="118"/>
    <w:bookmarkStart w:id="120"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119">
        <w:r>
          <w:rPr>
            <w:rStyle w:val="Hyperlink"/>
          </w:rPr>
          <w:t xml:space="preserve">https://doi.org/gh5k7b</w:t>
        </w:r>
      </w:hyperlink>
    </w:p>
    <w:bookmarkEnd w:id="120"/>
    <w:bookmarkStart w:id="122"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121">
        <w:r>
          <w:rPr>
            <w:rStyle w:val="Hyperlink"/>
          </w:rPr>
          <w:t xml:space="preserve">https://doi.org/10.17226/10019</w:t>
        </w:r>
      </w:hyperlink>
    </w:p>
    <w:bookmarkEnd w:id="122"/>
    <w:bookmarkStart w:id="124"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123">
        <w:r>
          <w:rPr>
            <w:rStyle w:val="Hyperlink"/>
          </w:rPr>
          <w:t xml:space="preserve">https://doi.org/ggfh8z</w:t>
        </w:r>
      </w:hyperlink>
    </w:p>
    <w:bookmarkEnd w:id="124"/>
    <w:bookmarkStart w:id="126"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125">
        <w:r>
          <w:rPr>
            <w:rStyle w:val="Hyperlink"/>
          </w:rPr>
          <w:t xml:space="preserve">https://doi.org/dctz5h</w:t>
        </w:r>
      </w:hyperlink>
    </w:p>
    <w:bookmarkEnd w:id="126"/>
    <w:bookmarkStart w:id="127" w:name="ref-presseyMachineAutomaticTeaching1927"/>
    <w:p>
      <w:pPr>
        <w:pStyle w:val="Bibliography"/>
      </w:pPr>
      <w:r>
        <w:t xml:space="preserve">Pressey, S. L. (1927). A machine for automatic teaching of drill material.</w:t>
      </w:r>
      <w:r>
        <w:t xml:space="preserve"> </w:t>
      </w:r>
      <w:r>
        <w:rPr>
          <w:iCs/>
          <w:i/>
        </w:rPr>
        <w:t xml:space="preserve">School &amp; Society</w:t>
      </w:r>
      <w:r>
        <w:t xml:space="preserve">,</w:t>
      </w:r>
      <w:r>
        <w:t xml:space="preserve"> </w:t>
      </w:r>
      <w:r>
        <w:rPr>
          <w:iCs/>
          <w:i/>
        </w:rPr>
        <w:t xml:space="preserve">25</w:t>
      </w:r>
      <w:r>
        <w:t xml:space="preserve">, 549–552.</w:t>
      </w:r>
    </w:p>
    <w:bookmarkEnd w:id="127"/>
    <w:bookmarkStart w:id="129" w:name="ref-priceIfWasGoing2011"/>
    <w:p>
      <w:pPr>
        <w:pStyle w:val="Bibliography"/>
      </w:pPr>
      <w:r>
        <w:t xml:space="preserve">Price, M., Carroll, J., O’Donovan, B., &amp; Rust, C. (2011). 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w:t>
      </w:r>
      <w:r>
        <w:t xml:space="preserve"> </w:t>
      </w:r>
      <w:r>
        <w:rPr>
          <w:iCs/>
          <w:i/>
        </w:rPr>
        <w:t xml:space="preserve">36</w:t>
      </w:r>
      <w:r>
        <w:t xml:space="preserve">(4), 479–492.</w:t>
      </w:r>
      <w:r>
        <w:t xml:space="preserve"> </w:t>
      </w:r>
      <w:hyperlink r:id="rId128">
        <w:r>
          <w:rPr>
            <w:rStyle w:val="Hyperlink"/>
          </w:rPr>
          <w:t xml:space="preserve">https://doi.org/d4sz5m</w:t>
        </w:r>
      </w:hyperlink>
    </w:p>
    <w:bookmarkEnd w:id="129"/>
    <w:bookmarkStart w:id="130" w:name="ref-scrivenMethodologyEvaluation1967"/>
    <w:p>
      <w:pPr>
        <w:pStyle w:val="Bibliography"/>
      </w:pPr>
      <w:r>
        <w:t xml:space="preserve">Scriven, M. (1967). The methodology of evaluation. In B. O. Smith (Ed.),</w:t>
      </w:r>
      <w:r>
        <w:t xml:space="preserve"> </w:t>
      </w:r>
      <w:r>
        <w:rPr>
          <w:iCs/>
          <w:i/>
        </w:rPr>
        <w:t xml:space="preserve">Perspectives of curriculum evaluation</w:t>
      </w:r>
      <w:r>
        <w:t xml:space="preserve">.</w:t>
      </w:r>
      <w:r>
        <w:t xml:space="preserve"> </w:t>
      </w:r>
      <w:r>
        <w:t xml:space="preserve">Rand McNally</w:t>
      </w:r>
      <w:r>
        <w:t xml:space="preserve">.</w:t>
      </w:r>
    </w:p>
    <w:bookmarkEnd w:id="130"/>
    <w:bookmarkStart w:id="132"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131">
        <w:r>
          <w:rPr>
            <w:rStyle w:val="Hyperlink"/>
          </w:rPr>
          <w:t xml:space="preserve">https://doi.org/cw9jwc</w:t>
        </w:r>
      </w:hyperlink>
    </w:p>
    <w:bookmarkEnd w:id="132"/>
    <w:bookmarkStart w:id="133" w:name="ref-shute21stCenturyAssessment2010"/>
    <w:p>
      <w:pPr>
        <w:pStyle w:val="Bibliography"/>
      </w:pPr>
      <w:r>
        <w:t xml:space="preserve">Shute, V. J., Dennen, V. P., Kim, Y., Donmez, O., &amp; Wang, C. (2010).</w:t>
      </w:r>
      <w:r>
        <w:t xml:space="preserve"> </w:t>
      </w:r>
      <w:r>
        <w:rPr>
          <w:iCs/>
          <w:i/>
        </w:rPr>
        <w:t xml:space="preserve">21st century assessment to promote 21st century learning:</w:t>
      </w:r>
      <w:r>
        <w:rPr>
          <w:iCs/>
          <w:i/>
        </w:rPr>
        <w:t xml:space="preserve"> </w:t>
      </w:r>
      <w:r>
        <w:rPr>
          <w:iCs/>
          <w:i/>
        </w:rPr>
        <w:t xml:space="preserve">The</w:t>
      </w:r>
      <w:r>
        <w:rPr>
          <w:iCs/>
          <w:i/>
        </w:rPr>
        <w:t xml:space="preserve"> </w:t>
      </w:r>
      <w:r>
        <w:rPr>
          <w:iCs/>
          <w:i/>
        </w:rPr>
        <w:t xml:space="preserve">benefits of blinking</w:t>
      </w:r>
      <w:r>
        <w:t xml:space="preserve">.</w:t>
      </w:r>
    </w:p>
    <w:bookmarkEnd w:id="133"/>
    <w:bookmarkStart w:id="135" w:name="ref-shuteStealthAssessmentCreativity2021"/>
    <w:p>
      <w:pPr>
        <w:pStyle w:val="Bibliography"/>
      </w:pPr>
      <w:r>
        <w:t xml:space="preserve">Shute, V. J., &amp; Rahimi, S. (2021). Stealth assessment of creativity in a physics video game.</w:t>
      </w:r>
      <w:r>
        <w:t xml:space="preserve"> </w:t>
      </w:r>
      <w:r>
        <w:rPr>
          <w:iCs/>
          <w:i/>
        </w:rPr>
        <w:t xml:space="preserve">Computers in Human Behavior</w:t>
      </w:r>
      <w:r>
        <w:t xml:space="preserve">,</w:t>
      </w:r>
      <w:r>
        <w:t xml:space="preserve"> </w:t>
      </w:r>
      <w:r>
        <w:rPr>
          <w:iCs/>
          <w:i/>
        </w:rPr>
        <w:t xml:space="preserve">116</w:t>
      </w:r>
      <w:r>
        <w:t xml:space="preserve">, 106647.</w:t>
      </w:r>
      <w:r>
        <w:t xml:space="preserve"> </w:t>
      </w:r>
      <w:hyperlink r:id="rId134">
        <w:r>
          <w:rPr>
            <w:rStyle w:val="Hyperlink"/>
          </w:rPr>
          <w:t xml:space="preserve">https://doi.org/10.1016/j.chb.2020.106647</w:t>
        </w:r>
      </w:hyperlink>
    </w:p>
    <w:bookmarkEnd w:id="135"/>
    <w:bookmarkStart w:id="136"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36"/>
    <w:bookmarkStart w:id="138" w:name="X88b1c0c95c5ecb040b63ac0eab37de36c7ef351"/>
    <w:p>
      <w:pPr>
        <w:pStyle w:val="Bibliography"/>
      </w:pPr>
      <w:r>
        <w:t xml:space="preserve">Smith Glasgow, M. E., Dreher, H. M., &amp; Schreiber, J. (2019). Standardized testing in nursing education:</w:t>
      </w:r>
      <w:r>
        <w:t xml:space="preserve"> </w:t>
      </w:r>
      <w:r>
        <w:t xml:space="preserve">Preparing</w:t>
      </w:r>
      <w:r>
        <w:t xml:space="preserve"> </w:t>
      </w:r>
      <w:r>
        <w:t xml:space="preserve">students for</w:t>
      </w:r>
      <w:r>
        <w:t xml:space="preserve"> </w:t>
      </w:r>
      <w:r>
        <w:t xml:space="preserve">NCLEX-RN</w:t>
      </w:r>
      <w:r>
        <w:t xml:space="preserve"> </w:t>
      </w:r>
      <w:r>
        <w:t xml:space="preserve">and practice.</w:t>
      </w:r>
      <w:r>
        <w:t xml:space="preserve"> </w:t>
      </w:r>
      <w:r>
        <w:rPr>
          <w:iCs/>
          <w:i/>
        </w:rPr>
        <w:t xml:space="preserve">Journal of Professional Nursing</w:t>
      </w:r>
      <w:r>
        <w:t xml:space="preserve">,</w:t>
      </w:r>
      <w:r>
        <w:t xml:space="preserve"> </w:t>
      </w:r>
      <w:r>
        <w:rPr>
          <w:iCs/>
          <w:i/>
        </w:rPr>
        <w:t xml:space="preserve">35</w:t>
      </w:r>
      <w:r>
        <w:t xml:space="preserve">(6), 440–446.</w:t>
      </w:r>
      <w:r>
        <w:t xml:space="preserve"> </w:t>
      </w:r>
      <w:hyperlink r:id="rId137">
        <w:r>
          <w:rPr>
            <w:rStyle w:val="Hyperlink"/>
          </w:rPr>
          <w:t xml:space="preserve">https://doi.org/ggqh9p</w:t>
        </w:r>
      </w:hyperlink>
    </w:p>
    <w:bookmarkEnd w:id="138"/>
    <w:bookmarkStart w:id="140" w:name="ref-stadlerFirstEqualsLog2020"/>
    <w:p>
      <w:pPr>
        <w:pStyle w:val="Bibliography"/>
      </w:pPr>
      <w:r>
        <w:t xml:space="preserve">Stadler, M., Hofer, S., &amp; Greiff, S. (2020). First among equals:</w:t>
      </w:r>
      <w:r>
        <w:t xml:space="preserve"> </w:t>
      </w:r>
      <w:r>
        <w:t xml:space="preserve">Log</w:t>
      </w:r>
      <w:r>
        <w:t xml:space="preserve"> </w:t>
      </w:r>
      <w:r>
        <w:t xml:space="preserve">data indicates ability differences despite equal scores.</w:t>
      </w:r>
      <w:r>
        <w:t xml:space="preserve"> </w:t>
      </w:r>
      <w:r>
        <w:rPr>
          <w:iCs/>
          <w:i/>
        </w:rPr>
        <w:t xml:space="preserve">Computers in Human Behavior</w:t>
      </w:r>
      <w:r>
        <w:t xml:space="preserve">,</w:t>
      </w:r>
      <w:r>
        <w:t xml:space="preserve"> </w:t>
      </w:r>
      <w:r>
        <w:rPr>
          <w:iCs/>
          <w:i/>
        </w:rPr>
        <w:t xml:space="preserve">111</w:t>
      </w:r>
      <w:r>
        <w:t xml:space="preserve">, 106442.</w:t>
      </w:r>
      <w:r>
        <w:t xml:space="preserve"> </w:t>
      </w:r>
      <w:hyperlink r:id="rId139">
        <w:r>
          <w:rPr>
            <w:rStyle w:val="Hyperlink"/>
          </w:rPr>
          <w:t xml:space="preserve">https://doi.org/10.1016/j.chb.2020.106442</w:t>
        </w:r>
      </w:hyperlink>
    </w:p>
    <w:bookmarkEnd w:id="140"/>
    <w:bookmarkStart w:id="141"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American Educational Research Association</w:t>
      </w:r>
      <w:r>
        <w:t xml:space="preserve">.</w:t>
      </w:r>
    </w:p>
    <w:bookmarkEnd w:id="141"/>
    <w:bookmarkStart w:id="142"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42"/>
    <w:bookmarkStart w:id="143"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43"/>
    <w:bookmarkStart w:id="144"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44"/>
    <w:bookmarkStart w:id="146"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45">
        <w:r>
          <w:rPr>
            <w:rStyle w:val="Hyperlink"/>
          </w:rPr>
          <w:t xml:space="preserve">https://doi.org/gftz95</w:t>
        </w:r>
      </w:hyperlink>
    </w:p>
    <w:bookmarkEnd w:id="146"/>
    <w:bookmarkStart w:id="147"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47"/>
    <w:bookmarkStart w:id="148" w:name="ref-wattersSpeakSpellHistory2015"/>
    <w:p>
      <w:pPr>
        <w:pStyle w:val="Bibliography"/>
      </w:pPr>
      <w:r>
        <w:t xml:space="preserve">Watters, Audrey. (2015). Speak &amp;</w:t>
      </w:r>
      <w:r>
        <w:t xml:space="preserve"> </w:t>
      </w:r>
      <w:r>
        <w:t xml:space="preserve">Spell</w:t>
      </w:r>
      <w:r>
        <w:t xml:space="preserve">:</w:t>
      </w:r>
      <w:r>
        <w:t xml:space="preserve"> </w:t>
      </w:r>
      <w:r>
        <w:t xml:space="preserve">A History</w:t>
      </w:r>
      <w:r>
        <w:t xml:space="preserve">. In</w:t>
      </w:r>
      <w:r>
        <w:t xml:space="preserve"> </w:t>
      </w:r>
      <w:r>
        <w:rPr>
          <w:iCs/>
          <w:i/>
        </w:rPr>
        <w:t xml:space="preserve">Hack Education</w:t>
      </w:r>
      <w:r>
        <w:t xml:space="preserve">. http://hackeducation.com/2015/01/13/speak-and-spell.</w:t>
      </w:r>
    </w:p>
    <w:bookmarkEnd w:id="148"/>
    <w:bookmarkStart w:id="149"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p>
    <w:bookmarkEnd w:id="149"/>
    <w:bookmarkStart w:id="151"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50">
        <w:r>
          <w:rPr>
            <w:rStyle w:val="Hyperlink"/>
          </w:rPr>
          <w:t xml:space="preserve">https://doi.org/10.1007/978-3-319-71054-9_37</w:t>
        </w:r>
      </w:hyperlink>
    </w:p>
    <w:bookmarkEnd w:id="151"/>
    <w:bookmarkStart w:id="153"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52">
        <w:r>
          <w:rPr>
            <w:rStyle w:val="Hyperlink"/>
          </w:rPr>
          <w:t xml:space="preserve">https://doi.org/gh5k7d</w:t>
        </w:r>
      </w:hyperlink>
    </w:p>
    <w:bookmarkEnd w:id="153"/>
    <w:bookmarkStart w:id="154" w:name="ref-woldeab21stCenturyAssessment2019"/>
    <w:p>
      <w:pPr>
        <w:pStyle w:val="Bibliography"/>
      </w:pPr>
      <w:r>
        <w:t xml:space="preserve">Woldeab, D., &amp; Brothen, T. (2019). 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w:t>
      </w:r>
      <w:r>
        <w:t xml:space="preserve"> </w:t>
      </w:r>
      <w:r>
        <w:rPr>
          <w:iCs/>
          <w:i/>
        </w:rPr>
        <w:t xml:space="preserve">34</w:t>
      </w:r>
      <w:r>
        <w:t xml:space="preserve">(1).</w:t>
      </w:r>
    </w:p>
    <w:bookmarkEnd w:id="154"/>
    <w:bookmarkStart w:id="156"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155">
        <w:r>
          <w:rPr>
            <w:rStyle w:val="Hyperlink"/>
          </w:rPr>
          <w:t xml:space="preserve">https://doi.org/f8txgm</w:t>
        </w:r>
      </w:hyperlink>
    </w:p>
    <w:bookmarkEnd w:id="156"/>
    <w:bookmarkEnd w:id="157"/>
    <w:bookmarkEnd w:id="158"/>
    <w:bookmarkEnd w:id="159"/>
    <w:sectPr w:rsidR="00D72BB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8D5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C464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0815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3E9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C25F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9A5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4F1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48F0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2E56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448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117" Target="https://doi.org/10.1007/978-3-030-41956-1_12" TargetMode="External" /><Relationship Type="http://schemas.openxmlformats.org/officeDocument/2006/relationships/hyperlink" Id="rId106" Target="https://doi.org/10.1007/978-3-030-41956-1_13" TargetMode="External" /><Relationship Type="http://schemas.openxmlformats.org/officeDocument/2006/relationships/hyperlink" Id="rId112" Target="https://doi.org/10.1007/978-3-030-41956-1_9" TargetMode="External" /><Relationship Type="http://schemas.openxmlformats.org/officeDocument/2006/relationships/hyperlink" Id="rId55" Target="https://doi.org/10.1007/978-3-319-17727-4_64-1" TargetMode="External" /><Relationship Type="http://schemas.openxmlformats.org/officeDocument/2006/relationships/hyperlink" Id="rId150" Target="https://doi.org/10.1007/978-3-319-71054-9_37" TargetMode="External" /><Relationship Type="http://schemas.openxmlformats.org/officeDocument/2006/relationships/hyperlink" Id="rId139" Target="https://doi.org/10.1016/j.chb.2020.106442" TargetMode="External" /><Relationship Type="http://schemas.openxmlformats.org/officeDocument/2006/relationships/hyperlink" Id="rId134" Target="https://doi.org/10.1016/j.chb.2020.106647" TargetMode="External" /><Relationship Type="http://schemas.openxmlformats.org/officeDocument/2006/relationships/hyperlink" Id="rId71" Target="https://doi.org/10.1080/01626620.2012.730347" TargetMode="External" /><Relationship Type="http://schemas.openxmlformats.org/officeDocument/2006/relationships/hyperlink" Id="rId121" Target="https://doi.org/10.17226/10019" TargetMode="External" /><Relationship Type="http://schemas.openxmlformats.org/officeDocument/2006/relationships/hyperlink" Id="rId61" Target="https://doi.org/c3k8f5" TargetMode="External" /><Relationship Type="http://schemas.openxmlformats.org/officeDocument/2006/relationships/hyperlink" Id="rId45" Target="https://doi.org/ccdmd9" TargetMode="External" /><Relationship Type="http://schemas.openxmlformats.org/officeDocument/2006/relationships/hyperlink" Id="rId110" Target="https://doi.org/cgqtqx" TargetMode="External" /><Relationship Type="http://schemas.openxmlformats.org/officeDocument/2006/relationships/hyperlink" Id="rId43" Target="https://doi.org/chx3gp" TargetMode="External" /><Relationship Type="http://schemas.openxmlformats.org/officeDocument/2006/relationships/hyperlink" Id="rId49" Target="https://doi.org/cqgvs8" TargetMode="External" /><Relationship Type="http://schemas.openxmlformats.org/officeDocument/2006/relationships/hyperlink" Id="rId87" Target="https://doi.org/ctccpq" TargetMode="External" /><Relationship Type="http://schemas.openxmlformats.org/officeDocument/2006/relationships/hyperlink" Id="rId131" Target="https://doi.org/cw9jwc" TargetMode="External" /><Relationship Type="http://schemas.openxmlformats.org/officeDocument/2006/relationships/hyperlink" Id="rId57" Target="https://doi.org/cwcqj4" TargetMode="External" /><Relationship Type="http://schemas.openxmlformats.org/officeDocument/2006/relationships/hyperlink" Id="rId128" Target="https://doi.org/d4sz5m" TargetMode="External" /><Relationship Type="http://schemas.openxmlformats.org/officeDocument/2006/relationships/hyperlink" Id="rId114" Target="https://doi.org/d89z7p" TargetMode="External" /><Relationship Type="http://schemas.openxmlformats.org/officeDocument/2006/relationships/hyperlink" Id="rId63" Target="https://doi.org/d8wq" TargetMode="External" /><Relationship Type="http://schemas.openxmlformats.org/officeDocument/2006/relationships/hyperlink" Id="rId125" Target="https://doi.org/dctz5h" TargetMode="External" /><Relationship Type="http://schemas.openxmlformats.org/officeDocument/2006/relationships/hyperlink" Id="rId37" Target="https://doi.org/djgzjr" TargetMode="External" /><Relationship Type="http://schemas.openxmlformats.org/officeDocument/2006/relationships/hyperlink" Id="rId41" Target="https://doi.org/drgphk" TargetMode="External" /><Relationship Type="http://schemas.openxmlformats.org/officeDocument/2006/relationships/hyperlink" Id="rId69" Target="https://doi.org/dvd8nf" TargetMode="External" /><Relationship Type="http://schemas.openxmlformats.org/officeDocument/2006/relationships/hyperlink" Id="rId80" Target="https://doi.org/f828mh" TargetMode="External" /><Relationship Type="http://schemas.openxmlformats.org/officeDocument/2006/relationships/hyperlink" Id="rId155" Target="https://doi.org/f8txgm" TargetMode="External" /><Relationship Type="http://schemas.openxmlformats.org/officeDocument/2006/relationships/hyperlink" Id="rId51" Target="https://doi.org/fpnss4" TargetMode="External" /><Relationship Type="http://schemas.openxmlformats.org/officeDocument/2006/relationships/hyperlink" Id="rId39" Target="https://doi.org/ftmsvc" TargetMode="External" /><Relationship Type="http://schemas.openxmlformats.org/officeDocument/2006/relationships/hyperlink" Id="rId78" Target="https://doi.org/gfgtsg" TargetMode="External" /><Relationship Type="http://schemas.openxmlformats.org/officeDocument/2006/relationships/hyperlink" Id="rId92" Target="https://doi.org/gfjsvn" TargetMode="External" /><Relationship Type="http://schemas.openxmlformats.org/officeDocument/2006/relationships/hyperlink" Id="rId145" Target="https://doi.org/gftz95" TargetMode="External" /><Relationship Type="http://schemas.openxmlformats.org/officeDocument/2006/relationships/hyperlink" Id="rId123" Target="https://doi.org/ggfh8z" TargetMode="External" /><Relationship Type="http://schemas.openxmlformats.org/officeDocument/2006/relationships/hyperlink" Id="rId137" Target="https://doi.org/ggqh9p" TargetMode="External" /><Relationship Type="http://schemas.openxmlformats.org/officeDocument/2006/relationships/hyperlink" Id="rId67" Target="https://doi.org/gh5k4z" TargetMode="External" /><Relationship Type="http://schemas.openxmlformats.org/officeDocument/2006/relationships/hyperlink" Id="rId76" Target="https://doi.org/gh5k63" TargetMode="External" /><Relationship Type="http://schemas.openxmlformats.org/officeDocument/2006/relationships/hyperlink" Id="rId84" Target="https://doi.org/gh5k6p" TargetMode="External" /><Relationship Type="http://schemas.openxmlformats.org/officeDocument/2006/relationships/hyperlink" Id="rId119" Target="https://doi.org/gh5k7b" TargetMode="External" /><Relationship Type="http://schemas.openxmlformats.org/officeDocument/2006/relationships/hyperlink" Id="rId152" Target="https://doi.org/gh5k7d" TargetMode="External" /><Relationship Type="http://schemas.openxmlformats.org/officeDocument/2006/relationships/hyperlink" Id="rId65" Target="https://doi.org/ghdnhh" TargetMode="External" /><Relationship Type="http://schemas.openxmlformats.org/officeDocument/2006/relationships/hyperlink" Id="rId98" Target="https://doi.org/ghgzp9" TargetMode="External" /><Relationship Type="http://schemas.openxmlformats.org/officeDocument/2006/relationships/hyperlink" Id="rId100" Target="https://doi.org/ghjw3k" TargetMode="External" /><Relationship Type="http://schemas.openxmlformats.org/officeDocument/2006/relationships/hyperlink" Id="rId59" Target="https://doi.org/gj4tz6" TargetMode="External" /><Relationship Type="http://schemas.openxmlformats.org/officeDocument/2006/relationships/hyperlink" Id="rId102" Target="https://doi.org/gj5ngz" TargetMode="External" /><Relationship Type="http://schemas.openxmlformats.org/officeDocument/2006/relationships/hyperlink" Id="rId74" Target="https://doi.org/gj5v98" TargetMode="External" /><Relationship Type="http://schemas.openxmlformats.org/officeDocument/2006/relationships/hyperlink" Id="rId108" Target="https://doi.org/gjm236" TargetMode="External" /><Relationship Type="http://schemas.openxmlformats.org/officeDocument/2006/relationships/hyperlink" Id="rId35" Target="https://doi.org/gjsn3g" TargetMode="External" /><Relationship Type="http://schemas.openxmlformats.org/officeDocument/2006/relationships/hyperlink" Id="rId82" Target="https://doi.org/gjxvc7" TargetMode="External" /><Relationship Type="http://schemas.openxmlformats.org/officeDocument/2006/relationships/hyperlink" Id="rId95" Target="https://doi.org/gk36pd" TargetMode="External" /><Relationship Type="http://schemas.openxmlformats.org/officeDocument/2006/relationships/hyperlink" Id="rId104" Target="https://doi.org/gk5sph" TargetMode="External" /></Relationships>
</file>

<file path=word/_rels/footnotes.xml.rels><?xml version="1.0" encoding="UTF-8"?>
<Relationships xmlns="http://schemas.openxmlformats.org/package/2006/relationships"><Relationship Type="http://schemas.openxmlformats.org/officeDocument/2006/relationships/hyperlink" Id="rId117" Target="https://doi.org/10.1007/978-3-030-41956-1_12" TargetMode="External" /><Relationship Type="http://schemas.openxmlformats.org/officeDocument/2006/relationships/hyperlink" Id="rId106" Target="https://doi.org/10.1007/978-3-030-41956-1_13" TargetMode="External" /><Relationship Type="http://schemas.openxmlformats.org/officeDocument/2006/relationships/hyperlink" Id="rId112" Target="https://doi.org/10.1007/978-3-030-41956-1_9" TargetMode="External" /><Relationship Type="http://schemas.openxmlformats.org/officeDocument/2006/relationships/hyperlink" Id="rId55" Target="https://doi.org/10.1007/978-3-319-17727-4_64-1" TargetMode="External" /><Relationship Type="http://schemas.openxmlformats.org/officeDocument/2006/relationships/hyperlink" Id="rId150" Target="https://doi.org/10.1007/978-3-319-71054-9_37" TargetMode="External" /><Relationship Type="http://schemas.openxmlformats.org/officeDocument/2006/relationships/hyperlink" Id="rId139" Target="https://doi.org/10.1016/j.chb.2020.106442" TargetMode="External" /><Relationship Type="http://schemas.openxmlformats.org/officeDocument/2006/relationships/hyperlink" Id="rId134" Target="https://doi.org/10.1016/j.chb.2020.106647" TargetMode="External" /><Relationship Type="http://schemas.openxmlformats.org/officeDocument/2006/relationships/hyperlink" Id="rId71" Target="https://doi.org/10.1080/01626620.2012.730347" TargetMode="External" /><Relationship Type="http://schemas.openxmlformats.org/officeDocument/2006/relationships/hyperlink" Id="rId121" Target="https://doi.org/10.17226/10019" TargetMode="External" /><Relationship Type="http://schemas.openxmlformats.org/officeDocument/2006/relationships/hyperlink" Id="rId61" Target="https://doi.org/c3k8f5" TargetMode="External" /><Relationship Type="http://schemas.openxmlformats.org/officeDocument/2006/relationships/hyperlink" Id="rId45" Target="https://doi.org/ccdmd9" TargetMode="External" /><Relationship Type="http://schemas.openxmlformats.org/officeDocument/2006/relationships/hyperlink" Id="rId110" Target="https://doi.org/cgqtqx" TargetMode="External" /><Relationship Type="http://schemas.openxmlformats.org/officeDocument/2006/relationships/hyperlink" Id="rId43" Target="https://doi.org/chx3gp" TargetMode="External" /><Relationship Type="http://schemas.openxmlformats.org/officeDocument/2006/relationships/hyperlink" Id="rId49" Target="https://doi.org/cqgvs8" TargetMode="External" /><Relationship Type="http://schemas.openxmlformats.org/officeDocument/2006/relationships/hyperlink" Id="rId87" Target="https://doi.org/ctccpq" TargetMode="External" /><Relationship Type="http://schemas.openxmlformats.org/officeDocument/2006/relationships/hyperlink" Id="rId131" Target="https://doi.org/cw9jwc" TargetMode="External" /><Relationship Type="http://schemas.openxmlformats.org/officeDocument/2006/relationships/hyperlink" Id="rId57" Target="https://doi.org/cwcqj4" TargetMode="External" /><Relationship Type="http://schemas.openxmlformats.org/officeDocument/2006/relationships/hyperlink" Id="rId128" Target="https://doi.org/d4sz5m" TargetMode="External" /><Relationship Type="http://schemas.openxmlformats.org/officeDocument/2006/relationships/hyperlink" Id="rId114" Target="https://doi.org/d89z7p" TargetMode="External" /><Relationship Type="http://schemas.openxmlformats.org/officeDocument/2006/relationships/hyperlink" Id="rId63" Target="https://doi.org/d8wq" TargetMode="External" /><Relationship Type="http://schemas.openxmlformats.org/officeDocument/2006/relationships/hyperlink" Id="rId125" Target="https://doi.org/dctz5h" TargetMode="External" /><Relationship Type="http://schemas.openxmlformats.org/officeDocument/2006/relationships/hyperlink" Id="rId37" Target="https://doi.org/djgzjr" TargetMode="External" /><Relationship Type="http://schemas.openxmlformats.org/officeDocument/2006/relationships/hyperlink" Id="rId41" Target="https://doi.org/drgphk" TargetMode="External" /><Relationship Type="http://schemas.openxmlformats.org/officeDocument/2006/relationships/hyperlink" Id="rId69" Target="https://doi.org/dvd8nf" TargetMode="External" /><Relationship Type="http://schemas.openxmlformats.org/officeDocument/2006/relationships/hyperlink" Id="rId80" Target="https://doi.org/f828mh" TargetMode="External" /><Relationship Type="http://schemas.openxmlformats.org/officeDocument/2006/relationships/hyperlink" Id="rId155" Target="https://doi.org/f8txgm" TargetMode="External" /><Relationship Type="http://schemas.openxmlformats.org/officeDocument/2006/relationships/hyperlink" Id="rId51" Target="https://doi.org/fpnss4" TargetMode="External" /><Relationship Type="http://schemas.openxmlformats.org/officeDocument/2006/relationships/hyperlink" Id="rId39" Target="https://doi.org/ftmsvc" TargetMode="External" /><Relationship Type="http://schemas.openxmlformats.org/officeDocument/2006/relationships/hyperlink" Id="rId78" Target="https://doi.org/gfgtsg" TargetMode="External" /><Relationship Type="http://schemas.openxmlformats.org/officeDocument/2006/relationships/hyperlink" Id="rId92" Target="https://doi.org/gfjsvn" TargetMode="External" /><Relationship Type="http://schemas.openxmlformats.org/officeDocument/2006/relationships/hyperlink" Id="rId145" Target="https://doi.org/gftz95" TargetMode="External" /><Relationship Type="http://schemas.openxmlformats.org/officeDocument/2006/relationships/hyperlink" Id="rId123" Target="https://doi.org/ggfh8z" TargetMode="External" /><Relationship Type="http://schemas.openxmlformats.org/officeDocument/2006/relationships/hyperlink" Id="rId137" Target="https://doi.org/ggqh9p" TargetMode="External" /><Relationship Type="http://schemas.openxmlformats.org/officeDocument/2006/relationships/hyperlink" Id="rId67" Target="https://doi.org/gh5k4z" TargetMode="External" /><Relationship Type="http://schemas.openxmlformats.org/officeDocument/2006/relationships/hyperlink" Id="rId76" Target="https://doi.org/gh5k63" TargetMode="External" /><Relationship Type="http://schemas.openxmlformats.org/officeDocument/2006/relationships/hyperlink" Id="rId84" Target="https://doi.org/gh5k6p" TargetMode="External" /><Relationship Type="http://schemas.openxmlformats.org/officeDocument/2006/relationships/hyperlink" Id="rId119" Target="https://doi.org/gh5k7b" TargetMode="External" /><Relationship Type="http://schemas.openxmlformats.org/officeDocument/2006/relationships/hyperlink" Id="rId152" Target="https://doi.org/gh5k7d" TargetMode="External" /><Relationship Type="http://schemas.openxmlformats.org/officeDocument/2006/relationships/hyperlink" Id="rId65" Target="https://doi.org/ghdnhh" TargetMode="External" /><Relationship Type="http://schemas.openxmlformats.org/officeDocument/2006/relationships/hyperlink" Id="rId98" Target="https://doi.org/ghgzp9" TargetMode="External" /><Relationship Type="http://schemas.openxmlformats.org/officeDocument/2006/relationships/hyperlink" Id="rId100" Target="https://doi.org/ghjw3k" TargetMode="External" /><Relationship Type="http://schemas.openxmlformats.org/officeDocument/2006/relationships/hyperlink" Id="rId59" Target="https://doi.org/gj4tz6" TargetMode="External" /><Relationship Type="http://schemas.openxmlformats.org/officeDocument/2006/relationships/hyperlink" Id="rId102" Target="https://doi.org/gj5ngz" TargetMode="External" /><Relationship Type="http://schemas.openxmlformats.org/officeDocument/2006/relationships/hyperlink" Id="rId74" Target="https://doi.org/gj5v98" TargetMode="External" /><Relationship Type="http://schemas.openxmlformats.org/officeDocument/2006/relationships/hyperlink" Id="rId108" Target="https://doi.org/gjm236" TargetMode="External" /><Relationship Type="http://schemas.openxmlformats.org/officeDocument/2006/relationships/hyperlink" Id="rId35" Target="https://doi.org/gjsn3g" TargetMode="External" /><Relationship Type="http://schemas.openxmlformats.org/officeDocument/2006/relationships/hyperlink" Id="rId82" Target="https://doi.org/gjxvc7" TargetMode="External" /><Relationship Type="http://schemas.openxmlformats.org/officeDocument/2006/relationships/hyperlink" Id="rId95" Target="https://doi.org/gk36pd" TargetMode="External" /><Relationship Type="http://schemas.openxmlformats.org/officeDocument/2006/relationships/hyperlink" Id="rId104" Target="https://doi.org/gk5s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2022-03-25T05:23:51Z</dcterms:created>
  <dcterms:modified xsi:type="dcterms:W3CDTF">2022-03-25T05:23:51Z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2022-03-24</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