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numPr>
          <w:ilvl w:val="0"/>
          <w:numId w:val="1001"/>
        </w:numPr>
        <w:pStyle w:val="Compact"/>
      </w:pPr>
      <w:r>
        <w:t xml:space="preserve">The purposes of assessment</w:t>
      </w:r>
    </w:p>
    <w:p>
      <w:pPr>
        <w:numPr>
          <w:ilvl w:val="1"/>
          <w:numId w:val="1002"/>
        </w:numPr>
        <w:pStyle w:val="Compact"/>
      </w:pPr>
      <w:r>
        <w:t xml:space="preserve">Assessment</w:t>
      </w:r>
      <w:r>
        <w:t xml:space="preserve"> </w:t>
      </w:r>
      <w:r>
        <w:rPr>
          <w:iCs/>
          <w:i/>
        </w:rPr>
        <w:t xml:space="preserve">of</w:t>
      </w:r>
      <w:r>
        <w:t xml:space="preserve"> </w:t>
      </w:r>
      <w:r>
        <w:t xml:space="preserve">Learning</w:t>
      </w:r>
    </w:p>
    <w:p>
      <w:pPr>
        <w:numPr>
          <w:ilvl w:val="1"/>
          <w:numId w:val="1002"/>
        </w:numPr>
        <w:pStyle w:val="Compact"/>
      </w:pPr>
      <w:r>
        <w:t xml:space="preserve">Assessment</w:t>
      </w:r>
      <w:r>
        <w:t xml:space="preserve"> </w:t>
      </w:r>
      <w:r>
        <w:rPr>
          <w:iCs/>
          <w:i/>
        </w:rPr>
        <w:t xml:space="preserve">for</w:t>
      </w:r>
      <w:r>
        <w:t xml:space="preserve"> </w:t>
      </w:r>
      <w:r>
        <w:t xml:space="preserve">Learning</w:t>
      </w:r>
    </w:p>
    <w:p>
      <w:pPr>
        <w:numPr>
          <w:ilvl w:val="1"/>
          <w:numId w:val="1002"/>
        </w:numPr>
        <w:pStyle w:val="Compact"/>
      </w:pPr>
      <w:r>
        <w:t xml:space="preserve">Assessment</w:t>
      </w:r>
      <w:r>
        <w:t xml:space="preserve"> </w:t>
      </w:r>
      <w:r>
        <w:rPr>
          <w:iCs/>
          <w:i/>
        </w:rPr>
        <w:t xml:space="preserve">as</w:t>
      </w:r>
      <w:r>
        <w:t xml:space="preserve"> </w:t>
      </w:r>
      <w:r>
        <w:t xml:space="preserve">Learning</w:t>
      </w:r>
    </w:p>
    <w:p>
      <w:pPr>
        <w:numPr>
          <w:ilvl w:val="0"/>
          <w:numId w:val="1001"/>
        </w:numPr>
        <w:pStyle w:val="Compact"/>
      </w:pPr>
      <w:r>
        <w:t xml:space="preserve">Duty of Care</w:t>
      </w:r>
    </w:p>
    <w:p>
      <w:pPr>
        <w:numPr>
          <w:ilvl w:val="1"/>
          <w:numId w:val="1003"/>
        </w:numPr>
        <w:pStyle w:val="Compact"/>
      </w:pPr>
      <w:r>
        <w:t xml:space="preserve">Bias</w:t>
      </w:r>
    </w:p>
    <w:p>
      <w:pPr>
        <w:numPr>
          <w:ilvl w:val="1"/>
          <w:numId w:val="1003"/>
        </w:numPr>
        <w:pStyle w:val="Compact"/>
      </w:pPr>
      <w:r>
        <w:t xml:space="preserve">Inclusion</w:t>
      </w:r>
    </w:p>
    <w:p>
      <w:pPr>
        <w:numPr>
          <w:ilvl w:val="1"/>
          <w:numId w:val="1003"/>
        </w:numPr>
        <w:pStyle w:val="Compact"/>
      </w:pPr>
      <w:r>
        <w:t xml:space="preserve">Relationships</w:t>
      </w:r>
    </w:p>
    <w:p>
      <w:pPr>
        <w:numPr>
          <w:ilvl w:val="1"/>
          <w:numId w:val="1003"/>
        </w:numPr>
        <w:pStyle w:val="Compact"/>
      </w:pPr>
      <w:r>
        <w:t xml:space="preserve">Ethical EdTech</w:t>
      </w:r>
    </w:p>
    <w:p>
      <w:pPr>
        <w:numPr>
          <w:ilvl w:val="0"/>
          <w:numId w:val="1001"/>
        </w:numPr>
        <w:pStyle w:val="Compact"/>
      </w:pPr>
      <w:r>
        <w:t xml:space="preserve">Technology Acceptance</w:t>
      </w:r>
    </w:p>
    <w:p>
      <w:pPr>
        <w:numPr>
          <w:ilvl w:val="1"/>
          <w:numId w:val="1004"/>
        </w:numPr>
        <w:pStyle w:val="Compact"/>
      </w:pPr>
      <w:r>
        <w:t xml:space="preserve">Performance Expectancy</w:t>
      </w:r>
    </w:p>
    <w:p>
      <w:pPr>
        <w:numPr>
          <w:ilvl w:val="1"/>
          <w:numId w:val="1004"/>
        </w:numPr>
        <w:pStyle w:val="Compact"/>
      </w:pPr>
      <w:r>
        <w:t xml:space="preserve">Effort Expectancy</w:t>
      </w:r>
    </w:p>
    <w:p>
      <w:pPr>
        <w:numPr>
          <w:ilvl w:val="1"/>
          <w:numId w:val="1004"/>
        </w:numPr>
        <w:pStyle w:val="Compact"/>
      </w:pPr>
      <w:r>
        <w:t xml:space="preserve">Social Influences</w:t>
      </w:r>
    </w:p>
    <w:p>
      <w:pPr>
        <w:numPr>
          <w:ilvl w:val="1"/>
          <w:numId w:val="1004"/>
        </w:numPr>
        <w:pStyle w:val="Compact"/>
      </w:pPr>
      <w:r>
        <w:t xml:space="preserve">Facilitating Conditions</w:t>
      </w:r>
    </w:p>
    <w:p>
      <w:pPr>
        <w:numPr>
          <w:ilvl w:val="0"/>
          <w:numId w:val="1001"/>
        </w:numPr>
        <w:pStyle w:val="Compact"/>
      </w:pPr>
      <w:r>
        <w:t xml:space="preserve">Assessment Design</w:t>
      </w:r>
    </w:p>
    <w:p>
      <w:pPr>
        <w:numPr>
          <w:ilvl w:val="1"/>
          <w:numId w:val="1005"/>
        </w:numPr>
        <w:pStyle w:val="Compact"/>
      </w:pPr>
      <w:r>
        <w:t xml:space="preserve">Measurement Theory</w:t>
      </w:r>
    </w:p>
    <w:p>
      <w:pPr>
        <w:numPr>
          <w:ilvl w:val="1"/>
          <w:numId w:val="1005"/>
        </w:numPr>
        <w:pStyle w:val="Compact"/>
      </w:pPr>
      <w:r>
        <w:t xml:space="preserve">Academic Integrity</w:t>
      </w:r>
    </w:p>
    <w:p>
      <w:pPr>
        <w:numPr>
          <w:ilvl w:val="1"/>
          <w:numId w:val="1005"/>
        </w:numPr>
        <w:pStyle w:val="Compact"/>
      </w:pPr>
      <w:r>
        <w:t xml:space="preserve">Relevance</w:t>
      </w:r>
    </w:p>
    <w:p>
      <w:pPr>
        <w:numPr>
          <w:ilvl w:val="1"/>
          <w:numId w:val="1005"/>
        </w:numPr>
        <w:pStyle w:val="Compact"/>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Cs/>
          <w:i/>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Cs/>
          <w:i/>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Cs/>
          <w:i/>
        </w:rPr>
        <w:t xml:space="preserve">Assessment &amp; Evaluation in Higher Education</w:t>
      </w:r>
      <w:r>
        <w:t xml:space="preserve">,</w:t>
      </w:r>
      <w:r>
        <w:t xml:space="preserve"> </w:t>
      </w:r>
      <w:r>
        <w:rPr>
          <w:iCs/>
          <w:i/>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Cs/>
          <w:i/>
        </w:rPr>
        <w:t xml:space="preserve">Journal of American Indian Education</w:t>
      </w:r>
      <w:r>
        <w:t xml:space="preserve">,</w:t>
      </w:r>
      <w:r>
        <w:t xml:space="preserve"> </w:t>
      </w:r>
      <w:r>
        <w:rPr>
          <w:iCs/>
          <w:i/>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Cs/>
          <w:i/>
        </w:rPr>
        <w:t xml:space="preserve">Canadian Journal of Native Education</w:t>
      </w:r>
      <w:r>
        <w:t xml:space="preserve">,</w:t>
      </w:r>
      <w:r>
        <w:t xml:space="preserve"> </w:t>
      </w:r>
      <w:r>
        <w:rPr>
          <w:iCs/>
          <w:i/>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2024-06-05T13:04:13Z</dcterms:created>
  <dcterms:modified xsi:type="dcterms:W3CDTF">2024-06-05T13:04:13Z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editor">
    <vt:lpwstr>visual</vt:lpwstr>
  </property>
  <property fmtid="{D5CDD505-2E9C-101B-9397-08002B2CF9AE}" pid="10" name="header-includes">
    <vt:lpwstr/>
  </property>
  <property fmtid="{D5CDD505-2E9C-101B-9397-08002B2CF9AE}" pid="11" name="image">
    <vt:lpwstr>lake.jpeg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Table of contents</vt:lpwstr>
  </property>
</Properties>
</file>