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D1C1" w14:textId="77777777" w:rsidR="00791142" w:rsidRDefault="00000000">
      <w:pPr>
        <w:pStyle w:val="Title"/>
      </w:pPr>
      <w:r>
        <w:t>Technology-Integrated Assessment in BC Higher Education</w:t>
      </w:r>
    </w:p>
    <w:p w14:paraId="628AAF34" w14:textId="77777777" w:rsidR="00791142" w:rsidRDefault="00000000">
      <w:pPr>
        <w:pStyle w:val="Author"/>
      </w:pPr>
      <w:r>
        <w:t>Colin Madland</w:t>
      </w:r>
    </w:p>
    <w:p w14:paraId="7D7052C6" w14:textId="77777777" w:rsidR="00791142" w:rsidRDefault="00000000">
      <w:pPr>
        <w:pStyle w:val="Date"/>
      </w:pPr>
      <w:r>
        <w:t>2024-05-02</w:t>
      </w:r>
    </w:p>
    <w:p w14:paraId="592483EB" w14:textId="77777777" w:rsidR="00791142" w:rsidRDefault="00000000">
      <w:pPr>
        <w:pStyle w:val="FirstParagraph"/>
      </w:pPr>
      <w:r>
        <w:t>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14:paraId="68E5B04D" w14:textId="77777777" w:rsidR="00791142" w:rsidRDefault="00000000">
      <w:pPr>
        <w:pStyle w:val="BodyText"/>
      </w:pPr>
      <w:r>
        <w:t xml:space="preserve">My research is ongoing, and I am pleased to report that I have hit a milestone in completing and publishing the first two of three papers that will form my dissertation. </w:t>
      </w:r>
      <w:hyperlink r:id="rId7">
        <w:r>
          <w:rPr>
            <w:rStyle w:val="Hyperlink"/>
          </w:rPr>
          <w:t>The first paper is a literature review</w:t>
        </w:r>
      </w:hyperlink>
      <w:r>
        <w:t xml:space="preserve"> exploring how higher education instructors integrate technology and assessment (Madland et al., 2024b).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 Bearman et al. (2022).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14:paraId="4EA96352" w14:textId="77777777" w:rsidR="00791142" w:rsidRDefault="00000000">
      <w:pPr>
        <w:pStyle w:val="BodyText"/>
      </w:pPr>
      <w:r>
        <w:t xml:space="preserve">The development of the </w:t>
      </w:r>
      <w:hyperlink r:id="rId8">
        <w:r>
          <w:rPr>
            <w:rStyle w:val="Hyperlink"/>
          </w:rPr>
          <w:t>technology-integrated assessment framework, described in the second paper</w:t>
        </w:r>
      </w:hyperlink>
      <w:r>
        <w:t xml:space="preserve"> (Madland et al., 2024a),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14:paraId="53542977" w14:textId="77777777" w:rsidR="00791142" w:rsidRDefault="00000000">
      <w:pPr>
        <w:pStyle w:val="Compact"/>
        <w:numPr>
          <w:ilvl w:val="0"/>
          <w:numId w:val="2"/>
        </w:numPr>
      </w:pPr>
      <w:r>
        <w:t>The purposes of assessment</w:t>
      </w:r>
    </w:p>
    <w:p w14:paraId="5EC78A8D" w14:textId="77777777" w:rsidR="00791142" w:rsidRDefault="00000000">
      <w:pPr>
        <w:pStyle w:val="Compact"/>
        <w:numPr>
          <w:ilvl w:val="1"/>
          <w:numId w:val="3"/>
        </w:numPr>
      </w:pPr>
      <w:r>
        <w:t xml:space="preserve">Assessment </w:t>
      </w:r>
      <w:r>
        <w:rPr>
          <w:i/>
          <w:iCs/>
        </w:rPr>
        <w:t>of</w:t>
      </w:r>
      <w:r>
        <w:t xml:space="preserve"> Learning</w:t>
      </w:r>
    </w:p>
    <w:p w14:paraId="281B38A3" w14:textId="77777777" w:rsidR="00791142" w:rsidRDefault="00000000">
      <w:pPr>
        <w:pStyle w:val="Compact"/>
        <w:numPr>
          <w:ilvl w:val="1"/>
          <w:numId w:val="3"/>
        </w:numPr>
      </w:pPr>
      <w:r>
        <w:t xml:space="preserve">Assessment </w:t>
      </w:r>
      <w:r>
        <w:rPr>
          <w:i/>
          <w:iCs/>
        </w:rPr>
        <w:t>for</w:t>
      </w:r>
      <w:r>
        <w:t xml:space="preserve"> Learning</w:t>
      </w:r>
    </w:p>
    <w:p w14:paraId="375890E5" w14:textId="77777777" w:rsidR="00791142" w:rsidRDefault="00000000">
      <w:pPr>
        <w:pStyle w:val="Compact"/>
        <w:numPr>
          <w:ilvl w:val="1"/>
          <w:numId w:val="3"/>
        </w:numPr>
      </w:pPr>
      <w:r>
        <w:t xml:space="preserve">Assessment </w:t>
      </w:r>
      <w:r>
        <w:rPr>
          <w:i/>
          <w:iCs/>
        </w:rPr>
        <w:t>as</w:t>
      </w:r>
      <w:r>
        <w:t xml:space="preserve"> Learning</w:t>
      </w:r>
    </w:p>
    <w:p w14:paraId="5BBB6633" w14:textId="77777777" w:rsidR="00791142" w:rsidRDefault="00000000">
      <w:pPr>
        <w:pStyle w:val="Compact"/>
        <w:numPr>
          <w:ilvl w:val="0"/>
          <w:numId w:val="2"/>
        </w:numPr>
      </w:pPr>
      <w:r>
        <w:t>Duty of Care</w:t>
      </w:r>
    </w:p>
    <w:p w14:paraId="3F4C9788" w14:textId="77777777" w:rsidR="00791142" w:rsidRDefault="00000000">
      <w:pPr>
        <w:pStyle w:val="Compact"/>
        <w:numPr>
          <w:ilvl w:val="1"/>
          <w:numId w:val="4"/>
        </w:numPr>
      </w:pPr>
      <w:r>
        <w:lastRenderedPageBreak/>
        <w:t>Bias</w:t>
      </w:r>
    </w:p>
    <w:p w14:paraId="785E108C" w14:textId="77777777" w:rsidR="00791142" w:rsidRDefault="00000000">
      <w:pPr>
        <w:pStyle w:val="Compact"/>
        <w:numPr>
          <w:ilvl w:val="1"/>
          <w:numId w:val="4"/>
        </w:numPr>
      </w:pPr>
      <w:r>
        <w:t>Inclusion</w:t>
      </w:r>
    </w:p>
    <w:p w14:paraId="4BADCA63" w14:textId="77777777" w:rsidR="00791142" w:rsidRDefault="00000000">
      <w:pPr>
        <w:pStyle w:val="Compact"/>
        <w:numPr>
          <w:ilvl w:val="1"/>
          <w:numId w:val="4"/>
        </w:numPr>
      </w:pPr>
      <w:r>
        <w:t>Relationships</w:t>
      </w:r>
    </w:p>
    <w:p w14:paraId="653A17A5" w14:textId="77777777" w:rsidR="00791142" w:rsidRDefault="00000000">
      <w:pPr>
        <w:pStyle w:val="Compact"/>
        <w:numPr>
          <w:ilvl w:val="1"/>
          <w:numId w:val="4"/>
        </w:numPr>
      </w:pPr>
      <w:r>
        <w:t>Ethical EdTech</w:t>
      </w:r>
    </w:p>
    <w:p w14:paraId="00AA136D" w14:textId="77777777" w:rsidR="00791142" w:rsidRDefault="00000000">
      <w:pPr>
        <w:pStyle w:val="Compact"/>
        <w:numPr>
          <w:ilvl w:val="0"/>
          <w:numId w:val="2"/>
        </w:numPr>
      </w:pPr>
      <w:r>
        <w:t>Technology Acceptance</w:t>
      </w:r>
    </w:p>
    <w:p w14:paraId="17B7E117" w14:textId="77777777" w:rsidR="00791142" w:rsidRDefault="00000000">
      <w:pPr>
        <w:pStyle w:val="Compact"/>
        <w:numPr>
          <w:ilvl w:val="1"/>
          <w:numId w:val="5"/>
        </w:numPr>
      </w:pPr>
      <w:r>
        <w:t>Performance Expectancy</w:t>
      </w:r>
    </w:p>
    <w:p w14:paraId="0442F472" w14:textId="77777777" w:rsidR="00791142" w:rsidRDefault="00000000">
      <w:pPr>
        <w:pStyle w:val="Compact"/>
        <w:numPr>
          <w:ilvl w:val="1"/>
          <w:numId w:val="5"/>
        </w:numPr>
      </w:pPr>
      <w:r>
        <w:t>Effort Expectancy</w:t>
      </w:r>
    </w:p>
    <w:p w14:paraId="17A8642A" w14:textId="77777777" w:rsidR="00791142" w:rsidRDefault="00000000">
      <w:pPr>
        <w:pStyle w:val="Compact"/>
        <w:numPr>
          <w:ilvl w:val="1"/>
          <w:numId w:val="5"/>
        </w:numPr>
      </w:pPr>
      <w:r>
        <w:t>Social Influences</w:t>
      </w:r>
    </w:p>
    <w:p w14:paraId="32175791" w14:textId="77777777" w:rsidR="00791142" w:rsidRDefault="00000000">
      <w:pPr>
        <w:pStyle w:val="Compact"/>
        <w:numPr>
          <w:ilvl w:val="1"/>
          <w:numId w:val="5"/>
        </w:numPr>
      </w:pPr>
      <w:r>
        <w:t>Facilitating Conditions</w:t>
      </w:r>
    </w:p>
    <w:p w14:paraId="44872FA1" w14:textId="77777777" w:rsidR="00791142" w:rsidRDefault="00000000">
      <w:pPr>
        <w:pStyle w:val="Compact"/>
        <w:numPr>
          <w:ilvl w:val="0"/>
          <w:numId w:val="2"/>
        </w:numPr>
      </w:pPr>
      <w:r>
        <w:t>Assessment Design</w:t>
      </w:r>
    </w:p>
    <w:p w14:paraId="113AFC6F" w14:textId="77777777" w:rsidR="00791142" w:rsidRDefault="00000000">
      <w:pPr>
        <w:pStyle w:val="Compact"/>
        <w:numPr>
          <w:ilvl w:val="1"/>
          <w:numId w:val="6"/>
        </w:numPr>
      </w:pPr>
      <w:r>
        <w:t>Measurement Theory</w:t>
      </w:r>
    </w:p>
    <w:p w14:paraId="1EF2EE64" w14:textId="77777777" w:rsidR="00791142" w:rsidRDefault="00000000">
      <w:pPr>
        <w:pStyle w:val="Compact"/>
        <w:numPr>
          <w:ilvl w:val="1"/>
          <w:numId w:val="6"/>
        </w:numPr>
      </w:pPr>
      <w:r>
        <w:t>Academic Integrity</w:t>
      </w:r>
    </w:p>
    <w:p w14:paraId="68B0316A" w14:textId="77777777" w:rsidR="00791142" w:rsidRDefault="00000000">
      <w:pPr>
        <w:pStyle w:val="Compact"/>
        <w:numPr>
          <w:ilvl w:val="1"/>
          <w:numId w:val="6"/>
        </w:numPr>
      </w:pPr>
      <w:r>
        <w:t>Relevance</w:t>
      </w:r>
    </w:p>
    <w:p w14:paraId="4A64AD76" w14:textId="77777777" w:rsidR="00791142" w:rsidRDefault="00000000">
      <w:pPr>
        <w:pStyle w:val="Compact"/>
        <w:numPr>
          <w:ilvl w:val="1"/>
          <w:numId w:val="6"/>
        </w:numPr>
      </w:pPr>
      <w:r>
        <w:t>Reciprocity</w:t>
      </w:r>
    </w:p>
    <w:p w14:paraId="135F6EAC" w14:textId="77777777" w:rsidR="00791142" w:rsidRDefault="00000000">
      <w:pPr>
        <w:pStyle w:val="FirstParagraph"/>
      </w:pPr>
      <w:r>
        <w:t>Figure 1 is a theoretical conceptualization of the model and its sub-components.</w:t>
      </w:r>
    </w:p>
    <w:p w14:paraId="4F25780D" w14:textId="77777777" w:rsidR="00791142" w:rsidRDefault="00000000">
      <w:pPr>
        <w:pStyle w:val="CaptionedFigure"/>
      </w:pPr>
      <w:r>
        <w:rPr>
          <w:noProof/>
        </w:rPr>
        <w:lastRenderedPageBreak/>
        <w:drawing>
          <wp:inline distT="0" distB="0" distL="0" distR="0" wp14:anchorId="1D4B9DB1" wp14:editId="78ED447F">
            <wp:extent cx="5334000" cy="4728221"/>
            <wp:effectExtent l="0" t="0" r="0" b="0"/>
            <wp:docPr id="23" name="Picture" descr="A diagram of concentric circles showing the components of the technology-integrated assessment framework. Starting from the inside, the circles are labeled ‘assessment purpose,’ ‘duty of care,’ ‘technology acceptance,’ and ‘assessment design.’"/>
            <wp:cNvGraphicFramePr/>
            <a:graphic xmlns:a="http://schemas.openxmlformats.org/drawingml/2006/main">
              <a:graphicData uri="http://schemas.openxmlformats.org/drawingml/2006/picture">
                <pic:pic xmlns:pic="http://schemas.openxmlformats.org/drawingml/2006/picture">
                  <pic:nvPicPr>
                    <pic:cNvPr id="24" name="Picture" descr="tiaf-q-full.png"/>
                    <pic:cNvPicPr>
                      <a:picLocks noChangeAspect="1" noChangeArrowheads="1"/>
                    </pic:cNvPicPr>
                  </pic:nvPicPr>
                  <pic:blipFill>
                    <a:blip r:embed="rId9"/>
                    <a:stretch>
                      <a:fillRect/>
                    </a:stretch>
                  </pic:blipFill>
                  <pic:spPr bwMode="auto">
                    <a:xfrm>
                      <a:off x="0" y="0"/>
                      <a:ext cx="5334000" cy="4728221"/>
                    </a:xfrm>
                    <a:prstGeom prst="rect">
                      <a:avLst/>
                    </a:prstGeom>
                    <a:noFill/>
                    <a:ln w="9525">
                      <a:noFill/>
                      <a:headEnd/>
                      <a:tailEnd/>
                    </a:ln>
                  </pic:spPr>
                </pic:pic>
              </a:graphicData>
            </a:graphic>
          </wp:inline>
        </w:drawing>
      </w:r>
    </w:p>
    <w:p w14:paraId="6B7B7412" w14:textId="77777777" w:rsidR="00791142" w:rsidRDefault="00000000">
      <w:pPr>
        <w:pStyle w:val="ImageCaption"/>
      </w:pPr>
      <w:r>
        <w:t>A diagram of concentric circles showing the components of the technology-integrated assessment framework. Starting from the inside, the circles are labeled ‘assessment purpose,’ ‘duty of care,’ ‘technology acceptance,’ and ‘assessment design.’</w:t>
      </w:r>
    </w:p>
    <w:p w14:paraId="7A20BF36" w14:textId="77777777" w:rsidR="00791142" w:rsidRDefault="00000000">
      <w:pPr>
        <w:pStyle w:val="BodyText"/>
      </w:pPr>
      <w:r>
        <w:rPr>
          <w:i/>
          <w:iCs/>
        </w:rPr>
        <w:t>Note:</w:t>
      </w:r>
      <w:r>
        <w:t xml:space="preserve"> Licensed </w:t>
      </w:r>
      <w:hyperlink r:id="rId10">
        <w:r>
          <w:rPr>
            <w:rStyle w:val="Hyperlink"/>
          </w:rPr>
          <w:t>(CC-BY)</w:t>
        </w:r>
      </w:hyperlink>
      <w:r>
        <w:t xml:space="preserve">, from Madland, C., Irvine, V., DeLuca, C., &amp; Bulut, O. (2024). Developing the Technology-Integrated Assessment Framework. </w:t>
      </w:r>
      <w:r>
        <w:rPr>
          <w:i/>
          <w:iCs/>
        </w:rPr>
        <w:t>The Open/Technology in Education, Society, and Scholarship Association Journal, 4</w:t>
      </w:r>
      <w:r>
        <w:t xml:space="preserve">(1), 1–19. </w:t>
      </w:r>
      <w:hyperlink r:id="rId11">
        <w:r>
          <w:rPr>
            <w:rStyle w:val="Hyperlink"/>
          </w:rPr>
          <w:t>https://doi.org/10.18357/otessaj.2024.4.1.63</w:t>
        </w:r>
      </w:hyperlink>
      <w:r>
        <w:t>.</w:t>
      </w:r>
    </w:p>
    <w:p w14:paraId="55547161" w14:textId="77777777" w:rsidR="00791142" w:rsidRDefault="00000000">
      <w:pPr>
        <w:pStyle w:val="BodyText"/>
      </w:pPr>
      <w:r>
        <w:t>We were intentional about considering the framework in light of the 5Rs of Indigenous education: respect, relevance, reciprocity, responsibility, and relationships (Kirkness &amp; Barnhardt, 1991; Tessaro et al., 2018). Respect and responsibility are embedded in the ‘Duty of Care’ component while relationships, reciprocity, and relevance are explicit in the framework. Further work is coming and will focus on exploring the relationships between the factors and sub-factors in the framework.</w:t>
      </w:r>
    </w:p>
    <w:p w14:paraId="238E6C55" w14:textId="77777777" w:rsidR="00791142" w:rsidRDefault="00000000">
      <w:pPr>
        <w:pStyle w:val="BodyText"/>
      </w:pPr>
      <w:r>
        <w:t xml:space="preserve">I am grateful to my supervisor, Dr. Valerie Irvine, for her keen insight and expert contributions, as well as my committee members, Dr. Chris DeLuca (Queen’s University), </w:t>
      </w:r>
      <w:r>
        <w:lastRenderedPageBreak/>
        <w:t>and Dr. Okan Bulut (University of Alberta) whose diverse wisdom around assessment were invaluable.</w:t>
      </w:r>
    </w:p>
    <w:p w14:paraId="29DEC768" w14:textId="77777777" w:rsidR="00791142" w:rsidRDefault="00000000">
      <w:pPr>
        <w:pStyle w:val="BodyText"/>
      </w:pPr>
      <w:r>
        <w:t>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p w14:paraId="6294A20B" w14:textId="77777777" w:rsidR="00791142" w:rsidRDefault="00000000">
      <w:pPr>
        <w:pStyle w:val="Heading2"/>
      </w:pPr>
      <w:bookmarkStart w:id="0" w:name="references"/>
      <w:r>
        <w:t>References</w:t>
      </w:r>
    </w:p>
    <w:p w14:paraId="7B1961D9" w14:textId="77777777" w:rsidR="00791142" w:rsidRDefault="00000000">
      <w:pPr>
        <w:pStyle w:val="Bibliography"/>
      </w:pPr>
      <w:bookmarkStart w:id="1" w:name="ref-bearman2022"/>
      <w:bookmarkStart w:id="2" w:name="refs"/>
      <w:r>
        <w:t xml:space="preserve">Bearman, M., Nieminen, J., &amp; Ajjawi, R. (2022). Designing assessment in a digital world: An organising framework. </w:t>
      </w:r>
      <w:r>
        <w:rPr>
          <w:i/>
          <w:iCs/>
        </w:rPr>
        <w:t>Assessment &amp; Evaluation in Higher Education</w:t>
      </w:r>
      <w:r>
        <w:t xml:space="preserve">, </w:t>
      </w:r>
      <w:r>
        <w:rPr>
          <w:i/>
          <w:iCs/>
        </w:rPr>
        <w:t>48</w:t>
      </w:r>
      <w:r>
        <w:t xml:space="preserve">(3). </w:t>
      </w:r>
      <w:hyperlink r:id="rId12">
        <w:r>
          <w:rPr>
            <w:rStyle w:val="Hyperlink"/>
          </w:rPr>
          <w:t>https://doi.org/10.1080/02602938.2022.2069674</w:t>
        </w:r>
      </w:hyperlink>
    </w:p>
    <w:p w14:paraId="17CBCA94" w14:textId="77777777" w:rsidR="00791142" w:rsidRDefault="00000000">
      <w:pPr>
        <w:pStyle w:val="Bibliography"/>
      </w:pPr>
      <w:bookmarkStart w:id="3" w:name="ref-kirkness1991"/>
      <w:bookmarkEnd w:id="1"/>
      <w:r>
        <w:t xml:space="preserve">Kirkness, V. J., &amp; Barnhardt, R. (1991). First nations and higher education: The four r’s– respect, relevance, reciprocity, responsibility. </w:t>
      </w:r>
      <w:r>
        <w:rPr>
          <w:i/>
          <w:iCs/>
        </w:rPr>
        <w:t>Journal of American Indian Education</w:t>
      </w:r>
      <w:r>
        <w:t xml:space="preserve">, </w:t>
      </w:r>
      <w:r>
        <w:rPr>
          <w:i/>
          <w:iCs/>
        </w:rPr>
        <w:t>30</w:t>
      </w:r>
      <w:r>
        <w:t xml:space="preserve">(3), 1–15. </w:t>
      </w:r>
      <w:hyperlink r:id="rId13">
        <w:r>
          <w:rPr>
            <w:rStyle w:val="Hyperlink"/>
          </w:rPr>
          <w:t>https://eric.ed.gov/?id=EJ438242</w:t>
        </w:r>
      </w:hyperlink>
    </w:p>
    <w:p w14:paraId="00275647" w14:textId="77777777" w:rsidR="00791142" w:rsidRDefault="00000000">
      <w:pPr>
        <w:pStyle w:val="Bibliography"/>
      </w:pPr>
      <w:bookmarkStart w:id="4" w:name="X038d0fd29c2cdd1e6e85e9dae936cff019860f4"/>
      <w:bookmarkEnd w:id="3"/>
      <w:r>
        <w:t xml:space="preserve">Madland, C., Irvine, V., DeLuca, C., &amp; Bulut, O. (2024a). Developing the Technology-Integrated Assessment Framework. </w:t>
      </w:r>
      <w:r>
        <w:rPr>
          <w:i/>
          <w:iCs/>
        </w:rPr>
        <w:t>The Open/Technology in Education, Society, and Scholarship Association Journal</w:t>
      </w:r>
      <w:r>
        <w:t xml:space="preserve">, </w:t>
      </w:r>
      <w:r>
        <w:rPr>
          <w:i/>
          <w:iCs/>
        </w:rPr>
        <w:t>4</w:t>
      </w:r>
      <w:r>
        <w:t xml:space="preserve">(1), 1–19. </w:t>
      </w:r>
      <w:hyperlink r:id="rId14">
        <w:r>
          <w:rPr>
            <w:rStyle w:val="Hyperlink"/>
          </w:rPr>
          <w:t>https://doi.org/10.18357/otessaj.2024.4.1.63</w:t>
        </w:r>
      </w:hyperlink>
    </w:p>
    <w:p w14:paraId="0025925A" w14:textId="77777777" w:rsidR="00791142" w:rsidRDefault="00000000">
      <w:pPr>
        <w:pStyle w:val="Bibliography"/>
      </w:pPr>
      <w:bookmarkStart w:id="5" w:name="X6ceec8d4f9f550ff410e3546c81e0b00bad0852"/>
      <w:bookmarkEnd w:id="4"/>
      <w:r>
        <w:t xml:space="preserve">Madland, C., Irvine, V., DeLuca, C., &amp; Bulut, O. (2024b). Technology-Integrated Assessment: A Literature Review. </w:t>
      </w:r>
      <w:r>
        <w:rPr>
          <w:i/>
          <w:iCs/>
        </w:rPr>
        <w:t>The Open/Technology in Education, Society, and Scholarship Association Journal</w:t>
      </w:r>
      <w:r>
        <w:t xml:space="preserve">, </w:t>
      </w:r>
      <w:r>
        <w:rPr>
          <w:i/>
          <w:iCs/>
        </w:rPr>
        <w:t>4</w:t>
      </w:r>
      <w:r>
        <w:t xml:space="preserve">(1), 1–48. </w:t>
      </w:r>
      <w:hyperlink r:id="rId15">
        <w:r>
          <w:rPr>
            <w:rStyle w:val="Hyperlink"/>
          </w:rPr>
          <w:t>https://doi.org/10.18357/otessaj.2024.4.1.57</w:t>
        </w:r>
      </w:hyperlink>
    </w:p>
    <w:p w14:paraId="3C6C2EC9" w14:textId="77777777" w:rsidR="00791142" w:rsidRDefault="00000000">
      <w:pPr>
        <w:pStyle w:val="Bibliography"/>
      </w:pPr>
      <w:bookmarkStart w:id="6" w:name="ref-tessaro2018"/>
      <w:bookmarkEnd w:id="5"/>
      <w:r>
        <w:t xml:space="preserve">Tessaro, D., Restoule, J.-P., Gaviria, P., Flessa, J., Lindeman, C., &amp; Scully-Stewart, C. (2018). The five r’s for indigenizing online learning: A case study of the first nations schools’ principals course. </w:t>
      </w:r>
      <w:r>
        <w:rPr>
          <w:i/>
          <w:iCs/>
        </w:rPr>
        <w:t>Canadian Journal of Native Education</w:t>
      </w:r>
      <w:r>
        <w:t xml:space="preserve">, </w:t>
      </w:r>
      <w:r>
        <w:rPr>
          <w:i/>
          <w:iCs/>
        </w:rPr>
        <w:t>40</w:t>
      </w:r>
      <w:r>
        <w:t xml:space="preserve">(1), 125–143. </w:t>
      </w:r>
      <w:hyperlink r:id="rId16">
        <w:r>
          <w:rPr>
            <w:rStyle w:val="Hyperlink"/>
          </w:rPr>
          <w:t>https://www.researchgate.net/publication/328289320_The_Five_R%27s_for_Indigenizing_Online_Learning_A_Case_Study_of_the_First_Nations_Schools%27_Principals_Course</w:t>
        </w:r>
      </w:hyperlink>
      <w:bookmarkEnd w:id="0"/>
      <w:bookmarkEnd w:id="2"/>
      <w:bookmarkEnd w:id="6"/>
    </w:p>
    <w:sectPr w:rsidR="007911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515B8" w14:textId="77777777" w:rsidR="007732F9" w:rsidRDefault="007732F9">
      <w:pPr>
        <w:spacing w:after="0"/>
      </w:pPr>
      <w:r>
        <w:separator/>
      </w:r>
    </w:p>
  </w:endnote>
  <w:endnote w:type="continuationSeparator" w:id="0">
    <w:p w14:paraId="1FAEA536" w14:textId="77777777" w:rsidR="007732F9" w:rsidRDefault="007732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EDDA" w14:textId="77777777" w:rsidR="007732F9" w:rsidRDefault="007732F9">
      <w:r>
        <w:separator/>
      </w:r>
    </w:p>
  </w:footnote>
  <w:footnote w:type="continuationSeparator" w:id="0">
    <w:p w14:paraId="51431387" w14:textId="77777777" w:rsidR="007732F9" w:rsidRDefault="00773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3C5D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20AEA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06245754">
    <w:abstractNumId w:val="0"/>
  </w:num>
  <w:num w:numId="2" w16cid:durableId="4624327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515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3221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5386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25150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42"/>
    <w:rsid w:val="002C5BBC"/>
    <w:rsid w:val="007732F9"/>
    <w:rsid w:val="00791142"/>
    <w:rsid w:val="007E15C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B7521"/>
  <w15:docId w15:val="{1EB290CA-3DB8-A24A-AE82-9A090E90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357/otessaj.2024.4.1.63" TargetMode="External"/><Relationship Id="rId13" Type="http://schemas.openxmlformats.org/officeDocument/2006/relationships/hyperlink" Target="https://eric.ed.gov/?id=EJ43824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357/otessaj.2024.4.1.57" TargetMode="External"/><Relationship Id="rId12" Type="http://schemas.openxmlformats.org/officeDocument/2006/relationships/hyperlink" Target="https://doi.org/10.1080/02602938.2022.20696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28289320_The_Five_R%27s_for_Indigenizing_Online_Learning_A_Case_Study_of_the_First_Nations_Schools%27_Principals_Cour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357/otessaj.2024.4.1.63" TargetMode="External"/><Relationship Id="rId5" Type="http://schemas.openxmlformats.org/officeDocument/2006/relationships/footnotes" Target="footnotes.xml"/><Relationship Id="rId15" Type="http://schemas.openxmlformats.org/officeDocument/2006/relationships/hyperlink" Target="https://doi.org/10.18357/otessaj.2024.4.1.57" TargetMode="Externa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8357/otessaj.2024.4.1.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cp:lastModifiedBy>Colin Madland</cp:lastModifiedBy>
  <cp:revision>2</cp:revision>
  <dcterms:created xsi:type="dcterms:W3CDTF">2024-05-22T17:42:00Z</dcterms:created>
  <dcterms:modified xsi:type="dcterms:W3CDTF">2024-05-22T17:42:00Z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