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an 18-month project funded by BCcampus intended to promote research on teaching and learning in BC. My project aimed at technology-integrated assessment practices in higher education, a topic of significant concern due to the COVID-19 pandemic, and also of more recent concern in light of generative AI models. The fellowship provided funding and support for a component of my PhD dissertation research at the University of Victoria, where I am supervised by Dr. Valerie Irvine. My research is ongoing, but I am pleased to report that I have hit a milestone in completing and publishing the first two of three papers that will form my dissertation.</w:t>
      </w:r>
    </w:p>
    <w:p>
      <w:pPr>
        <w:pStyle w:val="BodyText"/>
      </w:pPr>
      <w:r>
        <w:t xml:space="preserve">I’m grateful to BCcampus, especially Leva Lee, Britt Dzioba, Rebecca Shortt, and Gwen Nguyen, who each provided opportunities for this cohort of fellows to meet, share challenges and successes, connect along the journey, and sometimes, just</w:t>
      </w:r>
      <w:r>
        <w:t xml:space="preserve"> </w:t>
      </w:r>
      <w:r>
        <w:t xml:space="preserve">‘</w:t>
      </w:r>
      <w:r>
        <w:t xml:space="preserve">Shut up and Write.</w:t>
      </w:r>
      <w:r>
        <w:t xml:space="preserve">’</w:t>
      </w:r>
      <w:r>
        <w:t xml:space="preserve"> </w:t>
      </w:r>
      <w:r>
        <w:t xml:space="preserve">Grad school can be an isolating time, and this was one of the things magnified by COVID-19 restrictions. I am fortunate that I and my fellow grad students and faculty in Educational Technology at UVic have enjoyed strong collaborative relationships, but it was also good to connect with others from other BC institutions through the fellowship. The fellowship process and journey also provided much needed funding for my project. There are unique challenges associated with being a PhD student with work and family obligations, and being able to provide funding toward the research process, including compensation for time spent for participants and travel to conferences, is critical.</w:t>
      </w:r>
    </w:p>
    <w:p>
      <w:pPr>
        <w:pStyle w:val="BodyText"/>
      </w:pPr>
      <w:r>
        <w:t xml:space="preserve">Aside from these logistical supports, though, are the actual outcomes of my research.</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might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w:t>
      </w:r>
      <w:r>
        <w:t xml:space="preserve"> </w:t>
      </w:r>
      <w:r>
        <w:t xml:space="preserve">‘</w:t>
      </w:r>
      <w:r>
        <w:t xml:space="preserve">Duty of care</w:t>
      </w:r>
      <w:r>
        <w:t xml:space="preserve">’</w:t>
      </w:r>
      <w:r>
        <w:t xml:space="preserve">,</w:t>
      </w:r>
      <w:r>
        <w:t xml:space="preserve"> </w:t>
      </w:r>
      <w:r>
        <w:t xml:space="preserve">‘</w:t>
      </w:r>
      <w:r>
        <w:t xml:space="preserve">Technology acceptance</w:t>
      </w:r>
      <w:r>
        <w:t xml:space="preserve">’</w:t>
      </w:r>
      <w:r>
        <w:t xml:space="preserve">, and</w:t>
      </w:r>
      <w:r>
        <w:t xml:space="preserve"> </w:t>
      </w:r>
      <w:r>
        <w:t xml:space="preserve">‘</w:t>
      </w:r>
      <w:r>
        <w:t xml:space="preserve">Assessment Design</w:t>
      </w:r>
      <w:r>
        <w:t xml:space="preserve">’</w:t>
      </w:r>
    </w:p>
    <w:p>
      <w:pPr>
        <w:pStyle w:val="BodyText"/>
      </w:pPr>
      <w:r>
        <w:rPr>
          <w:iCs/>
          <w:i/>
        </w:rPr>
        <w:t xml:space="preserve">Note:</w:t>
      </w:r>
      <w:r>
        <w:t xml:space="preserve"> </w:t>
      </w:r>
      <w:r>
        <w:t xml:space="preserve">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 https://doi.org/10.18357/otessaj.2024.4.1.63.</w:t>
      </w:r>
      <w:r>
        <w:t xml:space="preserve"> </w:t>
      </w:r>
      <w:hyperlink r:id="rId25">
        <w:r>
          <w:rPr>
            <w:rStyle w:val="Hyperlink"/>
          </w:rPr>
          <w:t xml:space="preserve">Used under the permissions of the original Creative Commons license (CC-BY).</w:t>
        </w:r>
      </w:hyperlink>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I’m grateful to my supervisor, Dr. Valerie Irvine, for her keen insight and expert guidance, as well as my committee members, Dr. Chris DeLuca (Queen’s University), and Dr. Okan Bulut (University of Alberta). I am also appreciative to BCcampus for their support through the BCcampus Student Fellowship program, which provides B.C. post-secondary educators and students with funding to conduct small-scale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2024-05-02T19:29:34Z</dcterms:created>
  <dcterms:modified xsi:type="dcterms:W3CDTF">2024-05-02T19:29:34Z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