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77.png" ContentType="image/png"/>
  <Override PartName="/word/media/rId8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lin-madland"/>
    <w:p>
      <w:pPr>
        <w:pStyle w:val="Heading1"/>
      </w:pPr>
      <w:r>
        <w:t xml:space="preserve">Colin Madland</w:t>
      </w:r>
    </w:p>
    <w:p>
      <w:pPr>
        <w:pStyle w:val="FirstParagraph"/>
      </w:pPr>
      <w:r>
        <w:t xml:space="preserve">1449 Green Bay Road</w:t>
      </w:r>
      <w:r>
        <w:t xml:space="preserve"> </w:t>
      </w:r>
      <w:r>
        <w:t xml:space="preserve">West Kelowna, BC</w:t>
      </w:r>
      <w:r>
        <w:t xml:space="preserve"> </w:t>
      </w:r>
      <w:r>
        <w:t xml:space="preserve">Canada</w:t>
      </w:r>
    </w:p>
    <w:p>
      <w:pPr>
        <w:pStyle w:val="BodyText"/>
      </w:pPr>
      <w:r>
        <w:t xml:space="preserve">October 8, 2025</w:t>
      </w:r>
    </w:p>
    <w:p>
      <w:pPr>
        <w:pStyle w:val="BodyText"/>
      </w:pPr>
      <w:r>
        <w:t xml:space="preserve">Search Committee Chair</w:t>
      </w:r>
      <w:r>
        <w:br/>
      </w:r>
      <w:r>
        <w:t xml:space="preserve">Frazer Faculty of Education</w:t>
      </w:r>
      <w:r>
        <w:br/>
      </w:r>
      <w:r>
        <w:t xml:space="preserve">Ontario Tech University</w:t>
      </w:r>
    </w:p>
    <w:p>
      <w:pPr>
        <w:pStyle w:val="BodyText"/>
      </w:pPr>
      <w:r>
        <w:rPr>
          <w:b/>
          <w:bCs/>
        </w:rPr>
        <w:t xml:space="preserve">RE: Application for the Position of Assistant Professor, Assessment and Evaluation</w:t>
      </w:r>
    </w:p>
    <w:p>
      <w:pPr>
        <w:pStyle w:val="BodyText"/>
      </w:pPr>
      <w:r>
        <w:t xml:space="preserve">Dear Search Committee,</w:t>
      </w:r>
    </w:p>
    <w:p>
      <w:pPr>
        <w:pStyle w:val="BodyText"/>
      </w:pPr>
      <w:r>
        <w:t xml:space="preserve">Thank you for taking the time to review my application package for this role. I know it is a time intensive process, having led and been a part of numerous hiring committees. Please find enclosed my application to be considered for the Assistant Professor of Assessment and Evaluation position.</w:t>
      </w:r>
    </w:p>
    <w:p>
      <w:pPr>
        <w:pStyle w:val="BodyText"/>
      </w:pPr>
      <w:r>
        <w:t xml:space="preserve">The following pages demonstrate that I have met the requirements to be successful in this position, including: experience in qualitative, quantitative and mixed methods research, an emerging record of high-quality publications, a history of successful funding applications, committment to exemplary teaching and graduate supervision, the ability to cultivate equitable, diverse, and inclusive research partnerships, and a history of open knowledge mobilization.</w:t>
      </w:r>
    </w:p>
    <w:p>
      <w:pPr>
        <w:pStyle w:val="BodyText"/>
      </w:pPr>
      <w:r>
        <w:t xml:space="preserve">Having completed my Master of Education (Distance Education) at Athabasca University and doctoral coursework at the University of Victoria (in addition to courses from the University of British Columbia and the University of Alberta as part of the Western Dean’s Agreement), I have had an excellent foundation for advancing my research program in technology-integrated learning and assessment. My academic research has centred around assessment in technology-integrated environments, with a special focus on inclusive and relational practices to support all learners, and especially underserved populations (e.g., Indigenous, remote).</w:t>
      </w:r>
    </w:p>
    <w:p>
      <w:pPr>
        <w:pStyle w:val="BodyText"/>
      </w:pPr>
      <w:r>
        <w:t xml:space="preserve">A key output from my dissertation research was the Technology-integrated Assessment Framework (TIAF)</w:t>
      </w:r>
      <w:r>
        <w:t xml:space="preserve"> </w:t>
      </w:r>
      <w:r>
        <w:t xml:space="preserve">(Madland et al., 2024)</w:t>
      </w:r>
      <w:r>
        <w:t xml:space="preserve">. The framework highlights the importance of integrating Indigenous knowledge systems and methodologies as well as a pedagogy of care in technology-integrated learning environments beginning during the instructional/learning design phase of course development. The</w:t>
      </w:r>
      <w:r>
        <w:t xml:space="preserve"> </w:t>
      </w:r>
      <w:r>
        <w:rPr>
          <w:i/>
          <w:iCs/>
        </w:rPr>
        <w:t xml:space="preserve">Research Plan</w:t>
      </w:r>
      <w:r>
        <w:t xml:space="preserve"> </w:t>
      </w:r>
      <w:r>
        <w:t xml:space="preserve">section below highlights key areas of research that flow from the TIAF, including operationalizing the framework for use as a tool to guide individual instructors or departments in exploring their approaches to technology-integrated assessment in higher education. Also included in this document are links to two recently published articles on the TIAF and two other outputs related to my scholarly work in Indigenous learning contexts and a proceeding that resulted from an experience I had with automated computer vision software.</w:t>
      </w:r>
    </w:p>
    <w:p>
      <w:pPr>
        <w:pStyle w:val="BodyText"/>
      </w:pPr>
      <w:r>
        <w:t xml:space="preserve">The</w:t>
      </w:r>
      <w:r>
        <w:t xml:space="preserve"> </w:t>
      </w:r>
      <w:r>
        <w:rPr>
          <w:i/>
          <w:iCs/>
        </w:rPr>
        <w:t xml:space="preserve">Teaching Statement</w:t>
      </w:r>
      <w:r>
        <w:t xml:space="preserve"> </w:t>
      </w:r>
      <w:r>
        <w:t xml:space="preserve">section documents the courses I have taught since 2019, when I began my PhD studies. All of the courses that I have taught at the higher education level have been fully online and I completed my MEd in Distance Education through Athabasca University. Additionally, I have been employed full time since 2010 supporting online instructors, learners, instructional designers, course production professionals and media creators in creating, producing and delivering high-impact online learning experiences. In my personal assessment practice, I focus on relational approaches, such as regular oral assessment conversations and communication of progress using a proficiency scale. These methods prioritize equitable learning and transformation rather than transactional compliance.</w:t>
      </w:r>
    </w:p>
    <w:p>
      <w:pPr>
        <w:pStyle w:val="BodyText"/>
      </w:pPr>
      <w:r>
        <w:t xml:space="preserve">Thank you again for taking the time to review my application package. If you have any questions, please do not hesitate to reach out via email (cmadland@uvic.ca) or by phone (1-778-257-3533).</w:t>
      </w:r>
    </w:p>
    <w:p>
      <w:pPr>
        <w:pStyle w:val="BodyText"/>
      </w:pPr>
      <w:r>
        <w:t xml:space="preserve">Sincerely,</w:t>
      </w:r>
    </w:p>
    <w:p>
      <w:pPr>
        <w:pStyle w:val="BodyText"/>
      </w:pPr>
      <w:r>
        <w:t xml:space="preserve">Colin Madland</w:t>
      </w:r>
    </w:p>
    <w:p>
      <w:r>
        <w:br w:type="page"/>
      </w:r>
    </w:p>
    <w:bookmarkEnd w:id="20"/>
    <w:bookmarkStart w:id="64" w:name="curriculum-vitae"/>
    <w:p>
      <w:pPr>
        <w:pStyle w:val="Heading1"/>
      </w:pPr>
      <w:r>
        <w:t xml:space="preserve">1. Curriculum Vitae</w:t>
      </w:r>
    </w:p>
    <w:bookmarkStart w:id="21" w:name="education"/>
    <w:p>
      <w:pPr>
        <w:pStyle w:val="Heading2"/>
      </w:pPr>
      <w:r>
        <w:t xml:space="preserve">1.1 Education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Degree</w:t>
            </w:r>
          </w:p>
        </w:tc>
        <w:tc>
          <w:tcPr/>
          <w:p>
            <w:pPr>
              <w:pStyle w:val="Compact"/>
              <w:jc w:val="left"/>
            </w:pPr>
            <w:r>
              <w:t xml:space="preserve">Field</w:t>
            </w:r>
          </w:p>
        </w:tc>
        <w:tc>
          <w:tcPr/>
          <w:p>
            <w:pPr>
              <w:pStyle w:val="Compact"/>
              <w:jc w:val="left"/>
            </w:pPr>
            <w:r>
              <w:t xml:space="preserve">Institution</w:t>
            </w:r>
          </w:p>
        </w:tc>
        <w:tc>
          <w:tcPr/>
          <w:p>
            <w:pPr>
              <w:pStyle w:val="Compact"/>
              <w:jc w:val="left"/>
            </w:pPr>
            <w:r>
              <w:t xml:space="preserve">Date</w:t>
            </w:r>
          </w:p>
        </w:tc>
      </w:tr>
      <w:tr>
        <w:tc>
          <w:tcPr/>
          <w:p>
            <w:pPr>
              <w:pStyle w:val="Compact"/>
              <w:jc w:val="left"/>
            </w:pPr>
            <w:r>
              <w:t xml:space="preserve">Ph.D.</w:t>
            </w:r>
          </w:p>
        </w:tc>
        <w:tc>
          <w:tcPr/>
          <w:p>
            <w:pPr>
              <w:pStyle w:val="Compact"/>
              <w:jc w:val="left"/>
            </w:pPr>
            <w:r>
              <w:t xml:space="preserve">Technology-Integrated Assessment</w:t>
            </w:r>
          </w:p>
        </w:tc>
        <w:tc>
          <w:tcPr/>
          <w:p>
            <w:pPr>
              <w:pStyle w:val="Compact"/>
              <w:jc w:val="left"/>
            </w:pPr>
            <w:r>
              <w:t xml:space="preserve">University of Victoria</w:t>
            </w:r>
          </w:p>
        </w:tc>
        <w:tc>
          <w:tcPr/>
          <w:p>
            <w:pPr>
              <w:pStyle w:val="Compact"/>
              <w:jc w:val="left"/>
            </w:pPr>
            <w:r>
              <w:t xml:space="preserve">2026</w:t>
            </w:r>
          </w:p>
        </w:tc>
      </w:tr>
      <w:tr>
        <w:tc>
          <w:tcPr/>
          <w:p>
            <w:pPr>
              <w:pStyle w:val="Compact"/>
              <w:jc w:val="left"/>
            </w:pPr>
            <w:r>
              <w:t xml:space="preserve">M.Ed.</w:t>
            </w:r>
          </w:p>
        </w:tc>
        <w:tc>
          <w:tcPr/>
          <w:p>
            <w:pPr>
              <w:pStyle w:val="Compact"/>
              <w:jc w:val="left"/>
            </w:pPr>
            <w:r>
              <w:t xml:space="preserve">Distance Education</w:t>
            </w:r>
          </w:p>
        </w:tc>
        <w:tc>
          <w:tcPr/>
          <w:p>
            <w:pPr>
              <w:pStyle w:val="Compact"/>
              <w:jc w:val="left"/>
            </w:pPr>
            <w:r>
              <w:t xml:space="preserve">Athabasca University</w:t>
            </w:r>
          </w:p>
        </w:tc>
        <w:tc>
          <w:tcPr/>
          <w:p>
            <w:pPr>
              <w:pStyle w:val="Compact"/>
              <w:jc w:val="left"/>
            </w:pPr>
            <w:r>
              <w:t xml:space="preserve">2014</w:t>
            </w:r>
          </w:p>
        </w:tc>
      </w:tr>
      <w:tr>
        <w:tc>
          <w:tcPr/>
          <w:p>
            <w:pPr>
              <w:pStyle w:val="Compact"/>
              <w:jc w:val="left"/>
            </w:pPr>
            <w:r>
              <w:t xml:space="preserve">B.Ed.</w:t>
            </w:r>
          </w:p>
        </w:tc>
        <w:tc>
          <w:tcPr/>
          <w:p>
            <w:pPr>
              <w:pStyle w:val="Compact"/>
              <w:jc w:val="left"/>
            </w:pPr>
            <w:r>
              <w:t xml:space="preserve">Physical Education</w:t>
            </w:r>
          </w:p>
        </w:tc>
        <w:tc>
          <w:tcPr/>
          <w:p>
            <w:pPr>
              <w:pStyle w:val="Compact"/>
              <w:jc w:val="left"/>
            </w:pPr>
            <w:r>
              <w:t xml:space="preserve">University of Lethbridge</w:t>
            </w:r>
          </w:p>
        </w:tc>
        <w:tc>
          <w:tcPr/>
          <w:p>
            <w:pPr>
              <w:pStyle w:val="Compact"/>
              <w:jc w:val="left"/>
            </w:pPr>
            <w:r>
              <w:t xml:space="preserve">2001</w:t>
            </w:r>
          </w:p>
        </w:tc>
      </w:tr>
      <w:tr>
        <w:tc>
          <w:tcPr/>
          <w:p>
            <w:pPr>
              <w:pStyle w:val="Compact"/>
              <w:jc w:val="left"/>
            </w:pPr>
            <w:r>
              <w:t xml:space="preserve">B.A.</w:t>
            </w:r>
          </w:p>
        </w:tc>
        <w:tc>
          <w:tcPr/>
          <w:p>
            <w:pPr>
              <w:pStyle w:val="Compact"/>
              <w:jc w:val="left"/>
            </w:pPr>
            <w:r>
              <w:t xml:space="preserve">Physical Education</w:t>
            </w:r>
          </w:p>
        </w:tc>
        <w:tc>
          <w:tcPr/>
          <w:p>
            <w:pPr>
              <w:pStyle w:val="Compact"/>
              <w:jc w:val="left"/>
            </w:pPr>
            <w:r>
              <w:t xml:space="preserve">Trinity Western University</w:t>
            </w:r>
          </w:p>
        </w:tc>
        <w:tc>
          <w:tcPr/>
          <w:p>
            <w:pPr>
              <w:pStyle w:val="Compact"/>
              <w:jc w:val="left"/>
            </w:pPr>
            <w:r>
              <w:t xml:space="preserve">1997</w:t>
            </w:r>
          </w:p>
        </w:tc>
      </w:tr>
    </w:tbl>
    <w:bookmarkEnd w:id="21"/>
    <w:bookmarkStart w:id="22" w:name="certifications"/>
    <w:p>
      <w:pPr>
        <w:pStyle w:val="Heading2"/>
      </w:pPr>
      <w:r>
        <w:t xml:space="preserve">1.2 Certifications</w:t>
      </w:r>
    </w:p>
    <w:p>
      <w:pPr>
        <w:pStyle w:val="Compact"/>
        <w:numPr>
          <w:ilvl w:val="0"/>
          <w:numId w:val="1001"/>
        </w:numPr>
      </w:pPr>
      <w:r>
        <w:t xml:space="preserve">British Columbia Ministry of Education Teacher Regulation Branch</w:t>
      </w:r>
    </w:p>
    <w:p>
      <w:pPr>
        <w:pStyle w:val="Compact"/>
        <w:numPr>
          <w:ilvl w:val="1"/>
          <w:numId w:val="1002"/>
        </w:numPr>
      </w:pPr>
      <w:r>
        <w:t xml:space="preserve">Professional Certificate #L178396</w:t>
      </w:r>
    </w:p>
    <w:p>
      <w:pPr>
        <w:pStyle w:val="Compact"/>
        <w:numPr>
          <w:ilvl w:val="0"/>
          <w:numId w:val="1001"/>
        </w:numPr>
      </w:pPr>
      <w:r>
        <w:t xml:space="preserve">Alberta Education</w:t>
      </w:r>
    </w:p>
    <w:p>
      <w:pPr>
        <w:pStyle w:val="Compact"/>
        <w:numPr>
          <w:ilvl w:val="1"/>
          <w:numId w:val="1003"/>
        </w:numPr>
      </w:pPr>
      <w:r>
        <w:t xml:space="preserve">Permanent Professional Certificate #254651U</w:t>
      </w:r>
    </w:p>
    <w:bookmarkEnd w:id="22"/>
    <w:bookmarkStart w:id="23" w:name="employment-history"/>
    <w:p>
      <w:pPr>
        <w:pStyle w:val="Heading2"/>
      </w:pPr>
      <w:r>
        <w:t xml:space="preserve">1.3 Employment History</w:t>
      </w:r>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jc w:val="left"/>
            </w:pPr>
            <w:r>
              <w:t xml:space="preserve">Dates</w:t>
            </w:r>
          </w:p>
        </w:tc>
        <w:tc>
          <w:tcPr/>
          <w:p>
            <w:pPr>
              <w:pStyle w:val="Compact"/>
              <w:jc w:val="left"/>
            </w:pPr>
            <w:r>
              <w:t xml:space="preserve">Position, Employer</w:t>
            </w:r>
          </w:p>
        </w:tc>
      </w:tr>
      <w:tr>
        <w:tc>
          <w:tcPr/>
          <w:p>
            <w:pPr>
              <w:pStyle w:val="Compact"/>
              <w:jc w:val="left"/>
            </w:pPr>
            <w:r>
              <w:t xml:space="preserve">2024 -</w:t>
            </w:r>
          </w:p>
        </w:tc>
        <w:tc>
          <w:tcPr/>
          <w:p>
            <w:pPr>
              <w:pStyle w:val="Compact"/>
              <w:jc w:val="left"/>
            </w:pPr>
            <w:r>
              <w:t xml:space="preserve">Director, Technology-integrated Learning and Assessment, Trinity Western University</w:t>
            </w:r>
          </w:p>
        </w:tc>
      </w:tr>
      <w:tr>
        <w:tc>
          <w:tcPr/>
          <w:p>
            <w:pPr>
              <w:pStyle w:val="Compact"/>
              <w:jc w:val="left"/>
            </w:pPr>
            <w:r>
              <w:t xml:space="preserve">2016 - 2024</w:t>
            </w:r>
          </w:p>
        </w:tc>
        <w:tc>
          <w:tcPr/>
          <w:p>
            <w:pPr>
              <w:pStyle w:val="Compact"/>
              <w:jc w:val="left"/>
            </w:pPr>
            <w:r>
              <w:t xml:space="preserve">Manager of Online Learning and Instructional Technologies, Trinity Western University</w:t>
            </w:r>
          </w:p>
        </w:tc>
      </w:tr>
      <w:tr>
        <w:tc>
          <w:tcPr/>
          <w:p>
            <w:pPr>
              <w:pStyle w:val="Compact"/>
              <w:jc w:val="left"/>
            </w:pPr>
            <w:r>
              <w:t xml:space="preserve">2019 -</w:t>
            </w:r>
          </w:p>
        </w:tc>
        <w:tc>
          <w:tcPr/>
          <w:p>
            <w:pPr>
              <w:pStyle w:val="Compact"/>
              <w:jc w:val="left"/>
            </w:pPr>
            <w:r>
              <w:t xml:space="preserve">Sessional Instructor, Trinity Western University</w:t>
            </w:r>
          </w:p>
        </w:tc>
      </w:tr>
      <w:tr>
        <w:tc>
          <w:tcPr/>
          <w:p>
            <w:pPr>
              <w:pStyle w:val="Compact"/>
              <w:jc w:val="left"/>
            </w:pPr>
            <w:r>
              <w:t xml:space="preserve">2019 - 2022</w:t>
            </w:r>
          </w:p>
        </w:tc>
        <w:tc>
          <w:tcPr/>
          <w:p>
            <w:pPr>
              <w:pStyle w:val="Compact"/>
              <w:jc w:val="left"/>
            </w:pPr>
            <w:r>
              <w:t xml:space="preserve">Sessional Instructor, University of Victoria</w:t>
            </w:r>
          </w:p>
        </w:tc>
      </w:tr>
      <w:tr>
        <w:tc>
          <w:tcPr/>
          <w:p>
            <w:pPr>
              <w:pStyle w:val="Compact"/>
              <w:jc w:val="left"/>
            </w:pPr>
            <w:r>
              <w:t xml:space="preserve">2016</w:t>
            </w:r>
          </w:p>
        </w:tc>
        <w:tc>
          <w:tcPr/>
          <w:p>
            <w:pPr>
              <w:pStyle w:val="Compact"/>
              <w:jc w:val="left"/>
            </w:pPr>
            <w:r>
              <w:t xml:space="preserve">Coordinator for Educational Technologies, Thompson Rivers University (Sessional )</w:t>
            </w:r>
          </w:p>
        </w:tc>
      </w:tr>
      <w:tr>
        <w:tc>
          <w:tcPr/>
          <w:p>
            <w:pPr>
              <w:pStyle w:val="Compact"/>
              <w:jc w:val="left"/>
            </w:pPr>
            <w:r>
              <w:t xml:space="preserve">2015 - 2017</w:t>
            </w:r>
          </w:p>
        </w:tc>
        <w:tc>
          <w:tcPr/>
          <w:p>
            <w:pPr>
              <w:pStyle w:val="Compact"/>
              <w:jc w:val="left"/>
            </w:pPr>
            <w:r>
              <w:t xml:space="preserve">Open Education Research Fellow</w:t>
            </w:r>
          </w:p>
        </w:tc>
      </w:tr>
      <w:tr>
        <w:tc>
          <w:tcPr/>
          <w:p>
            <w:pPr>
              <w:pStyle w:val="Compact"/>
              <w:jc w:val="left"/>
            </w:pPr>
            <w:r>
              <w:t xml:space="preserve">2010 - 2016</w:t>
            </w:r>
          </w:p>
        </w:tc>
        <w:tc>
          <w:tcPr/>
          <w:p>
            <w:pPr>
              <w:pStyle w:val="Compact"/>
              <w:jc w:val="left"/>
            </w:pPr>
            <w:r>
              <w:t xml:space="preserve">E-Learning Facilitator, Thompson Rivers University</w:t>
            </w:r>
          </w:p>
        </w:tc>
      </w:tr>
      <w:tr>
        <w:tc>
          <w:tcPr/>
          <w:p>
            <w:pPr>
              <w:pStyle w:val="Compact"/>
              <w:jc w:val="left"/>
            </w:pPr>
            <w:r>
              <w:t xml:space="preserve">2009 - 2013</w:t>
            </w:r>
          </w:p>
        </w:tc>
        <w:tc>
          <w:tcPr/>
          <w:p>
            <w:pPr>
              <w:pStyle w:val="Compact"/>
              <w:jc w:val="left"/>
            </w:pPr>
            <w:r>
              <w:t xml:space="preserve">Research Assistant, Athabasca University</w:t>
            </w:r>
          </w:p>
        </w:tc>
      </w:tr>
      <w:tr>
        <w:tc>
          <w:tcPr/>
          <w:p>
            <w:pPr>
              <w:pStyle w:val="Compact"/>
              <w:jc w:val="left"/>
            </w:pPr>
            <w:r>
              <w:t xml:space="preserve">2007 - 2010</w:t>
            </w:r>
          </w:p>
        </w:tc>
        <w:tc>
          <w:tcPr/>
          <w:p>
            <w:pPr>
              <w:pStyle w:val="Compact"/>
              <w:jc w:val="left"/>
            </w:pPr>
            <w:r>
              <w:t xml:space="preserve">High School Teacher and Athletic Director, St. Ann’s Academy</w:t>
            </w:r>
          </w:p>
        </w:tc>
      </w:tr>
      <w:tr>
        <w:tc>
          <w:tcPr/>
          <w:p>
            <w:pPr>
              <w:pStyle w:val="Compact"/>
              <w:jc w:val="left"/>
            </w:pPr>
            <w:r>
              <w:t xml:space="preserve">2005 - 2007</w:t>
            </w:r>
          </w:p>
        </w:tc>
        <w:tc>
          <w:tcPr/>
          <w:p>
            <w:pPr>
              <w:pStyle w:val="Compact"/>
              <w:jc w:val="left"/>
            </w:pPr>
            <w:r>
              <w:t xml:space="preserve">English Teacher, Ogaki and Nagoya, Japan</w:t>
            </w:r>
          </w:p>
        </w:tc>
      </w:tr>
    </w:tbl>
    <w:bookmarkEnd w:id="23"/>
    <w:bookmarkStart w:id="27" w:name="refereed-journal-articles"/>
    <w:p>
      <w:pPr>
        <w:pStyle w:val="Heading2"/>
      </w:pPr>
      <w:r>
        <w:t xml:space="preserve">1.4 Refereed Journal Articles</w:t>
      </w:r>
    </w:p>
    <w:p>
      <w:pPr>
        <w:pStyle w:val="Compact"/>
        <w:numPr>
          <w:ilvl w:val="0"/>
          <w:numId w:val="1004"/>
        </w:numPr>
      </w:pPr>
      <w:r>
        <w:rPr>
          <w:b/>
          <w:bCs/>
        </w:rPr>
        <w:t xml:space="preserve">Madland, C.</w:t>
      </w:r>
      <w:r>
        <w:t xml:space="preserve">, Irvine, V., DeLuca, C., &amp; Bulut, O. (2024a).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4">
        <w:r>
          <w:rPr>
            <w:rStyle w:val="Hyperlink"/>
          </w:rPr>
          <w:t xml:space="preserve">https://doi.org/10.18357/otessaj.2024.4.1.63</w:t>
        </w:r>
      </w:hyperlink>
    </w:p>
    <w:p>
      <w:pPr>
        <w:pStyle w:val="Compact"/>
        <w:numPr>
          <w:ilvl w:val="0"/>
          <w:numId w:val="1004"/>
        </w:numPr>
      </w:pPr>
      <w:r>
        <w:rPr>
          <w:b/>
          <w:bCs/>
        </w:rPr>
        <w:t xml:space="preserve">Madland, C.</w:t>
      </w:r>
      <w:r>
        <w:t xml:space="preserve">, Irvine, V., DeLuca, C., &amp; Bulut, O. (2024b).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25">
        <w:r>
          <w:rPr>
            <w:rStyle w:val="Hyperlink"/>
          </w:rPr>
          <w:t xml:space="preserve">https://doi.org/10.18357/otessaj.2024.4.1.57</w:t>
        </w:r>
      </w:hyperlink>
    </w:p>
    <w:p>
      <w:pPr>
        <w:pStyle w:val="Compact"/>
        <w:numPr>
          <w:ilvl w:val="0"/>
          <w:numId w:val="1004"/>
        </w:numPr>
      </w:pPr>
      <w:r>
        <w:rPr>
          <w:b/>
          <w:bCs/>
        </w:rPr>
        <w:t xml:space="preserve">Madland, C.</w:t>
      </w:r>
      <w:r>
        <w:t xml:space="preserve">, &amp; Richards, G. (2016). Enhancing Student-Student Online Interaction: Exploring the Study Buddy Peer Review Activity.</w:t>
      </w:r>
      <w:r>
        <w:t xml:space="preserve"> </w:t>
      </w:r>
      <w:r>
        <w:rPr>
          <w:i/>
          <w:iCs/>
        </w:rPr>
        <w:t xml:space="preserve">International Review of Research in Open and Distance Learning, 17</w:t>
      </w:r>
      <w:r>
        <w:t xml:space="preserve">(3).</w:t>
      </w:r>
      <w:r>
        <w:t xml:space="preserve"> </w:t>
      </w:r>
      <w:hyperlink r:id="rId26">
        <w:r>
          <w:rPr>
            <w:rStyle w:val="Hyperlink"/>
          </w:rPr>
          <w:t xml:space="preserve">https://doi.org/10.19173/irrodl.v17i3.2179</w:t>
        </w:r>
      </w:hyperlink>
    </w:p>
    <w:bookmarkEnd w:id="27"/>
    <w:bookmarkStart w:id="28" w:name="forthcoming"/>
    <w:p>
      <w:pPr>
        <w:pStyle w:val="Heading2"/>
      </w:pPr>
      <w:r>
        <w:t xml:space="preserve">1.5 Forthcoming</w:t>
      </w:r>
    </w:p>
    <w:p>
      <w:pPr>
        <w:pStyle w:val="Compact"/>
        <w:numPr>
          <w:ilvl w:val="0"/>
          <w:numId w:val="1005"/>
        </w:numPr>
      </w:pPr>
      <w:r>
        <w:rPr>
          <w:b/>
          <w:bCs/>
        </w:rPr>
        <w:t xml:space="preserve">Madland, C.</w:t>
      </w:r>
      <w:r>
        <w:t xml:space="preserve">, Irvine, V., Bulut, O., &amp; DeLuca, C. (In preparation). Exploring the Factor Structure of the Technology-Integrated Assessment Framework.</w:t>
      </w:r>
    </w:p>
    <w:p>
      <w:pPr>
        <w:pStyle w:val="Compact"/>
        <w:numPr>
          <w:ilvl w:val="0"/>
          <w:numId w:val="1005"/>
        </w:numPr>
      </w:pPr>
      <w:r>
        <w:rPr>
          <w:b/>
          <w:bCs/>
        </w:rPr>
        <w:t xml:space="preserve">Madland, C.</w:t>
      </w:r>
      <w:r>
        <w:t xml:space="preserve">, Irvine, V., Bulut, O., &amp; DeLuca, C. (In preparation). Impact of genAI Policies and Practices on Learners’ Experiences of Care in Higher Education Assessment.</w:t>
      </w:r>
      <w:r>
        <w:t xml:space="preserve"> </w:t>
      </w:r>
      <w:r>
        <w:t xml:space="preserve"> </w:t>
      </w:r>
    </w:p>
    <w:bookmarkEnd w:id="28"/>
    <w:bookmarkStart w:id="34" w:name="refereed-proceedings"/>
    <w:p>
      <w:pPr>
        <w:pStyle w:val="Heading2"/>
      </w:pPr>
      <w:r>
        <w:t xml:space="preserve">1.6 Refereed Proceedings</w:t>
      </w:r>
    </w:p>
    <w:p>
      <w:pPr>
        <w:pStyle w:val="Compact"/>
        <w:numPr>
          <w:ilvl w:val="0"/>
          <w:numId w:val="1006"/>
        </w:numPr>
      </w:pPr>
      <w:r>
        <w:rPr>
          <w:b/>
          <w:bCs/>
        </w:rPr>
        <w:t xml:space="preserve">Madland, C.</w:t>
      </w:r>
      <w:r>
        <w:t xml:space="preserve">, Irvine, V., DeLuca, C., &amp; Bulut, O. (2024, June). Evolving our understanding of technology-integrated assessment: A review of the literature and development of a new framework.</w:t>
      </w:r>
      <w:r>
        <w:t xml:space="preserve"> </w:t>
      </w:r>
      <w:r>
        <w:rPr>
          <w:i/>
          <w:iCs/>
        </w:rPr>
        <w:t xml:space="preserve">Open/Technology in Education, Society, and Scholarship Association at Congress of the Social Sciences and Humanities</w:t>
      </w:r>
      <w:r>
        <w:t xml:space="preserve">, Montreal, QC, CA.</w:t>
      </w:r>
      <w:r>
        <w:t xml:space="preserve"> </w:t>
      </w:r>
      <w:hyperlink r:id="rId29">
        <w:r>
          <w:rPr>
            <w:rStyle w:val="Hyperlink"/>
          </w:rPr>
          <w:t xml:space="preserve">https://doi.org/10.18357/otessac.2024.4.1.393</w:t>
        </w:r>
      </w:hyperlink>
    </w:p>
    <w:p>
      <w:pPr>
        <w:pStyle w:val="Compact"/>
        <w:numPr>
          <w:ilvl w:val="0"/>
          <w:numId w:val="1006"/>
        </w:numPr>
      </w:pPr>
      <w:r>
        <w:t xml:space="preserve">Cui, H., Irvine, V., Miller, M., &amp;</w:t>
      </w:r>
      <w:r>
        <w:t xml:space="preserve"> </w:t>
      </w:r>
      <w:r>
        <w:rPr>
          <w:b/>
          <w:bCs/>
        </w:rPr>
        <w:t xml:space="preserve">Madland, C.</w:t>
      </w:r>
      <w:r>
        <w:t xml:space="preserve"> </w:t>
      </w:r>
      <w:r>
        <w:t xml:space="preserve">(2024). Creating Capacity for Digital Transformation of Education: Mode and Disciplinary Barriers in the Development of Highly Qualified Personnel.</w:t>
      </w:r>
      <w:r>
        <w:t xml:space="preserve"> </w:t>
      </w:r>
      <w:r>
        <w:rPr>
          <w:i/>
          <w:iCs/>
        </w:rPr>
        <w:t xml:space="preserve">Proceedings of the Open/Technology in Education, Society, and Scholarship Association Conference. Open/Technology in Education, Society, and Scholarship Association Conference,</w:t>
      </w:r>
      <w:r>
        <w:t xml:space="preserve"> </w:t>
      </w:r>
      <w:r>
        <w:t xml:space="preserve">Montréal, QC.</w:t>
      </w:r>
      <w:r>
        <w:t xml:space="preserve"> </w:t>
      </w:r>
      <w:hyperlink r:id="rId30">
        <w:r>
          <w:rPr>
            <w:rStyle w:val="Hyperlink"/>
          </w:rPr>
          <w:t xml:space="preserve">https://doi.org/10.18357/otessac.2024.4.1.421</w:t>
        </w:r>
      </w:hyperlink>
    </w:p>
    <w:p>
      <w:pPr>
        <w:pStyle w:val="Compact"/>
        <w:numPr>
          <w:ilvl w:val="0"/>
          <w:numId w:val="1006"/>
        </w:numPr>
      </w:pPr>
      <w:r>
        <w:t xml:space="preserve">Irvine, V., Paskevicius, M.,</w:t>
      </w:r>
      <w:r>
        <w:t xml:space="preserve"> </w:t>
      </w:r>
      <w:r>
        <w:rPr>
          <w:b/>
          <w:bCs/>
        </w:rPr>
        <w:t xml:space="preserve">Madland, C.</w:t>
      </w:r>
      <w:r>
        <w:t xml:space="preserve">, McCue, R., &amp; Roberts, V. (2022). Multi-Section Open Course Design: Design and Implications for Faculty, Sessional Instructors, and Learners.</w:t>
      </w:r>
      <w:r>
        <w:t xml:space="preserve"> </w:t>
      </w:r>
      <w:r>
        <w:rPr>
          <w:i/>
          <w:iCs/>
        </w:rPr>
        <w:t xml:space="preserve">The Open/Technology in Education, Society, and Scholarship Association Conference, 2</w:t>
      </w:r>
      <w:r>
        <w:t xml:space="preserve">(1), 1–9.</w:t>
      </w:r>
      <w:r>
        <w:t xml:space="preserve"> </w:t>
      </w:r>
      <w:hyperlink r:id="rId31">
        <w:r>
          <w:rPr>
            <w:rStyle w:val="Hyperlink"/>
          </w:rPr>
          <w:t xml:space="preserve">https://doi.org/10.18357/otessac.2022.2.1.419</w:t>
        </w:r>
      </w:hyperlink>
    </w:p>
    <w:p>
      <w:pPr>
        <w:pStyle w:val="Compact"/>
        <w:numPr>
          <w:ilvl w:val="0"/>
          <w:numId w:val="1006"/>
        </w:numPr>
      </w:pPr>
      <w:r>
        <w:rPr>
          <w:b/>
          <w:bCs/>
        </w:rPr>
        <w:t xml:space="preserve">Madland, C.</w:t>
      </w:r>
      <w:r>
        <w:t xml:space="preserve">, Ofosuhene, M., &amp; Adkins, J. (2022). Digital Platforms and Algorithmic Erasure: What are the Implications?</w:t>
      </w:r>
      <w:r>
        <w:t xml:space="preserve"> </w:t>
      </w:r>
      <w:r>
        <w:rPr>
          <w:i/>
          <w:iCs/>
        </w:rPr>
        <w:t xml:space="preserve">Open/Technology in Education, Society, and Scholarship Association at Congress of the Social Sciences and Humanities</w:t>
      </w:r>
      <w:r>
        <w:t xml:space="preserve">, Online.</w:t>
      </w:r>
      <w:r>
        <w:t xml:space="preserve"> </w:t>
      </w:r>
      <w:hyperlink r:id="rId32">
        <w:r>
          <w:rPr>
            <w:rStyle w:val="Hyperlink"/>
          </w:rPr>
          <w:t xml:space="preserve">https://doi.org/10.18357/otessac.2022.2.1.137</w:t>
        </w:r>
      </w:hyperlink>
    </w:p>
    <w:p>
      <w:pPr>
        <w:pStyle w:val="Compact"/>
        <w:numPr>
          <w:ilvl w:val="0"/>
          <w:numId w:val="1006"/>
        </w:numPr>
      </w:pPr>
      <w:r>
        <w:t xml:space="preserve">Irvine, V., Paskevicius, M.,</w:t>
      </w:r>
      <w:r>
        <w:t xml:space="preserve"> </w:t>
      </w:r>
      <w:r>
        <w:rPr>
          <w:b/>
          <w:bCs/>
        </w:rPr>
        <w:t xml:space="preserve">Madland, C</w:t>
      </w:r>
      <w:r>
        <w:t xml:space="preserve">., McCue, R., &amp; Roberts, V. (2022). Multi-Section Open Course Design: Design and Implications for Faculty, Sessional Instructors, and Learners. Proceedings of the Open/Technology in Education, Society, and Scholarship Association Conference, 1–3.</w:t>
      </w:r>
      <w:r>
        <w:t xml:space="preserve"> </w:t>
      </w:r>
      <w:hyperlink r:id="rId31">
        <w:r>
          <w:rPr>
            <w:rStyle w:val="Hyperlink"/>
          </w:rPr>
          <w:t xml:space="preserve">https://doi.org/10.18357/otessac.2022.2.1.419</w:t>
        </w:r>
      </w:hyperlink>
    </w:p>
    <w:p>
      <w:pPr>
        <w:pStyle w:val="Compact"/>
        <w:numPr>
          <w:ilvl w:val="0"/>
          <w:numId w:val="1006"/>
        </w:numPr>
      </w:pPr>
      <w:r>
        <w:rPr>
          <w:b/>
          <w:bCs/>
        </w:rPr>
        <w:t xml:space="preserve">Madland, C.</w:t>
      </w:r>
      <w:r>
        <w:t xml:space="preserve">, &amp; Restoule, J.-P. (2021). Self-Determination in Indigenous Online Education.</w:t>
      </w:r>
      <w:r>
        <w:t xml:space="preserve"> </w:t>
      </w:r>
      <w:r>
        <w:rPr>
          <w:i/>
          <w:iCs/>
        </w:rPr>
        <w:t xml:space="preserve">The Open/Technology in Education, Society, and Scholarship Association Conference, 1</w:t>
      </w:r>
      <w:r>
        <w:t xml:space="preserve"> </w:t>
      </w:r>
      <w:r>
        <w:t xml:space="preserve">(1), 1–7.</w:t>
      </w:r>
      <w:r>
        <w:t xml:space="preserve"> </w:t>
      </w:r>
      <w:hyperlink r:id="rId33">
        <w:r>
          <w:rPr>
            <w:rStyle w:val="Hyperlink"/>
          </w:rPr>
          <w:t xml:space="preserve">https://doi.org/10.18357/otessac.2021.1.1.147</w:t>
        </w:r>
      </w:hyperlink>
    </w:p>
    <w:bookmarkEnd w:id="34"/>
    <w:bookmarkStart w:id="47" w:name="refereed-presentations"/>
    <w:p>
      <w:pPr>
        <w:pStyle w:val="Heading2"/>
      </w:pPr>
      <w:r>
        <w:t xml:space="preserve">1.7 Refereed Presentations</w:t>
      </w:r>
    </w:p>
    <w:p>
      <w:pPr>
        <w:pStyle w:val="Compact"/>
        <w:numPr>
          <w:ilvl w:val="0"/>
          <w:numId w:val="1007"/>
        </w:numPr>
      </w:pPr>
      <w:r>
        <w:rPr>
          <w:b/>
          <w:bCs/>
        </w:rPr>
        <w:t xml:space="preserve">Madland, C.</w:t>
      </w:r>
      <w:r>
        <w:t xml:space="preserve">, &amp; Mitchell, J. (2025, June 5). Assessment for Equity: Openness and DEI in your Grading Architecture [50-min Workshop].</w:t>
      </w:r>
      <w:r>
        <w:t xml:space="preserve"> </w:t>
      </w:r>
      <w:r>
        <w:rPr>
          <w:i/>
          <w:iCs/>
        </w:rPr>
        <w:t xml:space="preserve">Open/Technology in Education, Society, and Scholarship Association Conference, Victoria, BC.</w:t>
      </w:r>
      <w:r>
        <w:t xml:space="preserve"> </w:t>
      </w:r>
      <w:hyperlink r:id="rId35">
        <w:r>
          <w:rPr>
            <w:rStyle w:val="Hyperlink"/>
          </w:rPr>
          <w:t xml:space="preserve">https://cmadland.github.io/slides/posts/otessa25-grading/#/title-slide</w:t>
        </w:r>
      </w:hyperlink>
    </w:p>
    <w:p>
      <w:pPr>
        <w:pStyle w:val="Compact"/>
        <w:numPr>
          <w:ilvl w:val="0"/>
          <w:numId w:val="1007"/>
        </w:numPr>
      </w:pPr>
      <w:r>
        <w:rPr>
          <w:b/>
          <w:bCs/>
        </w:rPr>
        <w:t xml:space="preserve">Madland, C.</w:t>
      </w:r>
      <w:r>
        <w:t xml:space="preserve">, Irvine, V., DeLuca, C., &amp; Bulut, O. (2025, June 6). Technology-integrated Assessment Scale [20-min Presentation].</w:t>
      </w:r>
      <w:r>
        <w:t xml:space="preserve"> </w:t>
      </w:r>
      <w:r>
        <w:rPr>
          <w:i/>
          <w:iCs/>
        </w:rPr>
        <w:t xml:space="preserve">Open/Technology in Education, Society, and Scholarship Association Conference, Victoria, BC.</w:t>
      </w:r>
      <w:r>
        <w:t xml:space="preserve"> </w:t>
      </w:r>
      <w:hyperlink r:id="rId36">
        <w:r>
          <w:rPr>
            <w:rStyle w:val="Hyperlink"/>
          </w:rPr>
          <w:t xml:space="preserve">https://cmadland.github.io/slides/posts/otessa25-scale/#/title-slide</w:t>
        </w:r>
      </w:hyperlink>
    </w:p>
    <w:p>
      <w:pPr>
        <w:pStyle w:val="Compact"/>
        <w:numPr>
          <w:ilvl w:val="0"/>
          <w:numId w:val="1007"/>
        </w:numPr>
      </w:pPr>
      <w:r>
        <w:rPr>
          <w:b/>
          <w:bCs/>
        </w:rPr>
        <w:t xml:space="preserve">Madland, C.</w:t>
      </w:r>
      <w:r>
        <w:t xml:space="preserve">, Irvine, V., DeLuca, C., &amp; Bulut, O. (2024, June). Evolving our understanding of technology-integrated assessment: A review of the literature and development of a new framework.</w:t>
      </w:r>
      <w:r>
        <w:t xml:space="preserve"> </w:t>
      </w:r>
      <w:r>
        <w:rPr>
          <w:i/>
          <w:iCs/>
        </w:rPr>
        <w:t xml:space="preserve">Open/Technology in Education, Society, and Scholarship Association</w:t>
      </w:r>
      <w:r>
        <w:t xml:space="preserve">, Montreal, QC, CA.</w:t>
      </w:r>
      <w:r>
        <w:t xml:space="preserve"> </w:t>
      </w:r>
      <w:hyperlink r:id="rId37">
        <w:r>
          <w:rPr>
            <w:rStyle w:val="Hyperlink"/>
          </w:rPr>
          <w:t xml:space="preserve">https://cmadland.github.io/blog/posts/deck-otessa24/#/title-slide</w:t>
        </w:r>
      </w:hyperlink>
    </w:p>
    <w:p>
      <w:pPr>
        <w:pStyle w:val="Compact"/>
        <w:numPr>
          <w:ilvl w:val="0"/>
          <w:numId w:val="1007"/>
        </w:numPr>
      </w:pPr>
      <w:r>
        <w:rPr>
          <w:b/>
          <w:bCs/>
        </w:rPr>
        <w:t xml:space="preserve">Madland, C.</w:t>
      </w:r>
      <w:r>
        <w:t xml:space="preserve"> </w:t>
      </w:r>
      <w:r>
        <w:t xml:space="preserve">(2023, June). Research? Which Research? Technology, Assessment, and Higher Education in Tension.</w:t>
      </w:r>
      <w:r>
        <w:t xml:space="preserve"> </w:t>
      </w:r>
      <w:r>
        <w:rPr>
          <w:i/>
          <w:iCs/>
        </w:rPr>
        <w:t xml:space="preserve">Open/Technology in Education, Society, and Scholarship Association</w:t>
      </w:r>
      <w:r>
        <w:t xml:space="preserve">, Online.</w:t>
      </w:r>
    </w:p>
    <w:p>
      <w:pPr>
        <w:pStyle w:val="Compact"/>
        <w:numPr>
          <w:ilvl w:val="0"/>
          <w:numId w:val="1007"/>
        </w:numPr>
      </w:pPr>
      <w:r>
        <w:rPr>
          <w:b/>
          <w:bCs/>
        </w:rPr>
        <w:t xml:space="preserve">Madland, C.</w:t>
      </w:r>
      <w:r>
        <w:t xml:space="preserve"> </w:t>
      </w:r>
      <w:r>
        <w:t xml:space="preserve">(2022, May). Assessment and Digital Technology in Higher Education: A Review of the Literature.</w:t>
      </w:r>
      <w:r>
        <w:t xml:space="preserve"> </w:t>
      </w:r>
      <w:r>
        <w:rPr>
          <w:i/>
          <w:iCs/>
        </w:rPr>
        <w:t xml:space="preserve">Open/Technology in Education, Society, and Scholarship Association</w:t>
      </w:r>
      <w:r>
        <w:t xml:space="preserve">, Online.</w:t>
      </w:r>
      <w:r>
        <w:t xml:space="preserve"> </w:t>
      </w:r>
      <w:hyperlink r:id="rId38">
        <w:r>
          <w:rPr>
            <w:rStyle w:val="Hyperlink"/>
          </w:rPr>
          <w:t xml:space="preserve">https://cmadland.github.io/decks/otessa22---assessment-and-digital-technology-in-higher-education.html#otessa22---assessment-and-digital-technology-in-higher-education</w:t>
        </w:r>
      </w:hyperlink>
    </w:p>
    <w:p>
      <w:pPr>
        <w:pStyle w:val="Compact"/>
        <w:numPr>
          <w:ilvl w:val="0"/>
          <w:numId w:val="1007"/>
        </w:numPr>
      </w:pPr>
      <w:r>
        <w:t xml:space="preserve">Irvine, V., Paskevicius, M.,</w:t>
      </w:r>
      <w:r>
        <w:t xml:space="preserve"> </w:t>
      </w:r>
      <w:r>
        <w:rPr>
          <w:b/>
          <w:bCs/>
        </w:rPr>
        <w:t xml:space="preserve">Madland, C.</w:t>
      </w:r>
      <w:r>
        <w:t xml:space="preserve">, McCue, R., Roberts, V. (2022, May). Multi-Section Open Course Design: Design and Implications for Faculty, Sessional Instructors, and Learners. OTESSA 2022, Online.</w:t>
      </w:r>
      <w:r>
        <w:t xml:space="preserve"> </w:t>
      </w:r>
      <w:hyperlink r:id="rId39">
        <w:r>
          <w:rPr>
            <w:rStyle w:val="Hyperlink"/>
          </w:rPr>
          <w:t xml:space="preserve">https://otessa.github.io/2022/wedesday-may-18-2022.html#parallel-session-11.1-transitions-of-online-learning-and-teaching-pse-open</w:t>
        </w:r>
      </w:hyperlink>
    </w:p>
    <w:p>
      <w:pPr>
        <w:pStyle w:val="Compact"/>
        <w:numPr>
          <w:ilvl w:val="0"/>
          <w:numId w:val="1007"/>
        </w:numPr>
      </w:pPr>
      <w:r>
        <w:t xml:space="preserve">Marjanovic, K., Golland, B.,</w:t>
      </w:r>
      <w:r>
        <w:t xml:space="preserve"> </w:t>
      </w:r>
      <w:r>
        <w:rPr>
          <w:b/>
          <w:bCs/>
        </w:rPr>
        <w:t xml:space="preserve">Madland, C.</w:t>
      </w:r>
      <w:r>
        <w:t xml:space="preserve"> </w:t>
      </w:r>
      <w:r>
        <w:t xml:space="preserve">(2022, May). Share Access! Using Bookdown to Remove Barriers and Open Up Learning. OTESSA 2022, Online.</w:t>
      </w:r>
      <w:r>
        <w:t xml:space="preserve"> </w:t>
      </w:r>
      <w:hyperlink r:id="rId40">
        <w:r>
          <w:rPr>
            <w:rStyle w:val="Hyperlink"/>
          </w:rPr>
          <w:t xml:space="preserve">https://otessa.github.io/2022/friday-may-20-2022.html#share-access-using-bookdown-to-remove-barriers-and-open-up-learning</w:t>
        </w:r>
      </w:hyperlink>
    </w:p>
    <w:p>
      <w:pPr>
        <w:pStyle w:val="Compact"/>
        <w:numPr>
          <w:ilvl w:val="0"/>
          <w:numId w:val="1007"/>
        </w:numPr>
      </w:pPr>
      <w:r>
        <w:rPr>
          <w:b/>
          <w:bCs/>
        </w:rPr>
        <w:t xml:space="preserve">Madland, C.</w:t>
      </w:r>
      <w:r>
        <w:t xml:space="preserve">, Ofosuhene, M., and Adkins, J., (2022, May). Digital platforms and algorithmic erasure: What are the implications? OTESSA 2022, Online.</w:t>
      </w:r>
      <w:r>
        <w:t xml:space="preserve"> </w:t>
      </w:r>
      <w:hyperlink r:id="rId41">
        <w:r>
          <w:rPr>
            <w:rStyle w:val="Hyperlink"/>
          </w:rPr>
          <w:t xml:space="preserve">https://otessa.github.io/2022/tuesday-may-17-2022.html#digital-platforms-and-algorithmic-erasure-what-are-the-implications-practice-oriented</w:t>
        </w:r>
      </w:hyperlink>
    </w:p>
    <w:p>
      <w:pPr>
        <w:pStyle w:val="Compact"/>
        <w:numPr>
          <w:ilvl w:val="0"/>
          <w:numId w:val="1007"/>
        </w:numPr>
      </w:pPr>
      <w:r>
        <w:rPr>
          <w:b/>
          <w:bCs/>
        </w:rPr>
        <w:t xml:space="preserve">Madland, C.</w:t>
      </w:r>
      <w:r>
        <w:t xml:space="preserve"> </w:t>
      </w:r>
      <w:r>
        <w:t xml:space="preserve">(2021, September). Assessment Approaches in Higher Education. Let’s Talk about Teaching, Victoria, BC.</w:t>
      </w:r>
    </w:p>
    <w:p>
      <w:pPr>
        <w:pStyle w:val="Compact"/>
        <w:numPr>
          <w:ilvl w:val="0"/>
          <w:numId w:val="1007"/>
        </w:numPr>
      </w:pPr>
      <w:r>
        <w:t xml:space="preserve">Clark Gray, B., &amp;</w:t>
      </w:r>
      <w:r>
        <w:t xml:space="preserve"> </w:t>
      </w:r>
      <w:r>
        <w:rPr>
          <w:b/>
          <w:bCs/>
        </w:rPr>
        <w:t xml:space="preserve">Madland, C.</w:t>
      </w:r>
      <w:r>
        <w:t xml:space="preserve"> </w:t>
      </w:r>
      <w:r>
        <w:t xml:space="preserve">(2021, June). Resisting Surveillance Technology. OTESSA 2021, Online.</w:t>
      </w:r>
      <w:r>
        <w:t xml:space="preserve"> </w:t>
      </w:r>
      <w:hyperlink r:id="rId42">
        <w:r>
          <w:rPr>
            <w:rStyle w:val="Hyperlink"/>
          </w:rPr>
          <w:t xml:space="preserve">https://otessa.org/2021/abstracts/resisting-surveillance-technology/</w:t>
        </w:r>
      </w:hyperlink>
    </w:p>
    <w:p>
      <w:pPr>
        <w:pStyle w:val="Compact"/>
        <w:numPr>
          <w:ilvl w:val="0"/>
          <w:numId w:val="1007"/>
        </w:numPr>
      </w:pPr>
      <w:r>
        <w:rPr>
          <w:b/>
          <w:bCs/>
        </w:rPr>
        <w:t xml:space="preserve">Madland, C.</w:t>
      </w:r>
      <w:r>
        <w:t xml:space="preserve">, &amp; James, H. (2021, June). Experiencing a cognitive apprenticeship in the context of co-designing and co-teaching an undergraduate course. OTESSA 2021, Online.</w:t>
      </w:r>
      <w:r>
        <w:t xml:space="preserve"> </w:t>
      </w:r>
      <w:hyperlink r:id="rId43">
        <w:r>
          <w:rPr>
            <w:rStyle w:val="Hyperlink"/>
          </w:rPr>
          <w:t xml:space="preserve">https://otessa.org/2021/abstracts/experiencing-a-cognitive-apprenticeship-in-the-context-of-co-designing-and-co-teaching-an-undergraduate-course/</w:t>
        </w:r>
      </w:hyperlink>
    </w:p>
    <w:p>
      <w:pPr>
        <w:pStyle w:val="Compact"/>
        <w:numPr>
          <w:ilvl w:val="0"/>
          <w:numId w:val="1007"/>
        </w:numPr>
      </w:pPr>
      <w:r>
        <w:rPr>
          <w:b/>
          <w:bCs/>
        </w:rPr>
        <w:t xml:space="preserve">Madland, C.</w:t>
      </w:r>
      <w:r>
        <w:t xml:space="preserve"> </w:t>
      </w:r>
      <w:r>
        <w:t xml:space="preserve">(2021, May). Humanizing Assessment in Online Higher Education. OTESSA 2021, Online.</w:t>
      </w:r>
      <w:r>
        <w:t xml:space="preserve"> </w:t>
      </w:r>
      <w:hyperlink r:id="rId44">
        <w:r>
          <w:rPr>
            <w:rStyle w:val="Hyperlink"/>
          </w:rPr>
          <w:t xml:space="preserve">https://otessa.org/2021/abstracts/humanizing-assessment-in-online-higher-education/</w:t>
        </w:r>
      </w:hyperlink>
    </w:p>
    <w:p>
      <w:pPr>
        <w:pStyle w:val="Compact"/>
        <w:numPr>
          <w:ilvl w:val="0"/>
          <w:numId w:val="1007"/>
        </w:numPr>
      </w:pPr>
      <w:r>
        <w:rPr>
          <w:b/>
          <w:bCs/>
        </w:rPr>
        <w:t xml:space="preserve">Madland, C.</w:t>
      </w:r>
      <w:r>
        <w:t xml:space="preserve"> </w:t>
      </w:r>
      <w:r>
        <w:t xml:space="preserve">(2021, May). Indigenous Digital Self-Determination. OTESSA 2021, Online.</w:t>
      </w:r>
      <w:r>
        <w:t xml:space="preserve"> </w:t>
      </w:r>
      <w:hyperlink r:id="rId45">
        <w:r>
          <w:rPr>
            <w:rStyle w:val="Hyperlink"/>
          </w:rPr>
          <w:t xml:space="preserve">https://otessa.org/2021/abstracts/indigenous-digital-self-determination/</w:t>
        </w:r>
      </w:hyperlink>
    </w:p>
    <w:p>
      <w:pPr>
        <w:pStyle w:val="Compact"/>
        <w:numPr>
          <w:ilvl w:val="0"/>
          <w:numId w:val="1007"/>
        </w:numPr>
      </w:pPr>
      <w:r>
        <w:t xml:space="preserve">Chan, K., Irvine, V., &amp;</w:t>
      </w:r>
      <w:r>
        <w:t xml:space="preserve"> </w:t>
      </w:r>
      <w:r>
        <w:rPr>
          <w:b/>
          <w:bCs/>
        </w:rPr>
        <w:t xml:space="preserve">Madland, C.</w:t>
      </w:r>
      <w:r>
        <w:t xml:space="preserve"> </w:t>
      </w:r>
      <w:r>
        <w:t xml:space="preserve">(2020, July). Decentralized Synchronous Learning Pods For Learner Discourse and Community-Building: An Alternative to Breakout Rooms.</w:t>
      </w:r>
      <w:r>
        <w:t xml:space="preserve"> </w:t>
      </w:r>
      <w:r>
        <w:rPr>
          <w:i/>
          <w:iCs/>
        </w:rPr>
        <w:t xml:space="preserve">Let’s Talk about Teaching, Victoria, BC.</w:t>
      </w:r>
    </w:p>
    <w:p>
      <w:pPr>
        <w:pStyle w:val="Compact"/>
        <w:numPr>
          <w:ilvl w:val="0"/>
          <w:numId w:val="1007"/>
        </w:numPr>
      </w:pPr>
      <w:r>
        <w:t xml:space="preserve">Irvine, V., James, H.,</w:t>
      </w:r>
      <w:r>
        <w:t xml:space="preserve"> </w:t>
      </w:r>
      <w:r>
        <w:rPr>
          <w:b/>
          <w:bCs/>
        </w:rPr>
        <w:t xml:space="preserve">Madland, C.</w:t>
      </w:r>
      <w:r>
        <w:t xml:space="preserve">, &amp; McCue, R. (2020, July). Teaching in the Open: Supporting Open Access Designs for Social Justice.</w:t>
      </w:r>
      <w:r>
        <w:t xml:space="preserve"> </w:t>
      </w:r>
      <w:r>
        <w:rPr>
          <w:i/>
          <w:iCs/>
        </w:rPr>
        <w:t xml:space="preserve">Let’s Talk about Teaching, Victoria, BC.</w:t>
      </w:r>
    </w:p>
    <w:p>
      <w:pPr>
        <w:pStyle w:val="Compact"/>
        <w:numPr>
          <w:ilvl w:val="0"/>
          <w:numId w:val="1007"/>
        </w:numPr>
      </w:pPr>
      <w:r>
        <w:t xml:space="preserve">James, H., &amp;</w:t>
      </w:r>
      <w:r>
        <w:t xml:space="preserve"> </w:t>
      </w:r>
      <w:r>
        <w:rPr>
          <w:b/>
          <w:bCs/>
        </w:rPr>
        <w:t xml:space="preserve">Madland, C.</w:t>
      </w:r>
      <w:r>
        <w:t xml:space="preserve"> </w:t>
      </w:r>
      <w:r>
        <w:t xml:space="preserve">(2020, July). Co-Designing and Co-Teaching an Online Course.</w:t>
      </w:r>
      <w:r>
        <w:t xml:space="preserve"> </w:t>
      </w:r>
      <w:r>
        <w:rPr>
          <w:i/>
          <w:iCs/>
        </w:rPr>
        <w:t xml:space="preserve">Let’s Talk about Teaching, Victoria, BC.</w:t>
      </w:r>
    </w:p>
    <w:p>
      <w:pPr>
        <w:pStyle w:val="Compact"/>
        <w:numPr>
          <w:ilvl w:val="0"/>
          <w:numId w:val="1007"/>
        </w:numPr>
      </w:pPr>
      <w:r>
        <w:rPr>
          <w:b/>
          <w:bCs/>
        </w:rPr>
        <w:t xml:space="preserve">Madland, C.</w:t>
      </w:r>
      <w:r>
        <w:t xml:space="preserve">, &amp; Irvine, V. (2020, April 17). Self-Determination in Indigenous Online Education [Roundtable Session]. AERA Annual Meeting, San Francisco, CA. (Conference Canceled).</w:t>
      </w:r>
      <w:r>
        <w:t xml:space="preserve"> </w:t>
      </w:r>
      <w:hyperlink r:id="rId46">
        <w:r>
          <w:rPr>
            <w:rStyle w:val="Hyperlink"/>
          </w:rPr>
          <w:t xml:space="preserve">http://tinyurl.com/vp8h3q8</w:t>
        </w:r>
      </w:hyperlink>
    </w:p>
    <w:p>
      <w:pPr>
        <w:pStyle w:val="Compact"/>
        <w:numPr>
          <w:ilvl w:val="0"/>
          <w:numId w:val="1007"/>
        </w:numPr>
      </w:pPr>
      <w:r>
        <w:rPr>
          <w:b/>
          <w:bCs/>
        </w:rPr>
        <w:t xml:space="preserve">Madland, C.</w:t>
      </w:r>
      <w:r>
        <w:t xml:space="preserve"> </w:t>
      </w:r>
      <w:r>
        <w:t xml:space="preserve">(2019, June). Indigenous and Open Education: A contradiction? CSSHE Conference, Vancouver, BC.</w:t>
      </w:r>
    </w:p>
    <w:p>
      <w:pPr>
        <w:pStyle w:val="Compact"/>
        <w:numPr>
          <w:ilvl w:val="0"/>
          <w:numId w:val="1007"/>
        </w:numPr>
      </w:pPr>
      <w:r>
        <w:rPr>
          <w:b/>
          <w:bCs/>
        </w:rPr>
        <w:t xml:space="preserve">Madland, C.</w:t>
      </w:r>
      <w:r>
        <w:t xml:space="preserve"> </w:t>
      </w:r>
      <w:r>
        <w:t xml:space="preserve">(2017). Flexible Infrastructure to Support the Design and Delivery of Online Learning. ICDE World Conference for Online Learning, Toronto.</w:t>
      </w:r>
    </w:p>
    <w:p>
      <w:pPr>
        <w:pStyle w:val="Compact"/>
        <w:numPr>
          <w:ilvl w:val="0"/>
          <w:numId w:val="1007"/>
        </w:numPr>
      </w:pPr>
      <w:r>
        <w:rPr>
          <w:b/>
          <w:bCs/>
        </w:rPr>
        <w:t xml:space="preserve">Madland, C.</w:t>
      </w:r>
      <w:r>
        <w:t xml:space="preserve"> </w:t>
      </w:r>
      <w:r>
        <w:t xml:space="preserve">(2016, November). The Open Advantage. Open Education, Richmond, VA.</w:t>
      </w:r>
    </w:p>
    <w:p>
      <w:pPr>
        <w:pStyle w:val="Compact"/>
        <w:numPr>
          <w:ilvl w:val="0"/>
          <w:numId w:val="1007"/>
        </w:numPr>
      </w:pPr>
      <w:r>
        <w:t xml:space="preserve">Hendricks, C., Jhangiani, R., &amp;</w:t>
      </w:r>
      <w:r>
        <w:t xml:space="preserve"> </w:t>
      </w:r>
      <w:r>
        <w:rPr>
          <w:b/>
          <w:bCs/>
        </w:rPr>
        <w:t xml:space="preserve">Madland, C.</w:t>
      </w:r>
      <w:r>
        <w:t xml:space="preserve"> </w:t>
      </w:r>
      <w:r>
        <w:t xml:space="preserve">(2016, March). Experiences, perceptions, and outcomes of BC students using open textbooks: Research from the BC OER Research Fellows. BCcampus Festival of Learning.</w:t>
      </w:r>
    </w:p>
    <w:p>
      <w:pPr>
        <w:pStyle w:val="Compact"/>
        <w:numPr>
          <w:ilvl w:val="0"/>
          <w:numId w:val="1007"/>
        </w:numPr>
      </w:pPr>
      <w:r>
        <w:rPr>
          <w:b/>
          <w:bCs/>
        </w:rPr>
        <w:t xml:space="preserve">Madland, C.</w:t>
      </w:r>
      <w:r>
        <w:t xml:space="preserve"> </w:t>
      </w:r>
      <w:r>
        <w:t xml:space="preserve">(2016a, February). Building Trust and Community with Initiative Tasks. Teaching Practices Colloquium, Kamloops, BC.</w:t>
      </w:r>
    </w:p>
    <w:p>
      <w:pPr>
        <w:pStyle w:val="Compact"/>
        <w:numPr>
          <w:ilvl w:val="0"/>
          <w:numId w:val="1007"/>
        </w:numPr>
      </w:pPr>
      <w:r>
        <w:rPr>
          <w:b/>
          <w:bCs/>
        </w:rPr>
        <w:t xml:space="preserve">Madland, C.</w:t>
      </w:r>
      <w:r>
        <w:t xml:space="preserve"> </w:t>
      </w:r>
      <w:r>
        <w:t xml:space="preserve">(2016, February). Communities of Inquiry to Ignite Learning. Teaching Practices Colloquium, Kamloops, BC.</w:t>
      </w:r>
    </w:p>
    <w:p>
      <w:pPr>
        <w:pStyle w:val="Compact"/>
        <w:numPr>
          <w:ilvl w:val="0"/>
          <w:numId w:val="1007"/>
        </w:numPr>
      </w:pPr>
      <w:r>
        <w:rPr>
          <w:b/>
          <w:bCs/>
        </w:rPr>
        <w:t xml:space="preserve">Madland, C.</w:t>
      </w:r>
      <w:r>
        <w:t xml:space="preserve"> </w:t>
      </w:r>
      <w:r>
        <w:t xml:space="preserve">(2016, April). Enhancing Learning through OER and Open Platforms. OER16, Edinburgh, Scotland.</w:t>
      </w:r>
    </w:p>
    <w:p>
      <w:pPr>
        <w:pStyle w:val="Compact"/>
        <w:numPr>
          <w:ilvl w:val="0"/>
          <w:numId w:val="1007"/>
        </w:numPr>
      </w:pPr>
      <w:r>
        <w:rPr>
          <w:b/>
          <w:bCs/>
        </w:rPr>
        <w:t xml:space="preserve">Madland, C.</w:t>
      </w:r>
      <w:r>
        <w:t xml:space="preserve"> </w:t>
      </w:r>
      <w:r>
        <w:t xml:space="preserve">(2016, April). Exploring the Remix Hypothesis. Open Education Global Conference, Krakow, Poland.</w:t>
      </w:r>
    </w:p>
    <w:p>
      <w:pPr>
        <w:pStyle w:val="Compact"/>
        <w:numPr>
          <w:ilvl w:val="0"/>
          <w:numId w:val="1007"/>
        </w:numPr>
      </w:pPr>
      <w:r>
        <w:rPr>
          <w:b/>
          <w:bCs/>
        </w:rPr>
        <w:t xml:space="preserve">Madland, C.</w:t>
      </w:r>
      <w:r>
        <w:t xml:space="preserve"> </w:t>
      </w:r>
      <w:r>
        <w:t xml:space="preserve">(2015, November). Open and Connected Faculty Development. Open Education, Vancouver, BC.</w:t>
      </w:r>
    </w:p>
    <w:p>
      <w:pPr>
        <w:pStyle w:val="Compact"/>
        <w:numPr>
          <w:ilvl w:val="0"/>
          <w:numId w:val="1007"/>
        </w:numPr>
      </w:pPr>
      <w:r>
        <w:rPr>
          <w:b/>
          <w:bCs/>
        </w:rPr>
        <w:t xml:space="preserve">Madland, C.</w:t>
      </w:r>
      <w:r>
        <w:t xml:space="preserve"> </w:t>
      </w:r>
      <w:r>
        <w:t xml:space="preserve">(2014, February). Structured Student Interactions. Teaching Practices Colloquium, Kamloops, BC.</w:t>
      </w:r>
    </w:p>
    <w:p>
      <w:pPr>
        <w:pStyle w:val="Compact"/>
        <w:numPr>
          <w:ilvl w:val="0"/>
          <w:numId w:val="1007"/>
        </w:numPr>
      </w:pPr>
      <w:r>
        <w:rPr>
          <w:b/>
          <w:bCs/>
        </w:rPr>
        <w:t xml:space="preserve">Madland, C.</w:t>
      </w:r>
      <w:r>
        <w:t xml:space="preserve"> </w:t>
      </w:r>
      <w:r>
        <w:t xml:space="preserve">(2014, May). Encouraging Deeper Approaches to Learning. Open Learning Faculty Members Workshop, Kamloops, BC.</w:t>
      </w:r>
    </w:p>
    <w:p>
      <w:pPr>
        <w:pStyle w:val="Compact"/>
        <w:numPr>
          <w:ilvl w:val="0"/>
          <w:numId w:val="1007"/>
        </w:numPr>
      </w:pPr>
      <w:r>
        <w:rPr>
          <w:b/>
          <w:bCs/>
        </w:rPr>
        <w:t xml:space="preserve">Madland, C.</w:t>
      </w:r>
      <w:r>
        <w:t xml:space="preserve"> </w:t>
      </w:r>
      <w:r>
        <w:t xml:space="preserve">(2014, May). Structured Student Interactions. CNIE Conference, Kamloops, BC.</w:t>
      </w:r>
    </w:p>
    <w:p>
      <w:pPr>
        <w:pStyle w:val="Compact"/>
        <w:numPr>
          <w:ilvl w:val="0"/>
          <w:numId w:val="1007"/>
        </w:numPr>
      </w:pPr>
      <w:r>
        <w:rPr>
          <w:b/>
          <w:bCs/>
        </w:rPr>
        <w:t xml:space="preserve">Madland, C.</w:t>
      </w:r>
      <w:r>
        <w:t xml:space="preserve"> </w:t>
      </w:r>
      <w:r>
        <w:t xml:space="preserve">(2013, September). Structuring Student Interactions in Online Distance Learning: Exploring the Study Buddy Activity. Athabasca University Graduate Students’ Conference, Edmonton, AB.</w:t>
      </w:r>
    </w:p>
    <w:p>
      <w:pPr>
        <w:pStyle w:val="Compact"/>
        <w:numPr>
          <w:ilvl w:val="0"/>
          <w:numId w:val="1007"/>
        </w:numPr>
      </w:pPr>
      <w:r>
        <w:rPr>
          <w:b/>
          <w:bCs/>
        </w:rPr>
        <w:t xml:space="preserve">Madland, C.</w:t>
      </w:r>
      <w:r>
        <w:t xml:space="preserve"> </w:t>
      </w:r>
      <w:r>
        <w:t xml:space="preserve">(2012, February). Engaging Students with Video. Teaching Practices Colloquium, Kamloops, BC.</w:t>
      </w:r>
    </w:p>
    <w:p>
      <w:pPr>
        <w:pStyle w:val="Compact"/>
        <w:numPr>
          <w:ilvl w:val="0"/>
          <w:numId w:val="1007"/>
        </w:numPr>
      </w:pPr>
      <w:r>
        <w:rPr>
          <w:b/>
          <w:bCs/>
        </w:rPr>
        <w:t xml:space="preserve">Madland, C.</w:t>
      </w:r>
      <w:r>
        <w:t xml:space="preserve"> </w:t>
      </w:r>
      <w:r>
        <w:t xml:space="preserve">(2012, May). Online Faculty Development. Southern Alberta Institute of Technology Faculty Showcase, Calgary, AB.</w:t>
      </w:r>
    </w:p>
    <w:bookmarkEnd w:id="47"/>
    <w:bookmarkStart w:id="48" w:name="non-refereed-presentations"/>
    <w:p>
      <w:pPr>
        <w:pStyle w:val="Heading2"/>
      </w:pPr>
      <w:r>
        <w:t xml:space="preserve">1.8 Non-Refereed Presentations</w:t>
      </w:r>
    </w:p>
    <w:p>
      <w:pPr>
        <w:pStyle w:val="Compact"/>
        <w:numPr>
          <w:ilvl w:val="0"/>
          <w:numId w:val="1008"/>
        </w:numPr>
      </w:pPr>
      <w:r>
        <w:rPr>
          <w:b/>
          <w:bCs/>
        </w:rPr>
        <w:t xml:space="preserve">Madland, C.</w:t>
      </w:r>
      <w:r>
        <w:t xml:space="preserve"> </w:t>
      </w:r>
      <w:r>
        <w:t xml:space="preserve">(2012, May). Outside the Box Feedback with Adobe Acrobat. Open Learning Faculty Members Workshop, Kamloops, BC.</w:t>
      </w:r>
    </w:p>
    <w:p>
      <w:pPr>
        <w:pStyle w:val="Compact"/>
        <w:numPr>
          <w:ilvl w:val="0"/>
          <w:numId w:val="1008"/>
        </w:numPr>
      </w:pPr>
      <w:r>
        <w:rPr>
          <w:b/>
          <w:bCs/>
        </w:rPr>
        <w:t xml:space="preserve">Madland, C.</w:t>
      </w:r>
      <w:r>
        <w:t xml:space="preserve"> </w:t>
      </w:r>
      <w:r>
        <w:t xml:space="preserve">(2011, October). Thinking Despite the Box: Designing Interaction in Blackboard. Teaching with Technology Series, Kamloops, BC.</w:t>
      </w:r>
    </w:p>
    <w:p>
      <w:pPr>
        <w:pStyle w:val="Compact"/>
        <w:numPr>
          <w:ilvl w:val="0"/>
          <w:numId w:val="1008"/>
        </w:numPr>
      </w:pPr>
      <w:r>
        <w:rPr>
          <w:b/>
          <w:bCs/>
        </w:rPr>
        <w:t xml:space="preserve">Madland, C.</w:t>
      </w:r>
      <w:r>
        <w:t xml:space="preserve"> </w:t>
      </w:r>
      <w:r>
        <w:t xml:space="preserve">(2010, October). Twitter in Higher Education. Teaching with Technology Series, Kamloops, BC.</w:t>
      </w:r>
    </w:p>
    <w:bookmarkEnd w:id="48"/>
    <w:bookmarkStart w:id="51" w:name="media"/>
    <w:p>
      <w:pPr>
        <w:pStyle w:val="Heading2"/>
      </w:pPr>
      <w:r>
        <w:t xml:space="preserve">1.9 Media</w:t>
      </w:r>
    </w:p>
    <w:p>
      <w:pPr>
        <w:pStyle w:val="Compact"/>
        <w:numPr>
          <w:ilvl w:val="0"/>
          <w:numId w:val="1009"/>
        </w:numPr>
      </w:pPr>
      <w:r>
        <w:t xml:space="preserve">Krinsky, S., &amp; Bosley, R. (October 8, 2024). Alt Grading in Physical Education, Canadian Grading Reforms, and Technology-Integrated Assessment: An Interview with Colin Madland (No. 65) [Podcast].</w:t>
      </w:r>
      <w:r>
        <w:t xml:space="preserve"> </w:t>
      </w:r>
      <w:hyperlink r:id="rId49">
        <w:r>
          <w:rPr>
            <w:rStyle w:val="Hyperlink"/>
          </w:rPr>
          <w:t xml:space="preserve">https://thegradingpod.com/episodes/65-alt-grading-in-physical-education-canadian-grading-reforms-and-technology-integrated-assessment-an-interview-with-colin-madland/</w:t>
        </w:r>
      </w:hyperlink>
    </w:p>
    <w:p>
      <w:pPr>
        <w:pStyle w:val="Compact"/>
        <w:numPr>
          <w:ilvl w:val="0"/>
          <w:numId w:val="1009"/>
        </w:numPr>
      </w:pPr>
      <w:r>
        <w:t xml:space="preserve">Greene, T. (2020). Valerie Irvine and Colin Madland [Broadcast]. [Podcast].</w:t>
      </w:r>
      <w:r>
        <w:t xml:space="preserve"> </w:t>
      </w:r>
      <w:hyperlink r:id="rId50">
        <w:r>
          <w:rPr>
            <w:rStyle w:val="Hyperlink"/>
          </w:rPr>
          <w:t xml:space="preserve">https://www.spreaker.com/episode/valerie-irvine-and-colin-madland--23026170</w:t>
        </w:r>
      </w:hyperlink>
    </w:p>
    <w:bookmarkEnd w:id="51"/>
    <w:bookmarkStart w:id="53" w:name="research-dissemination"/>
    <w:p>
      <w:pPr>
        <w:pStyle w:val="Heading2"/>
      </w:pPr>
      <w:r>
        <w:t xml:space="preserve">1.10 Research Dissemination</w:t>
      </w:r>
    </w:p>
    <w:p>
      <w:pPr>
        <w:pStyle w:val="Compact"/>
        <w:numPr>
          <w:ilvl w:val="0"/>
          <w:numId w:val="1010"/>
        </w:numPr>
      </w:pPr>
      <w:r>
        <w:t xml:space="preserve">“</w:t>
      </w:r>
      <w:r>
        <w:t xml:space="preserve">Technology-Integrated Assessment in Higher Education</w:t>
      </w:r>
      <w:r>
        <w:t xml:space="preserve">”</w:t>
      </w:r>
      <w:r>
        <w:t xml:space="preserve">; Kigali, Rwanda; Uganda; and Pan-Africa Christian University, Nairobi, Kenya, November 2024</w:t>
      </w:r>
    </w:p>
    <w:p>
      <w:pPr>
        <w:pStyle w:val="Compact"/>
        <w:numPr>
          <w:ilvl w:val="0"/>
          <w:numId w:val="1010"/>
        </w:numPr>
      </w:pPr>
      <w:r>
        <w:t xml:space="preserve">“</w:t>
      </w:r>
      <w:r>
        <w:t xml:space="preserve">Self-Paced Learning in Higher Education</w:t>
      </w:r>
      <w:r>
        <w:t xml:space="preserve">”</w:t>
      </w:r>
      <w:r>
        <w:t xml:space="preserve">, Pan-Africa Christian University, Nairobi, Kenya, May 2023</w:t>
      </w:r>
    </w:p>
    <w:p>
      <w:pPr>
        <w:pStyle w:val="Compact"/>
        <w:numPr>
          <w:ilvl w:val="0"/>
          <w:numId w:val="1010"/>
        </w:numPr>
      </w:pPr>
      <w:r>
        <w:t xml:space="preserve">“</w:t>
      </w:r>
      <w:r>
        <w:t xml:space="preserve">What is Assessment</w:t>
      </w:r>
      <w:r>
        <w:t xml:space="preserve">”</w:t>
      </w:r>
      <w:r>
        <w:t xml:space="preserve">, TWU Faculty Professional Learning. March 2023</w:t>
      </w:r>
      <w:r>
        <w:t xml:space="preserve"> </w:t>
      </w:r>
      <w:hyperlink r:id="rId52">
        <w:r>
          <w:rPr>
            <w:rStyle w:val="Hyperlink"/>
          </w:rPr>
          <w:t xml:space="preserve">https://cmadland.github.io/decks/twu-faculty-professional-learning.html</w:t>
        </w:r>
      </w:hyperlink>
      <w:r>
        <w:t xml:space="preserve">.</w:t>
      </w:r>
    </w:p>
    <w:bookmarkEnd w:id="53"/>
    <w:bookmarkStart w:id="54" w:name="research-funding"/>
    <w:p>
      <w:pPr>
        <w:pStyle w:val="Heading2"/>
      </w:pPr>
      <w:r>
        <w:t xml:space="preserve">1.11 Research Funding</w:t>
      </w:r>
    </w:p>
    <w:p>
      <w:pPr>
        <w:pStyle w:val="Compact"/>
        <w:numPr>
          <w:ilvl w:val="0"/>
          <w:numId w:val="1011"/>
        </w:numPr>
      </w:pPr>
      <w:r>
        <w:t xml:space="preserve">BCcampus Research Fellowship, 2022 ($6000)</w:t>
      </w:r>
    </w:p>
    <w:p>
      <w:pPr>
        <w:pStyle w:val="Compact"/>
        <w:numPr>
          <w:ilvl w:val="0"/>
          <w:numId w:val="1011"/>
        </w:numPr>
      </w:pPr>
      <w:r>
        <w:t xml:space="preserve">University of Victoria Graduate Student Award, September 2019 ($5000)</w:t>
      </w:r>
    </w:p>
    <w:p>
      <w:pPr>
        <w:pStyle w:val="Compact"/>
        <w:numPr>
          <w:ilvl w:val="0"/>
          <w:numId w:val="1011"/>
        </w:numPr>
      </w:pPr>
      <w:r>
        <w:t xml:space="preserve">University of Victoria Graduate Student Award, September 2018 ($5000)</w:t>
      </w:r>
    </w:p>
    <w:p>
      <w:pPr>
        <w:pStyle w:val="Compact"/>
        <w:numPr>
          <w:ilvl w:val="0"/>
          <w:numId w:val="1011"/>
        </w:numPr>
      </w:pPr>
      <w:r>
        <w:t xml:space="preserve">TRU Open Learning Presentation Fund, April 2016 ($5000)</w:t>
      </w:r>
    </w:p>
    <w:p>
      <w:pPr>
        <w:pStyle w:val="Compact"/>
        <w:numPr>
          <w:ilvl w:val="0"/>
          <w:numId w:val="1011"/>
        </w:numPr>
      </w:pPr>
      <w:r>
        <w:t xml:space="preserve">Open Education Resources Research Fellow, Open Education Group, 2015-16 (5000 USD)</w:t>
      </w:r>
    </w:p>
    <w:p>
      <w:pPr>
        <w:pStyle w:val="Compact"/>
        <w:numPr>
          <w:ilvl w:val="0"/>
          <w:numId w:val="1011"/>
        </w:numPr>
      </w:pPr>
      <w:r>
        <w:t xml:space="preserve">Athabasca University Tim Byrne Memorial Scholarship (for academic excellence along with an outstanding thesis or project), nominated by the Centre for Distance Education, June 2014. ($1000)</w:t>
      </w:r>
    </w:p>
    <w:p>
      <w:pPr>
        <w:pStyle w:val="Compact"/>
        <w:numPr>
          <w:ilvl w:val="0"/>
          <w:numId w:val="1011"/>
        </w:numPr>
      </w:pPr>
      <w:r>
        <w:t xml:space="preserve">Athabasca University Student Travel Award, September 2013. ($800)</w:t>
      </w:r>
    </w:p>
    <w:p>
      <w:pPr>
        <w:pStyle w:val="Compact"/>
        <w:numPr>
          <w:ilvl w:val="0"/>
          <w:numId w:val="1011"/>
        </w:numPr>
      </w:pPr>
      <w:r>
        <w:t xml:space="preserve">Athabasca University Graduate Student Mission Critical Research Fund, April 2013. ($420)</w:t>
      </w:r>
    </w:p>
    <w:p>
      <w:pPr>
        <w:pStyle w:val="Compact"/>
        <w:numPr>
          <w:ilvl w:val="0"/>
          <w:numId w:val="1011"/>
        </w:numPr>
      </w:pPr>
      <w:r>
        <w:t xml:space="preserve">Athabasca University Access to Research Tools, April 2013. ($300)</w:t>
      </w:r>
    </w:p>
    <w:bookmarkEnd w:id="54"/>
    <w:bookmarkStart w:id="55" w:name="teaching-activities"/>
    <w:p>
      <w:pPr>
        <w:pStyle w:val="Heading2"/>
      </w:pPr>
      <w:r>
        <w:t xml:space="preserve">1.12 Teaching Activities</w:t>
      </w:r>
    </w:p>
    <w:p>
      <w:pPr>
        <w:pStyle w:val="FirstParagraph"/>
      </w:pPr>
      <w:r>
        <w:t xml:space="preserve">Undergraduate and</w:t>
      </w:r>
      <w:r>
        <w:t xml:space="preserve"> </w:t>
      </w:r>
      <w:r>
        <w:rPr>
          <w:b/>
          <w:bCs/>
        </w:rPr>
        <w:t xml:space="preserve">Graduate</w:t>
      </w:r>
      <w:r>
        <w:t xml:space="preserve"> </w:t>
      </w:r>
      <w:r>
        <w:t xml:space="preserve">- All courses and sections were taught fully online.</w:t>
      </w:r>
    </w:p>
    <w:tbl>
      <w:tblPr>
        <w:tblStyle w:val="Table"/>
        <w:tblW w:type="pct" w:w="5000"/>
        <w:tblLayout w:type="fixed"/>
        <w:tblLook w:firstRow="1" w:lastRow="0" w:firstColumn="0" w:lastColumn="0" w:noHBand="0" w:noVBand="0" w:val="0020"/>
      </w:tblPr>
      <w:tblGrid>
        <w:gridCol w:w="1721"/>
        <w:gridCol w:w="1033"/>
        <w:gridCol w:w="1721"/>
        <w:gridCol w:w="1721"/>
        <w:gridCol w:w="1721"/>
      </w:tblGrid>
      <w:tr>
        <w:trPr>
          <w:tblHeader w:val="on"/>
        </w:trPr>
        <w:tc>
          <w:tcPr/>
          <w:p>
            <w:pPr>
              <w:pStyle w:val="Compact"/>
              <w:jc w:val="center"/>
            </w:pPr>
            <w:r>
              <w:t xml:space="preserve">Year</w:t>
            </w:r>
          </w:p>
        </w:tc>
        <w:tc>
          <w:tcPr/>
          <w:p>
            <w:pPr>
              <w:pStyle w:val="Compact"/>
              <w:jc w:val="left"/>
            </w:pPr>
            <w:r>
              <w:t xml:space="preserve">Course</w:t>
            </w:r>
          </w:p>
        </w:tc>
        <w:tc>
          <w:tcPr/>
          <w:p>
            <w:pPr>
              <w:pStyle w:val="Compact"/>
              <w:jc w:val="center"/>
            </w:pPr>
            <w:r>
              <w:t xml:space="preserve">Title</w:t>
            </w:r>
          </w:p>
        </w:tc>
        <w:tc>
          <w:tcPr/>
          <w:p>
            <w:pPr>
              <w:pStyle w:val="Compact"/>
              <w:jc w:val="center"/>
            </w:pPr>
            <w:r>
              <w:t xml:space="preserve">Credit Hours/Units</w:t>
            </w:r>
          </w:p>
        </w:tc>
        <w:tc>
          <w:tcPr/>
          <w:p>
            <w:pPr>
              <w:pStyle w:val="Compact"/>
              <w:jc w:val="center"/>
            </w:pPr>
            <w:r>
              <w:t xml:space="preserve">Students</w:t>
            </w:r>
          </w:p>
        </w:tc>
      </w:tr>
      <w:tr>
        <w:tc>
          <w:tcPr/>
          <w:p>
            <w:pPr>
              <w:pStyle w:val="Compact"/>
              <w:jc w:val="center"/>
            </w:pPr>
            <w:r>
              <w:t xml:space="preserve">Summer 2019</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37</w:t>
            </w:r>
          </w:p>
        </w:tc>
      </w:tr>
      <w:tr>
        <w:tc>
          <w:tcPr/>
          <w:p>
            <w:pPr>
              <w:pStyle w:val="Compact"/>
              <w:jc w:val="center"/>
            </w:pPr>
            <w:r>
              <w:t xml:space="preserve">Summer 2019</w:t>
            </w:r>
          </w:p>
        </w:tc>
        <w:tc>
          <w:tcPr/>
          <w:p>
            <w:pPr>
              <w:pStyle w:val="Compact"/>
              <w:jc w:val="left"/>
            </w:pPr>
            <w:r>
              <w:t xml:space="preserve">EDCI 339</w:t>
            </w:r>
          </w:p>
        </w:tc>
        <w:tc>
          <w:tcPr/>
          <w:p>
            <w:pPr>
              <w:pStyle w:val="Compact"/>
              <w:jc w:val="center"/>
            </w:pPr>
            <w:r>
              <w:t xml:space="preserve">Open and Distributed Learning</w:t>
            </w:r>
          </w:p>
        </w:tc>
        <w:tc>
          <w:tcPr/>
          <w:p>
            <w:pPr>
              <w:pStyle w:val="Compact"/>
              <w:jc w:val="center"/>
            </w:pPr>
            <w:r>
              <w:t xml:space="preserve">1.5</w:t>
            </w:r>
          </w:p>
        </w:tc>
        <w:tc>
          <w:tcPr/>
          <w:p>
            <w:pPr>
              <w:pStyle w:val="Compact"/>
              <w:jc w:val="center"/>
            </w:pPr>
            <w:r>
              <w:t xml:space="preserve">39</w:t>
            </w:r>
          </w:p>
        </w:tc>
      </w:tr>
      <w:tr>
        <w:tc>
          <w:tcPr/>
          <w:p>
            <w:pPr>
              <w:pStyle w:val="Compact"/>
              <w:jc w:val="center"/>
            </w:pPr>
            <w:r>
              <w:t xml:space="preserve">Summer 2019</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Summer 2020</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56</w:t>
            </w:r>
          </w:p>
        </w:tc>
      </w:tr>
      <w:tr>
        <w:tc>
          <w:tcPr/>
          <w:p>
            <w:pPr>
              <w:pStyle w:val="Compact"/>
              <w:jc w:val="center"/>
            </w:pPr>
            <w:r>
              <w:t xml:space="preserve">Summer 2020</w:t>
            </w:r>
          </w:p>
        </w:tc>
        <w:tc>
          <w:tcPr/>
          <w:p>
            <w:pPr>
              <w:pStyle w:val="Compact"/>
              <w:jc w:val="left"/>
            </w:pPr>
            <w:r>
              <w:t xml:space="preserve">EDCI 339</w:t>
            </w:r>
          </w:p>
        </w:tc>
        <w:tc>
          <w:tcPr/>
          <w:p>
            <w:pPr>
              <w:pStyle w:val="Compact"/>
              <w:jc w:val="center"/>
            </w:pPr>
            <w:r>
              <w:t xml:space="preserve">Open and Distributed Learning</w:t>
            </w:r>
          </w:p>
        </w:tc>
        <w:tc>
          <w:tcPr/>
          <w:p>
            <w:pPr>
              <w:pStyle w:val="Compact"/>
              <w:jc w:val="center"/>
            </w:pPr>
            <w:r>
              <w:t xml:space="preserve">1.5</w:t>
            </w:r>
          </w:p>
        </w:tc>
        <w:tc>
          <w:tcPr/>
          <w:p>
            <w:pPr>
              <w:pStyle w:val="Compact"/>
              <w:jc w:val="center"/>
            </w:pPr>
            <w:r>
              <w:t xml:space="preserve">59</w:t>
            </w:r>
          </w:p>
        </w:tc>
      </w:tr>
      <w:tr>
        <w:tc>
          <w:tcPr/>
          <w:p>
            <w:pPr>
              <w:pStyle w:val="Compact"/>
              <w:jc w:val="center"/>
            </w:pPr>
            <w:r>
              <w:t xml:space="preserve">Summer 2020</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16</w:t>
            </w:r>
          </w:p>
        </w:tc>
      </w:tr>
      <w:tr>
        <w:tc>
          <w:tcPr/>
          <w:p>
            <w:pPr>
              <w:pStyle w:val="Compact"/>
              <w:jc w:val="center"/>
            </w:pPr>
            <w:r>
              <w:t xml:space="preserve">Fall 2020</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Spring 2021</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Summer 2021</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40</w:t>
            </w:r>
          </w:p>
        </w:tc>
      </w:tr>
      <w:tr>
        <w:tc>
          <w:tcPr/>
          <w:p>
            <w:pPr>
              <w:pStyle w:val="Compact"/>
              <w:jc w:val="center"/>
            </w:pPr>
            <w:r>
              <w:t xml:space="preserve">Fall 2021</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7 (All in Nigeria)</w:t>
            </w:r>
          </w:p>
        </w:tc>
      </w:tr>
      <w:tr>
        <w:tc>
          <w:tcPr/>
          <w:p>
            <w:pPr>
              <w:pStyle w:val="Compact"/>
              <w:jc w:val="center"/>
            </w:pPr>
            <w:r>
              <w:t xml:space="preserve">Fall 2021</w:t>
            </w:r>
          </w:p>
        </w:tc>
        <w:tc>
          <w:tcPr/>
          <w:p>
            <w:pPr>
              <w:pStyle w:val="Compact"/>
              <w:jc w:val="left"/>
            </w:pPr>
            <w:r>
              <w:t xml:space="preserve">EDCI 335</w:t>
            </w:r>
          </w:p>
        </w:tc>
        <w:tc>
          <w:tcPr/>
          <w:p>
            <w:pPr>
              <w:pStyle w:val="Compact"/>
              <w:jc w:val="center"/>
            </w:pPr>
            <w:r>
              <w:t xml:space="preserve">Learning Design</w:t>
            </w:r>
          </w:p>
        </w:tc>
        <w:tc>
          <w:tcPr/>
          <w:p>
            <w:pPr>
              <w:pStyle w:val="Compact"/>
              <w:jc w:val="center"/>
            </w:pPr>
            <w:r>
              <w:t xml:space="preserve">1.5</w:t>
            </w:r>
          </w:p>
        </w:tc>
        <w:tc>
          <w:tcPr/>
          <w:p>
            <w:pPr>
              <w:pStyle w:val="Compact"/>
              <w:jc w:val="center"/>
            </w:pPr>
            <w:r>
              <w:t xml:space="preserve">41</w:t>
            </w:r>
          </w:p>
        </w:tc>
      </w:tr>
      <w:tr>
        <w:tc>
          <w:tcPr/>
          <w:p>
            <w:pPr>
              <w:pStyle w:val="Compact"/>
              <w:jc w:val="center"/>
            </w:pPr>
            <w:r>
              <w:t xml:space="preserve">Spring 2022</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Summer 2022</w:t>
            </w:r>
          </w:p>
        </w:tc>
        <w:tc>
          <w:tcPr/>
          <w:p>
            <w:pPr>
              <w:pStyle w:val="Compact"/>
              <w:jc w:val="left"/>
            </w:pPr>
            <w:r>
              <w:t xml:space="preserve">EDCI 338</w:t>
            </w:r>
          </w:p>
        </w:tc>
        <w:tc>
          <w:tcPr/>
          <w:p>
            <w:pPr>
              <w:pStyle w:val="Compact"/>
              <w:jc w:val="center"/>
            </w:pPr>
            <w:r>
              <w:t xml:space="preserve">Social Media and Personalized Learning</w:t>
            </w:r>
          </w:p>
        </w:tc>
        <w:tc>
          <w:tcPr/>
          <w:p>
            <w:pPr>
              <w:pStyle w:val="Compact"/>
              <w:jc w:val="center"/>
            </w:pPr>
            <w:r>
              <w:t xml:space="preserve">1.5</w:t>
            </w:r>
          </w:p>
        </w:tc>
        <w:tc>
          <w:tcPr/>
          <w:p>
            <w:pPr>
              <w:pStyle w:val="Compact"/>
              <w:jc w:val="center"/>
            </w:pPr>
            <w:r>
              <w:t xml:space="preserve">39</w:t>
            </w:r>
          </w:p>
        </w:tc>
      </w:tr>
      <w:tr>
        <w:tc>
          <w:tcPr/>
          <w:p>
            <w:pPr>
              <w:pStyle w:val="Compact"/>
              <w:jc w:val="center"/>
            </w:pPr>
            <w:r>
              <w:t xml:space="preserve">Spring 2023</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 (DS)</w:t>
            </w:r>
          </w:p>
        </w:tc>
      </w:tr>
      <w:tr>
        <w:tc>
          <w:tcPr/>
          <w:p>
            <w:pPr>
              <w:pStyle w:val="Compact"/>
              <w:jc w:val="center"/>
            </w:pPr>
            <w:r>
              <w:t xml:space="preserve">Fall 2023</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6 (4 in Nigeria)</w:t>
            </w:r>
          </w:p>
        </w:tc>
      </w:tr>
      <w:tr>
        <w:tc>
          <w:tcPr/>
          <w:p>
            <w:pPr>
              <w:pStyle w:val="Compact"/>
              <w:jc w:val="center"/>
            </w:pPr>
            <w:r>
              <w:t xml:space="preserve">Fall 2023</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4</w:t>
            </w:r>
          </w:p>
        </w:tc>
      </w:tr>
      <w:tr>
        <w:tc>
          <w:tcPr/>
          <w:p>
            <w:pPr>
              <w:pStyle w:val="Compact"/>
              <w:jc w:val="center"/>
            </w:pPr>
            <w:r>
              <w:t xml:space="preserve">Fall 2024</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Fall 2024</w:t>
            </w:r>
          </w:p>
        </w:tc>
        <w:tc>
          <w:tcPr/>
          <w:p>
            <w:pPr>
              <w:pStyle w:val="Compact"/>
              <w:jc w:val="left"/>
            </w:pPr>
            <w:r>
              <w:t xml:space="preserve">LDRS 463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Summer 2025</w:t>
            </w:r>
          </w:p>
        </w:tc>
        <w:tc>
          <w:tcPr/>
          <w:p>
            <w:pPr>
              <w:pStyle w:val="Compact"/>
              <w:jc w:val="left"/>
            </w:pPr>
            <w:r>
              <w:rPr>
                <w:b/>
                <w:bCs/>
              </w:rPr>
              <w:t xml:space="preserve">LDRS 663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Summer 2025</w:t>
            </w:r>
          </w:p>
        </w:tc>
        <w:tc>
          <w:tcPr/>
          <w:p>
            <w:pPr>
              <w:pStyle w:val="Compact"/>
              <w:jc w:val="left"/>
            </w:pPr>
            <w:r>
              <w:t xml:space="preserve">LDRS 463</w:t>
            </w:r>
          </w:p>
        </w:tc>
        <w:tc>
          <w:tcPr/>
          <w:p>
            <w:pPr>
              <w:pStyle w:val="Compact"/>
              <w:jc w:val="center"/>
            </w:pPr>
            <w:r>
              <w:t xml:space="preserve">Transformational Blended Learning</w:t>
            </w:r>
          </w:p>
        </w:tc>
        <w:tc>
          <w:tcPr/>
          <w:p>
            <w:pPr>
              <w:pStyle w:val="Compact"/>
              <w:jc w:val="center"/>
            </w:pPr>
            <w:r>
              <w:t xml:space="preserve">3</w:t>
            </w:r>
          </w:p>
        </w:tc>
        <w:tc>
          <w:tcPr/>
          <w:p>
            <w:pPr>
              <w:pStyle w:val="Compact"/>
              <w:jc w:val="center"/>
            </w:pPr>
            <w:r>
              <w:t xml:space="preserve">4</w:t>
            </w:r>
          </w:p>
        </w:tc>
      </w:tr>
    </w:tbl>
    <w:bookmarkEnd w:id="55"/>
    <w:bookmarkStart w:id="56" w:name="curriculum-development-projects"/>
    <w:p>
      <w:pPr>
        <w:pStyle w:val="Heading2"/>
      </w:pPr>
      <w:r>
        <w:t xml:space="preserve">1.13 Curriculum Development Projects</w:t>
      </w:r>
    </w:p>
    <w:p>
      <w:pPr>
        <w:pStyle w:val="Compact"/>
        <w:numPr>
          <w:ilvl w:val="0"/>
          <w:numId w:val="1012"/>
        </w:numPr>
      </w:pPr>
      <w:r>
        <w:t xml:space="preserve">LDRS 101 - Learning in a Digital World</w:t>
      </w:r>
    </w:p>
    <w:p>
      <w:pPr>
        <w:pStyle w:val="Compact"/>
        <w:numPr>
          <w:ilvl w:val="0"/>
          <w:numId w:val="1012"/>
        </w:numPr>
      </w:pPr>
      <w:r>
        <w:t xml:space="preserve">LDRS 663 - Transformational Blended Learning</w:t>
      </w:r>
    </w:p>
    <w:p>
      <w:pPr>
        <w:pStyle w:val="Compact"/>
        <w:numPr>
          <w:ilvl w:val="0"/>
          <w:numId w:val="1012"/>
        </w:numPr>
      </w:pPr>
      <w:r>
        <w:t xml:space="preserve">EDCI 335 - Learning Design</w:t>
      </w:r>
    </w:p>
    <w:p>
      <w:pPr>
        <w:pStyle w:val="Compact"/>
        <w:numPr>
          <w:ilvl w:val="0"/>
          <w:numId w:val="1012"/>
        </w:numPr>
      </w:pPr>
      <w:r>
        <w:t xml:space="preserve">EDCI 339 - Distributed and Open Learning</w:t>
      </w:r>
    </w:p>
    <w:p>
      <w:pPr>
        <w:pStyle w:val="Compact"/>
        <w:numPr>
          <w:ilvl w:val="0"/>
          <w:numId w:val="1012"/>
        </w:numPr>
      </w:pPr>
      <w:r>
        <w:t xml:space="preserve">Teaching Online Effectively (TOnE)</w:t>
      </w:r>
    </w:p>
    <w:p>
      <w:pPr>
        <w:pStyle w:val="Compact"/>
        <w:numPr>
          <w:ilvl w:val="0"/>
          <w:numId w:val="1012"/>
        </w:numPr>
      </w:pPr>
      <w:r>
        <w:t xml:space="preserve">Online Teaching and Learning</w:t>
      </w:r>
    </w:p>
    <w:p>
      <w:pPr>
        <w:pStyle w:val="Compact"/>
        <w:numPr>
          <w:ilvl w:val="0"/>
          <w:numId w:val="1012"/>
        </w:numPr>
      </w:pPr>
      <w:r>
        <w:t xml:space="preserve">Online Facilitation Skills for Student Learning, Engagement, and Retention</w:t>
      </w:r>
    </w:p>
    <w:p>
      <w:pPr>
        <w:pStyle w:val="Compact"/>
        <w:numPr>
          <w:ilvl w:val="0"/>
          <w:numId w:val="1012"/>
        </w:numPr>
      </w:pPr>
      <w:r>
        <w:t xml:space="preserve">Course Management Strategies</w:t>
      </w:r>
    </w:p>
    <w:p>
      <w:pPr>
        <w:pStyle w:val="Compact"/>
        <w:numPr>
          <w:ilvl w:val="0"/>
          <w:numId w:val="1012"/>
        </w:numPr>
      </w:pPr>
      <w:r>
        <w:t xml:space="preserve">Online Student Success</w:t>
      </w:r>
    </w:p>
    <w:bookmarkEnd w:id="56"/>
    <w:bookmarkStart w:id="60" w:name="service"/>
    <w:p>
      <w:pPr>
        <w:pStyle w:val="Heading2"/>
      </w:pPr>
      <w:r>
        <w:t xml:space="preserve">1.14 Service</w:t>
      </w:r>
    </w:p>
    <w:bookmarkStart w:id="57" w:name="reviewer"/>
    <w:p>
      <w:pPr>
        <w:pStyle w:val="Heading3"/>
      </w:pPr>
      <w:r>
        <w:t xml:space="preserve">1.14.1 Reviewer</w:t>
      </w:r>
    </w:p>
    <w:p>
      <w:pPr>
        <w:pStyle w:val="Compact"/>
        <w:numPr>
          <w:ilvl w:val="0"/>
          <w:numId w:val="1013"/>
        </w:numPr>
      </w:pPr>
      <w:r>
        <w:t xml:space="preserve">Open/Technology in Education, Society, and Scholarship Association (OTESSA) Conference</w:t>
      </w:r>
    </w:p>
    <w:p>
      <w:pPr>
        <w:pStyle w:val="Compact"/>
        <w:numPr>
          <w:ilvl w:val="0"/>
          <w:numId w:val="1013"/>
        </w:numPr>
      </w:pPr>
      <w:r>
        <w:t xml:space="preserve">Open/Technology in Education Society, and Scholarship Association (OTESSA) Journal,</w:t>
      </w:r>
    </w:p>
    <w:p>
      <w:pPr>
        <w:pStyle w:val="Compact"/>
        <w:numPr>
          <w:ilvl w:val="0"/>
          <w:numId w:val="1013"/>
        </w:numPr>
      </w:pPr>
      <w:r>
        <w:t xml:space="preserve">International Review of Research in Open and Distributed Learning (IRRODL),</w:t>
      </w:r>
    </w:p>
    <w:p>
      <w:pPr>
        <w:pStyle w:val="Compact"/>
        <w:numPr>
          <w:ilvl w:val="0"/>
          <w:numId w:val="1013"/>
        </w:numPr>
      </w:pPr>
      <w:r>
        <w:t xml:space="preserve">Research in Learning Technology (ISSOTL)</w:t>
      </w:r>
    </w:p>
    <w:p>
      <w:pPr>
        <w:pStyle w:val="Compact"/>
        <w:numPr>
          <w:ilvl w:val="0"/>
          <w:numId w:val="1013"/>
        </w:numPr>
      </w:pPr>
      <w:r>
        <w:t xml:space="preserve">Teaching &amp; Learning Inquiry</w:t>
      </w:r>
    </w:p>
    <w:p>
      <w:pPr>
        <w:pStyle w:val="Compact"/>
        <w:numPr>
          <w:ilvl w:val="0"/>
          <w:numId w:val="1013"/>
        </w:numPr>
      </w:pPr>
      <w:r>
        <w:t xml:space="preserve">International Journal of E-Learning and Distance Education</w:t>
      </w:r>
    </w:p>
    <w:bookmarkEnd w:id="57"/>
    <w:bookmarkStart w:id="59" w:name="committees"/>
    <w:p>
      <w:pPr>
        <w:pStyle w:val="Heading3"/>
      </w:pPr>
      <w:r>
        <w:t xml:space="preserve">1.14.2 Committees</w:t>
      </w:r>
    </w:p>
    <w:p>
      <w:pPr>
        <w:pStyle w:val="Compact"/>
        <w:numPr>
          <w:ilvl w:val="0"/>
          <w:numId w:val="1014"/>
        </w:numPr>
      </w:pPr>
      <w:r>
        <w:t xml:space="preserve">Founding Board Member,</w:t>
      </w:r>
      <w:r>
        <w:t xml:space="preserve"> </w:t>
      </w:r>
      <w:hyperlink r:id="rId58">
        <w:r>
          <w:rPr>
            <w:rStyle w:val="Hyperlink"/>
          </w:rPr>
          <w:t xml:space="preserve">Open/Technology in Education, Society, and Scholarship Association (OTESSA)</w:t>
        </w:r>
      </w:hyperlink>
      <w:r>
        <w:t xml:space="preserve">, 2019-present</w:t>
      </w:r>
    </w:p>
    <w:p>
      <w:pPr>
        <w:pStyle w:val="Compact"/>
        <w:numPr>
          <w:ilvl w:val="0"/>
          <w:numId w:val="1014"/>
        </w:numPr>
      </w:pPr>
      <w:r>
        <w:t xml:space="preserve">Faculty Professional Learning Committee, Trinity Western University, 2016-present</w:t>
      </w:r>
    </w:p>
    <w:p>
      <w:pPr>
        <w:pStyle w:val="Compact"/>
        <w:numPr>
          <w:ilvl w:val="0"/>
          <w:numId w:val="1014"/>
        </w:numPr>
      </w:pPr>
      <w:r>
        <w:t xml:space="preserve">Board of Directors, Canadian Network for Innovation in Education (CNIE), 2016-2018</w:t>
      </w:r>
    </w:p>
    <w:p>
      <w:pPr>
        <w:pStyle w:val="Compact"/>
        <w:numPr>
          <w:ilvl w:val="0"/>
          <w:numId w:val="1014"/>
        </w:numPr>
      </w:pPr>
      <w:r>
        <w:t xml:space="preserve">Chair, Thompson Rivers University Graduate Studies Committee of Senate, November 2015-April 2016</w:t>
      </w:r>
    </w:p>
    <w:p>
      <w:pPr>
        <w:pStyle w:val="Compact"/>
        <w:numPr>
          <w:ilvl w:val="0"/>
          <w:numId w:val="1014"/>
        </w:numPr>
      </w:pPr>
      <w:r>
        <w:t xml:space="preserve">Thompson Rivers University Graduate Studies Committee of Senate, November 2012 - November 2015</w:t>
      </w:r>
    </w:p>
    <w:p>
      <w:pPr>
        <w:pStyle w:val="Compact"/>
        <w:numPr>
          <w:ilvl w:val="0"/>
          <w:numId w:val="1014"/>
        </w:numPr>
      </w:pPr>
      <w:r>
        <w:t xml:space="preserve">Academic Planning and Priorities Committee of Senate, October 2015-April 2016</w:t>
      </w:r>
    </w:p>
    <w:bookmarkEnd w:id="59"/>
    <w:bookmarkEnd w:id="60"/>
    <w:bookmarkStart w:id="61" w:name="awards"/>
    <w:p>
      <w:pPr>
        <w:pStyle w:val="Heading2"/>
      </w:pPr>
      <w:r>
        <w:t xml:space="preserve">1.15 Awards</w:t>
      </w:r>
    </w:p>
    <w:p>
      <w:pPr>
        <w:pStyle w:val="Compact"/>
        <w:numPr>
          <w:ilvl w:val="0"/>
          <w:numId w:val="1015"/>
        </w:numPr>
      </w:pPr>
      <w:r>
        <w:t xml:space="preserve">Outstanding Service Award from Thompson Rivers University Open Learning, September 2012.</w:t>
      </w:r>
    </w:p>
    <w:bookmarkEnd w:id="61"/>
    <w:bookmarkStart w:id="63" w:name="professional-learning"/>
    <w:p>
      <w:pPr>
        <w:pStyle w:val="Heading2"/>
      </w:pPr>
      <w:r>
        <w:t xml:space="preserve">1.16 Professional Learning</w:t>
      </w:r>
    </w:p>
    <w:p>
      <w:pPr>
        <w:pStyle w:val="Compact"/>
        <w:numPr>
          <w:ilvl w:val="0"/>
          <w:numId w:val="1016"/>
        </w:numPr>
      </w:pPr>
      <w:r>
        <w:t xml:space="preserve">Coaching for Leaders, Smart + Savvy and Associates (2018)</w:t>
      </w:r>
    </w:p>
    <w:p>
      <w:pPr>
        <w:pStyle w:val="Compact"/>
        <w:numPr>
          <w:ilvl w:val="0"/>
          <w:numId w:val="1016"/>
        </w:numPr>
      </w:pPr>
      <w:hyperlink r:id="rId62">
        <w:r>
          <w:rPr>
            <w:rStyle w:val="Hyperlink"/>
          </w:rPr>
          <w:t xml:space="preserve">Interculturalizing the Curriculum</w:t>
        </w:r>
      </w:hyperlink>
      <w:r>
        <w:t xml:space="preserve">, Thompson Rivers University (2015)</w:t>
      </w:r>
    </w:p>
    <w:p>
      <w:r>
        <w:br w:type="page"/>
      </w:r>
    </w:p>
    <w:bookmarkEnd w:id="63"/>
    <w:bookmarkEnd w:id="64"/>
    <w:bookmarkStart w:id="71" w:name="research-plan"/>
    <w:p>
      <w:pPr>
        <w:pStyle w:val="Heading1"/>
      </w:pPr>
      <w:r>
        <w:t xml:space="preserve">2. Research Plan</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quantitatively refining and operationalizing the TIAF in the context of emerging technologies, such as genAI and artificial/virtual reality (AR/VR). In the longer term, there is much work to be done to operationalize the refined TIAF by continuing to build a scale to be used to help individual educators, centres for teaching and learning, scholars of teaching and learning, and/or any other interested stakeholder to explore and understand the impacts of emerging technologies on assessment design and practice, and, by extension, to transform assessment practice in formal digital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w:t>
      </w:r>
      <w:r>
        <w:t xml:space="preserve">. I believe that transforming technology-integrated assessment practices is one of the most powerful levers we have in the drive to enable access to high quality higher education for all learners.</w:t>
      </w:r>
    </w:p>
    <w:p>
      <w:pPr>
        <w:pStyle w:val="BodyText"/>
      </w:pPr>
      <w:r>
        <w:t xml:space="preserve">The TIAF comprises four primary constructs (assessment purpose, duty of care, technology acceptance, and measurement), each capable of supporting robust interdisciplinary quantitative, qualitative, and mixed-method investigations. Each of the four constructs is grounded in the 5 Rs of Indigenous education (respect, relevance, reciprocity, responsibility, and relationships)</w:t>
      </w:r>
      <w:r>
        <w:t xml:space="preserve"> </w:t>
      </w:r>
      <w:r>
        <w:t xml:space="preserve">(Tessaro et al., 2018)</w:t>
      </w:r>
      <w:r>
        <w:t xml:space="preserve">, making the TIAF a valuable tool for removing barriers to Indigenous learners and communities.</w:t>
      </w:r>
    </w:p>
    <w:p>
      <w:pPr>
        <w:pStyle w:val="BodyText"/>
      </w:pPr>
      <w:r>
        <w:t xml:space="preserve">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extermination in the context of education (see my proceeding based on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Director of Technology-integrated Learning and Assessment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brought to bear on the up-front design of learning environments which are human-centred, equitable, inclusive, and accessible.</w:t>
      </w:r>
    </w:p>
    <w:p>
      <w:pPr>
        <w:pStyle w:val="BodyText"/>
      </w:pPr>
      <w:r>
        <w:t xml:space="preserve">The TIAF as a whole and each individual construct described within present rich opportunities for research on learning through transformative digital systems. This wide variety of possible approaches to investigating emerging technologies in open, digital, and distance education leads to multiple opportunities for inclusive quantitative, qualitative, and mixed research collaborations for the benefit of all learners and particularly remote, rural, and Indigenous communities. Further, as the framework is embedded within the 5Rs of Indigenous education, there are multiple possibilities for collaborating with Indigenous scholars to explore these and other questions specific to Indigenous communities as we journey together towards reconciliation and renewal.</w:t>
      </w:r>
    </w:p>
    <w:bookmarkStart w:id="66" w:name="funding"/>
    <w:p>
      <w:pPr>
        <w:pStyle w:val="Heading2"/>
      </w:pPr>
      <w:r>
        <w:t xml:space="preserve">2.1 Funding</w:t>
      </w:r>
    </w:p>
    <w:p>
      <w:pPr>
        <w:pStyle w:val="FirstParagraph"/>
      </w:pPr>
      <w:r>
        <w:t xml:space="preserve">As a graduate of the Master of Education program at Athabasca University, I was honored with the Tim Byrne Memorial Scholarship for academic excellence and an outstanding thesis ($1000). I have also received funding from the Open Education Group ($5000 USD), the Thompson Rivers University Presentation Fund ($5000), two University of Victoria Graduate Student awards ($10,000 total), and a BCcampus Research Fellowship ($6000), all in support of my research.</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background with the Technology Integration and Evaluation (TIE) Lab at the University of Victoria where I have been mentored in strategies for securing funding from agencies like the</w:t>
      </w:r>
      <w:r>
        <w:t xml:space="preserve"> </w:t>
      </w:r>
      <w:hyperlink r:id="rId65">
        <w:r>
          <w:rPr>
            <w:rStyle w:val="Hyperlink"/>
          </w:rPr>
          <w:t xml:space="preserve">Canada Foundation for Innovation (CFI)</w:t>
        </w:r>
      </w:hyperlink>
      <w:r>
        <w:t xml:space="preserve"> </w:t>
      </w:r>
      <w:r>
        <w:t xml:space="preserve">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bookmarkEnd w:id="66"/>
    <w:bookmarkStart w:id="69" w:name="knowledge-mobilization"/>
    <w:p>
      <w:pPr>
        <w:pStyle w:val="Heading2"/>
      </w:pPr>
      <w:r>
        <w:t xml:space="preserve">2.2 Knowledge Mobilization</w:t>
      </w:r>
    </w:p>
    <w:p>
      <w:pPr>
        <w:pStyle w:val="FirstParagraph"/>
      </w:pPr>
      <w:r>
        <w:t xml:space="preserve">As a rule, I endeavour to publish all my formal and informal research outputs under an open license and on the web. Below are two examples of these outputs. The first, and informal publication, emerged from my PhD coursework as a visiting student at the University of British Columbia. This publication is a critical family history, an in-depth exploration of one of my ancestors’ emigration from Norway to the USA, then to northern and central Alberta, and finally to British Columbia. The framework for this publication is the history of the treatment of Indigenous peoples throughout North America that opened the way for my great-grandfather to emigrate from Norway.</w:t>
      </w:r>
    </w:p>
    <w:p>
      <w:pPr>
        <w:pStyle w:val="BodyText"/>
      </w:pPr>
      <w:r>
        <w:t xml:space="preserve">Madland, C. (2019).</w:t>
      </w:r>
      <w:r>
        <w:t xml:space="preserve"> </w:t>
      </w:r>
      <w:hyperlink r:id="rId67">
        <w:r>
          <w:rPr>
            <w:rStyle w:val="Hyperlink"/>
          </w:rPr>
          <w:t xml:space="preserve">Critical Family History</w:t>
        </w:r>
      </w:hyperlink>
      <w:r>
        <w:t xml:space="preserve"> </w:t>
      </w:r>
      <w:r>
        <w:t xml:space="preserve">[Blog]. Colin M. Madland.</w:t>
      </w:r>
    </w:p>
    <w:p>
      <w:pPr>
        <w:pStyle w:val="BodyText"/>
      </w:pPr>
      <w:r>
        <w:t xml:space="preserve">The second example of knowledge dissemination is related to a viral moment that I and a colleague experienced on Twitter (now defunct). This conference presentation and proceeding described our experiences with the facial detection algorithm on Zoom, which, when posted to Twitter, showed a related problem there.</w:t>
      </w:r>
    </w:p>
    <w:p>
      <w:pPr>
        <w:pStyle w:val="BodyText"/>
      </w:pPr>
      <w:r>
        <w:t xml:space="preserve">Madland, C., Ofosuhene, M., &amp; Adkins, J. (2022).</w:t>
      </w:r>
      <w:r>
        <w:t xml:space="preserve"> </w:t>
      </w:r>
      <w:hyperlink r:id="rId32">
        <w:r>
          <w:rPr>
            <w:rStyle w:val="Hyperlink"/>
          </w:rPr>
          <w:t xml:space="preserve">Digital Platforms and Algorithmic Erasure: What are the Implications?</w:t>
        </w:r>
      </w:hyperlink>
      <w:r>
        <w:t xml:space="preserve"> </w:t>
      </w:r>
      <w:r>
        <w:t xml:space="preserve">OTESSA Conference 2022. OTESSA 2022, Online.</w:t>
      </w:r>
    </w:p>
    <w:p>
      <w:pPr>
        <w:pStyle w:val="BodyText"/>
      </w:pPr>
      <w:r>
        <w:t xml:space="preserve">The original Tweet that set it all off is no longer available on X, but has been</w:t>
      </w:r>
      <w:r>
        <w:t xml:space="preserve"> </w:t>
      </w:r>
      <w:hyperlink r:id="rId68">
        <w:r>
          <w:rPr>
            <w:rStyle w:val="Hyperlink"/>
          </w:rPr>
          <w:t xml:space="preserve">ported to BlueSky</w:t>
        </w:r>
      </w:hyperlink>
      <w:r>
        <w:t xml:space="preserve"> </w:t>
      </w:r>
      <w:r>
        <w:t xml:space="preserve">where it can be seen without the original context or replies.</w:t>
      </w:r>
    </w:p>
    <w:bookmarkEnd w:id="69"/>
    <w:bookmarkStart w:id="70" w:name="graduate-student-development"/>
    <w:p>
      <w:pPr>
        <w:pStyle w:val="Heading2"/>
      </w:pPr>
      <w:r>
        <w:t xml:space="preserve">2.3 Graduate Student Development</w:t>
      </w:r>
    </w:p>
    <w:p>
      <w:pPr>
        <w:pStyle w:val="FirstParagraph"/>
      </w:pPr>
      <w:r>
        <w:t xml:space="preserve">As a PhD candidate, I have not been in a position to mentor or supervise graduate students. That said, I am privileged to have been mentored by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Professor of Measurement, Evaluation and Data Science, University of Alberta and University of Alberta President’s Research Prize Recipient). Each of these mentors has modelled high standards of academic excellence comibined with both support and trust as appropriate. This blend of personal mentoring and adherence to academic excellence has given me a template from which I can build my own practice of mentoring graduate students.</w:t>
      </w:r>
    </w:p>
    <w:p>
      <w:pPr>
        <w:pStyle w:val="BodyText"/>
      </w:pPr>
      <w:r>
        <w:t xml:space="preserve">In my role of Director of Technology-Integrated Learning and Assessment, I have the privilege of supervising multiple early career educational technologists, several of whom have since started their journeys through masters and doctoral programs. As such, I have had the opportunity to informally mentor these people as they know that I am nearing completion of my program and seek out my advice. I know from these less formal encounters that each graduate student brings their own experiences, strengths, challenges, and fears to their programs, necessitating a personalized approach for each one.</w:t>
      </w:r>
    </w:p>
    <w:p>
      <w:r>
        <w:br w:type="page"/>
      </w:r>
    </w:p>
    <w:bookmarkEnd w:id="70"/>
    <w:bookmarkEnd w:id="71"/>
    <w:bookmarkStart w:id="90" w:name="teaching-statement"/>
    <w:p>
      <w:pPr>
        <w:pStyle w:val="Heading1"/>
      </w:pPr>
      <w:r>
        <w:t xml:space="preserve">3. Teaching Statement</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Rows: 18 Columns: 5</w:t>
      </w:r>
      <w:r>
        <w:br/>
      </w:r>
      <w:r>
        <w:rPr>
          <w:rStyle w:val="VerbatimChar"/>
        </w:rPr>
        <w:t xml:space="preserve">── Column specification ────────────────────────────────────────────────────────</w:t>
      </w:r>
      <w:r>
        <w:br/>
      </w:r>
      <w:r>
        <w:rPr>
          <w:rStyle w:val="VerbatimChar"/>
        </w:rPr>
        <w:t xml:space="preserve">Delimiter: ","</w:t>
      </w:r>
      <w:r>
        <w:br/>
      </w:r>
      <w:r>
        <w:rPr>
          <w:rStyle w:val="VerbatimChar"/>
        </w:rPr>
        <w:t xml:space="preserve">chr (2): Term, Course</w:t>
      </w:r>
      <w:r>
        <w:br/>
      </w:r>
      <w:r>
        <w:rPr>
          <w:rStyle w:val="VerbatimChar"/>
        </w:rPr>
        <w:t xml:space="preserve">dbl (3): Class Size, Responses, pct_good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Start w:id="84" w:name="philosophy-of-teaching-and-learning"/>
    <w:p>
      <w:pPr>
        <w:pStyle w:val="Heading2"/>
      </w:pPr>
      <w:r>
        <w:t xml:space="preserve">3.1 Philosophy of Teaching and Learning</w:t>
      </w:r>
    </w:p>
    <w:p>
      <w:pPr>
        <w:pStyle w:val="FirstParagraph"/>
      </w:pPr>
      <w:r>
        <w:t xml:space="preserve">In my research and practice of teaching and learning in higher education, I ground my work in three broad principles related to</w:t>
      </w:r>
      <w:r>
        <w:t xml:space="preserve"> </w:t>
      </w:r>
      <w:r>
        <w:rPr>
          <w:i/>
          <w:iCs/>
        </w:rPr>
        <w:t xml:space="preserve">who learners are</w:t>
      </w:r>
      <w:r>
        <w:t xml:space="preserve">,</w:t>
      </w:r>
      <w:r>
        <w:t xml:space="preserve"> </w:t>
      </w:r>
      <w:r>
        <w:rPr>
          <w:i/>
          <w:iCs/>
        </w:rPr>
        <w:t xml:space="preserve">what teachers do</w:t>
      </w:r>
      <w:r>
        <w:t xml:space="preserve">, and</w:t>
      </w:r>
      <w:r>
        <w:t xml:space="preserve"> </w:t>
      </w:r>
      <w:r>
        <w:rPr>
          <w:i/>
          <w:iCs/>
        </w:rPr>
        <w:t xml:space="preserve">how teachers know what learners know</w:t>
      </w:r>
      <w:r>
        <w:t xml:space="preserve">.</w:t>
      </w:r>
    </w:p>
    <w:bookmarkStart w:id="72" w:name="who-learners-are"/>
    <w:p>
      <w:pPr>
        <w:pStyle w:val="Heading3"/>
      </w:pPr>
      <w:r>
        <w:t xml:space="preserve">3.1.1 Who Learners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72"/>
    <w:bookmarkStart w:id="76" w:name="what-teachers-do"/>
    <w:p>
      <w:pPr>
        <w:pStyle w:val="Heading3"/>
      </w:pPr>
      <w:r>
        <w:t xml:space="preserve">3.1.2 What Teachers Do</w:t>
      </w:r>
    </w:p>
    <w:p>
      <w:pPr>
        <w:pStyle w:val="BlockText"/>
      </w:pPr>
      <w:r>
        <w:t xml:space="preserve">Learning is idealized as a cognitive apprenticeship which supports the process of sense-making in the context of complex ideas.</w:t>
      </w:r>
    </w:p>
    <w:p>
      <w:pPr>
        <w:pStyle w:val="FirstParagraph"/>
      </w:pPr>
      <w:r>
        <w:t xml:space="preserve">We know from Bloom</w:t>
      </w:r>
      <w:r>
        <w:t xml:space="preserve"> </w:t>
      </w:r>
      <w:r>
        <w:t xml:space="preserve">(1984)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74" name="Picture"/>
            <a:graphic>
              <a:graphicData uri="http://schemas.openxmlformats.org/drawingml/2006/picture">
                <pic:pic>
                  <pic:nvPicPr>
                    <pic:cNvPr descr="../assets/screenshot-sample-doc.png" id="75" name="Picture"/>
                    <pic:cNvPicPr>
                      <a:picLocks noChangeArrowheads="1" noChangeAspect="1"/>
                    </pic:cNvPicPr>
                  </pic:nvPicPr>
                  <pic:blipFill>
                    <a:blip r:embed="rId73"/>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76"/>
    <w:bookmarkStart w:id="83" w:name="how-teachers-know-what-learners-know"/>
    <w:p>
      <w:pPr>
        <w:pStyle w:val="Heading3"/>
      </w:pPr>
      <w:r>
        <w:t xml:space="preserve">3.1.3 How Teachers Know What Learners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 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78" name="Picture"/>
            <a:graphic>
              <a:graphicData uri="http://schemas.openxmlformats.org/drawingml/2006/picture">
                <pic:pic>
                  <pic:nvPicPr>
                    <pic:cNvPr descr="../assets/ilr-notion.png" id="79" name="Picture"/>
                    <pic:cNvPicPr>
                      <a:picLocks noChangeArrowheads="1" noChangeAspect="1"/>
                    </pic:cNvPicPr>
                  </pic:nvPicPr>
                  <pic:blipFill>
                    <a:blip r:embed="rId77"/>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in LDRS 463, they may use Obsidian to highlight their sense-making processes using tags and a concept map.</w:t>
      </w:r>
    </w:p>
    <w:p>
      <w:pPr>
        <w:pStyle w:val="CaptionedFigure"/>
      </w:pPr>
      <w:r>
        <w:drawing>
          <wp:inline>
            <wp:extent cx="6400800" cy="2814461"/>
            <wp:effectExtent b="0" l="0" r="0" t="0"/>
            <wp:docPr descr="Screenshot of a learner-created concept map using Obsidian as the platform." title="" id="81" name="Picture"/>
            <a:graphic>
              <a:graphicData uri="http://schemas.openxmlformats.org/drawingml/2006/picture">
                <pic:pic>
                  <pic:nvPicPr>
                    <pic:cNvPr descr="../assets/obsidian-screenshot.png" id="82" name="Picture"/>
                    <pic:cNvPicPr>
                      <a:picLocks noChangeArrowheads="1" noChangeAspect="1"/>
                    </pic:cNvPicPr>
                  </pic:nvPicPr>
                  <pic:blipFill>
                    <a:blip r:embed="rId80"/>
                    <a:stretch>
                      <a:fillRect/>
                    </a:stretch>
                  </pic:blipFill>
                  <pic:spPr bwMode="auto">
                    <a:xfrm>
                      <a:off x="0" y="0"/>
                      <a:ext cx="6400800" cy="2814461"/>
                    </a:xfrm>
                    <a:prstGeom prst="rect">
                      <a:avLst/>
                    </a:prstGeom>
                    <a:noFill/>
                    <a:ln w="9525">
                      <a:noFill/>
                      <a:headEnd/>
                      <a:tailEnd/>
                    </a:ln>
                  </pic:spPr>
                </pic:pic>
              </a:graphicData>
            </a:graphic>
          </wp:inline>
        </w:drawing>
      </w:r>
    </w:p>
    <w:p>
      <w:pPr>
        <w:pStyle w:val="ImageCaption"/>
      </w:pPr>
      <w:r>
        <w:t xml:space="preserve">Screenshot of a learner-created concept map using Obsidian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p>
      <w:pPr>
        <w:pStyle w:val="BodyText"/>
      </w:pPr>
      <w:r>
        <w:t xml:space="preserve">The most effective process of me coming to know what the learner knows is to schedule 10-15 minute synchronous assessment conversations with learners where they present their work. I thus have the opportunity in the moment to probe their thinking about their work and to make a determination of the authenticity of their performance.</w:t>
      </w:r>
    </w:p>
    <w:p>
      <w:pPr>
        <w:pStyle w:val="BodyText"/>
      </w:pPr>
      <w:r>
        <w:t xml:space="preserve">In summary, I believe that all learners have inherent rights and dignity, that teaching and learning is a relationship best described as a cognitive apprenticeship, and that meaningful work and conversations are the best ways to certify that learning has occured.</w:t>
      </w:r>
    </w:p>
    <w:bookmarkEnd w:id="83"/>
    <w:bookmarkEnd w:id="84"/>
    <w:bookmarkStart w:id="85" w:name="teaching-interests"/>
    <w:p>
      <w:pPr>
        <w:pStyle w:val="Heading2"/>
      </w:pPr>
      <w:r>
        <w:t xml:space="preserve">3.2 Teaching Interests</w:t>
      </w:r>
    </w:p>
    <w:p>
      <w:pPr>
        <w:pStyle w:val="FirstParagraph"/>
      </w:pPr>
      <w:r>
        <w:t xml:space="preserve">Teaching is a profound passion of mine, particularly when it allows me to apply my research findings in the classroom. My teaching experience includes junior and senior high school in both public and private high schools in BC and Alberta; internationally as an assistant language teacher in Japan; and in both undergraduate and graduate courses in higher education. I have taught a diverse range of subjects in grades 8-12,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w:t>
      </w:r>
      <w:r>
        <w:t xml:space="preserve"> </w:t>
      </w:r>
      <w:hyperlink r:id="rId43">
        <w:r>
          <w:rPr>
            <w:rStyle w:val="Hyperlink"/>
          </w:rPr>
          <w:t xml:space="preserve">Our experience is documented in a presentation at the OTESSA21 conference at the Congress of the Social Sciences and Humanities</w:t>
        </w:r>
      </w:hyperlink>
      <w:r>
        <w:t xml:space="preserve">. I also co-designed and taught Coaching for Transformational Blended Learning, a course in the Graduate Certificate in Adult Learning: Coaching and Facilitation at TWU. This course takes an experiential approach to coaching individual learners and facilitating group processes in educational contexts. At the undergraduate level at TWU, I collaborated with an instructional designer to create an introductory online course called Learning with Technology which enrolled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Obsidian, Zotero, and WordPress.</w:t>
      </w:r>
    </w:p>
    <w:bookmarkEnd w:id="85"/>
    <w:bookmarkStart w:id="86" w:name="teaching-effectiveness"/>
    <w:p>
      <w:pPr>
        <w:pStyle w:val="Heading2"/>
      </w:pPr>
      <w:r>
        <w:t xml:space="preserve">3.3 Teaching Effectiveness</w:t>
      </w:r>
    </w:p>
    <w:p>
      <w:pPr>
        <w:pStyle w:val="FirstParagraph"/>
      </w:pPr>
      <w:r>
        <w:t xml:space="preserve">The following is a table summarizing courses I have taught, including a synopsis of learner ratings of their experience with me as their instructor. Note that several courses did not meet the threshold for reporting ratings as there were too few submissions of learner experience surveys.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Term</w:t>
            </w:r>
          </w:p>
        </w:tc>
        <w:tc>
          <w:tcPr/>
          <w:p>
            <w:pPr>
              <w:pStyle w:val="Compact"/>
              <w:jc w:val="left"/>
            </w:pPr>
            <w:r>
              <w:t xml:space="preserve">Course</w:t>
            </w:r>
          </w:p>
        </w:tc>
        <w:tc>
          <w:tcPr/>
          <w:p>
            <w:pPr>
              <w:pStyle w:val="Compact"/>
              <w:jc w:val="right"/>
            </w:pPr>
            <w:r>
              <w:t xml:space="preserve">Class Size</w:t>
            </w:r>
          </w:p>
        </w:tc>
        <w:tc>
          <w:tcPr/>
          <w:p>
            <w:pPr>
              <w:pStyle w:val="Compact"/>
              <w:jc w:val="right"/>
            </w:pPr>
            <w:r>
              <w:t xml:space="preserve">Responses</w:t>
            </w:r>
          </w:p>
        </w:tc>
        <w:tc>
          <w:tcPr/>
          <w:p>
            <w:pPr>
              <w:pStyle w:val="Compact"/>
              <w:jc w:val="right"/>
            </w:pPr>
            <w:r>
              <w:t xml:space="preserve">pct_good</w:t>
            </w:r>
          </w:p>
        </w:tc>
      </w:tr>
      <w:tr>
        <w:tc>
          <w:tcPr/>
          <w:p>
            <w:pPr>
              <w:pStyle w:val="Compact"/>
              <w:jc w:val="left"/>
            </w:pPr>
            <w:r>
              <w:t xml:space="preserve">FA 2024</w:t>
            </w:r>
          </w:p>
        </w:tc>
        <w:tc>
          <w:tcPr/>
          <w:p>
            <w:pPr>
              <w:pStyle w:val="Compact"/>
              <w:jc w:val="left"/>
            </w:pPr>
            <w:r>
              <w:t xml:space="preserve">LDRS463/663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2024</w:t>
            </w:r>
          </w:p>
        </w:tc>
        <w:tc>
          <w:tcPr/>
          <w:p>
            <w:pPr>
              <w:pStyle w:val="Compact"/>
              <w:jc w:val="left"/>
            </w:pPr>
            <w:r>
              <w:t xml:space="preserve">LDRS663</w:t>
            </w:r>
          </w:p>
        </w:tc>
        <w:tc>
          <w:tcPr/>
          <w:p>
            <w:pPr>
              <w:pStyle w:val="Compact"/>
              <w:jc w:val="right"/>
            </w:pPr>
            <w:r>
              <w:t xml:space="preserve">4</w:t>
            </w:r>
          </w:p>
        </w:tc>
        <w:tc>
          <w:tcPr/>
          <w:p>
            <w:pPr>
              <w:pStyle w:val="Compact"/>
              <w:jc w:val="right"/>
            </w:pPr>
            <w:r>
              <w:t xml:space="preserve">3</w:t>
            </w:r>
          </w:p>
        </w:tc>
        <w:tc>
          <w:tcPr/>
          <w:p>
            <w:pPr>
              <w:pStyle w:val="Compact"/>
              <w:jc w:val="right"/>
            </w:pPr>
            <w:r>
              <w:t xml:space="preserve">67</w:t>
            </w:r>
          </w:p>
        </w:tc>
      </w:tr>
      <w:tr>
        <w:tc>
          <w:tcPr/>
          <w:p>
            <w:pPr>
              <w:pStyle w:val="Compact"/>
              <w:jc w:val="left"/>
            </w:pPr>
            <w:r>
              <w:t xml:space="preserve">FA 2023</w:t>
            </w:r>
          </w:p>
        </w:tc>
        <w:tc>
          <w:tcPr/>
          <w:p>
            <w:pPr>
              <w:pStyle w:val="Compact"/>
              <w:jc w:val="left"/>
            </w:pPr>
            <w:r>
              <w:t xml:space="preserve">LDRS663</w:t>
            </w:r>
          </w:p>
        </w:tc>
        <w:tc>
          <w:tcPr/>
          <w:p>
            <w:pPr>
              <w:pStyle w:val="Compact"/>
              <w:jc w:val="right"/>
            </w:pPr>
            <w:r>
              <w:t xml:space="preserve">6</w:t>
            </w:r>
          </w:p>
        </w:tc>
        <w:tc>
          <w:tcPr/>
          <w:p>
            <w:pPr>
              <w:pStyle w:val="Compact"/>
              <w:jc w:val="right"/>
            </w:pPr>
            <w:r>
              <w:t xml:space="preserve">1</w:t>
            </w:r>
          </w:p>
        </w:tc>
        <w:tc>
          <w:tcPr/>
          <w:p>
            <w:pPr>
              <w:pStyle w:val="Compact"/>
              <w:jc w:val="right"/>
            </w:pPr>
            <w:r>
              <w:t xml:space="preserve">100</w:t>
            </w:r>
          </w:p>
        </w:tc>
      </w:tr>
      <w:tr>
        <w:tc>
          <w:tcPr/>
          <w:p>
            <w:pPr>
              <w:pStyle w:val="Compact"/>
              <w:jc w:val="left"/>
            </w:pPr>
            <w:r>
              <w:t xml:space="preserve">SP 2023</w:t>
            </w:r>
          </w:p>
        </w:tc>
        <w:tc>
          <w:tcPr/>
          <w:p>
            <w:pPr>
              <w:pStyle w:val="Compact"/>
              <w:jc w:val="left"/>
            </w:pPr>
            <w:r>
              <w:t xml:space="preserve">LDRS663</w:t>
            </w:r>
          </w:p>
        </w:tc>
        <w:tc>
          <w:tcPr/>
          <w:p>
            <w:pPr>
              <w:pStyle w:val="Compact"/>
              <w:jc w:val="right"/>
            </w:pPr>
            <w:r>
              <w:t xml:space="preserve">1</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SP 2022</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67</w:t>
            </w:r>
          </w:p>
        </w:tc>
      </w:tr>
      <w:tr>
        <w:tc>
          <w:tcPr/>
          <w:p>
            <w:pPr>
              <w:pStyle w:val="Compact"/>
              <w:jc w:val="left"/>
            </w:pPr>
            <w:r>
              <w:t xml:space="preserve">SP 2022</w:t>
            </w:r>
          </w:p>
        </w:tc>
        <w:tc>
          <w:tcPr/>
          <w:p>
            <w:pPr>
              <w:pStyle w:val="Compact"/>
              <w:jc w:val="left"/>
            </w:pPr>
            <w:r>
              <w:t xml:space="preserve">EDCI338</w:t>
            </w:r>
          </w:p>
        </w:tc>
        <w:tc>
          <w:tcPr/>
          <w:p>
            <w:pPr>
              <w:pStyle w:val="Compact"/>
              <w:jc w:val="right"/>
            </w:pPr>
            <w:r>
              <w:t xml:space="preserve">39</w:t>
            </w:r>
          </w:p>
        </w:tc>
        <w:tc>
          <w:tcPr/>
          <w:p>
            <w:pPr>
              <w:pStyle w:val="Compact"/>
              <w:jc w:val="right"/>
            </w:pPr>
            <w:r>
              <w:t xml:space="preserve">4</w:t>
            </w:r>
          </w:p>
        </w:tc>
        <w:tc>
          <w:tcPr/>
          <w:p>
            <w:pPr>
              <w:pStyle w:val="Compact"/>
              <w:jc w:val="right"/>
            </w:pPr>
            <w:r>
              <w:t xml:space="preserve">75</w:t>
            </w:r>
          </w:p>
        </w:tc>
      </w:tr>
      <w:tr>
        <w:tc>
          <w:tcPr/>
          <w:p>
            <w:pPr>
              <w:pStyle w:val="Compact"/>
              <w:jc w:val="left"/>
            </w:pPr>
            <w:r>
              <w:t xml:space="preserve">FA 2021</w:t>
            </w:r>
          </w:p>
        </w:tc>
        <w:tc>
          <w:tcPr/>
          <w:p>
            <w:pPr>
              <w:pStyle w:val="Compact"/>
              <w:jc w:val="left"/>
            </w:pPr>
            <w:r>
              <w:t xml:space="preserve">EDCI335</w:t>
            </w:r>
          </w:p>
        </w:tc>
        <w:tc>
          <w:tcPr/>
          <w:p>
            <w:pPr>
              <w:pStyle w:val="Compact"/>
              <w:jc w:val="right"/>
            </w:pPr>
            <w:r>
              <w:t xml:space="preserve">41</w:t>
            </w:r>
          </w:p>
        </w:tc>
        <w:tc>
          <w:tcPr/>
          <w:p>
            <w:pPr>
              <w:pStyle w:val="Compact"/>
              <w:jc w:val="right"/>
            </w:pPr>
            <w:r>
              <w:t xml:space="preserve">6</w:t>
            </w:r>
          </w:p>
        </w:tc>
        <w:tc>
          <w:tcPr/>
          <w:p>
            <w:pPr>
              <w:pStyle w:val="Compact"/>
              <w:jc w:val="right"/>
            </w:pPr>
            <w:r>
              <w:t xml:space="preserve">100</w:t>
            </w:r>
          </w:p>
        </w:tc>
      </w:tr>
      <w:tr>
        <w:tc>
          <w:tcPr/>
          <w:p>
            <w:pPr>
              <w:pStyle w:val="Compact"/>
              <w:jc w:val="left"/>
            </w:pPr>
            <w:r>
              <w:t xml:space="preserve">FA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2021</w:t>
            </w:r>
          </w:p>
        </w:tc>
        <w:tc>
          <w:tcPr/>
          <w:p>
            <w:pPr>
              <w:pStyle w:val="Compact"/>
              <w:jc w:val="left"/>
            </w:pPr>
            <w:r>
              <w:t xml:space="preserve">EDCI335</w:t>
            </w:r>
          </w:p>
        </w:tc>
        <w:tc>
          <w:tcPr/>
          <w:p>
            <w:pPr>
              <w:pStyle w:val="Compact"/>
              <w:jc w:val="right"/>
            </w:pPr>
            <w:r>
              <w:t xml:space="preserve">40</w:t>
            </w:r>
          </w:p>
        </w:tc>
        <w:tc>
          <w:tcPr/>
          <w:p>
            <w:pPr>
              <w:pStyle w:val="Compact"/>
              <w:jc w:val="right"/>
            </w:pPr>
            <w:r>
              <w:t xml:space="preserve">9</w:t>
            </w:r>
          </w:p>
        </w:tc>
        <w:tc>
          <w:tcPr/>
          <w:p>
            <w:pPr>
              <w:pStyle w:val="Compact"/>
              <w:jc w:val="right"/>
            </w:pPr>
            <w:r>
              <w:t xml:space="preserve">100</w:t>
            </w:r>
          </w:p>
        </w:tc>
      </w:tr>
      <w:tr>
        <w:tc>
          <w:tcPr/>
          <w:p>
            <w:pPr>
              <w:pStyle w:val="Compact"/>
              <w:jc w:val="left"/>
            </w:pPr>
            <w:r>
              <w:t xml:space="preserve">SP 2021</w:t>
            </w:r>
          </w:p>
        </w:tc>
        <w:tc>
          <w:tcPr/>
          <w:p>
            <w:pPr>
              <w:pStyle w:val="Compact"/>
              <w:jc w:val="left"/>
            </w:pPr>
            <w:r>
              <w:t xml:space="preserve">LDRS663</w:t>
            </w:r>
          </w:p>
        </w:tc>
        <w:tc>
          <w:tcPr/>
          <w:p>
            <w:pPr>
              <w:pStyle w:val="Compact"/>
              <w:jc w:val="right"/>
            </w:pPr>
            <w:r>
              <w:t xml:space="preserve">7</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FA 2020</w:t>
            </w:r>
          </w:p>
        </w:tc>
        <w:tc>
          <w:tcPr/>
          <w:p>
            <w:pPr>
              <w:pStyle w:val="Compact"/>
              <w:jc w:val="left"/>
            </w:pPr>
            <w:r>
              <w:t xml:space="preserve">LDRS663</w:t>
            </w:r>
          </w:p>
        </w:tc>
        <w:tc>
          <w:tcPr/>
          <w:p>
            <w:pPr>
              <w:pStyle w:val="Compact"/>
              <w:jc w:val="right"/>
            </w:pPr>
            <w:r>
              <w:t xml:space="preserve">11</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2020</w:t>
            </w:r>
          </w:p>
        </w:tc>
        <w:tc>
          <w:tcPr/>
          <w:p>
            <w:pPr>
              <w:pStyle w:val="Compact"/>
              <w:jc w:val="left"/>
            </w:pPr>
            <w:r>
              <w:t xml:space="preserve">LDRS663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2020</w:t>
            </w:r>
          </w:p>
        </w:tc>
        <w:tc>
          <w:tcPr/>
          <w:p>
            <w:pPr>
              <w:pStyle w:val="Compact"/>
              <w:jc w:val="left"/>
            </w:pPr>
            <w:r>
              <w:t xml:space="preserve">EDCI339</w:t>
            </w:r>
          </w:p>
        </w:tc>
        <w:tc>
          <w:tcPr/>
          <w:p>
            <w:pPr>
              <w:pStyle w:val="Compact"/>
              <w:jc w:val="right"/>
            </w:pPr>
            <w:r>
              <w:t xml:space="preserve">59</w:t>
            </w:r>
          </w:p>
        </w:tc>
        <w:tc>
          <w:tcPr/>
          <w:p>
            <w:pPr>
              <w:pStyle w:val="Compact"/>
              <w:jc w:val="right"/>
            </w:pPr>
            <w:r>
              <w:t xml:space="preserve">3</w:t>
            </w:r>
          </w:p>
        </w:tc>
        <w:tc>
          <w:tcPr/>
          <w:p>
            <w:pPr>
              <w:pStyle w:val="Compact"/>
              <w:jc w:val="right"/>
            </w:pPr>
            <w:r>
              <w:t xml:space="preserve">33</w:t>
            </w:r>
          </w:p>
        </w:tc>
      </w:tr>
      <w:tr>
        <w:tc>
          <w:tcPr/>
          <w:p>
            <w:pPr>
              <w:pStyle w:val="Compact"/>
              <w:jc w:val="left"/>
            </w:pPr>
            <w:r>
              <w:t xml:space="preserve">SU 2020</w:t>
            </w:r>
          </w:p>
        </w:tc>
        <w:tc>
          <w:tcPr/>
          <w:p>
            <w:pPr>
              <w:pStyle w:val="Compact"/>
              <w:jc w:val="left"/>
            </w:pPr>
            <w:r>
              <w:t xml:space="preserve">EDCI335</w:t>
            </w:r>
          </w:p>
        </w:tc>
        <w:tc>
          <w:tcPr/>
          <w:p>
            <w:pPr>
              <w:pStyle w:val="Compact"/>
              <w:jc w:val="right"/>
            </w:pPr>
            <w:r>
              <w:t xml:space="preserve">56</w:t>
            </w:r>
          </w:p>
        </w:tc>
        <w:tc>
          <w:tcPr/>
          <w:p>
            <w:pPr>
              <w:pStyle w:val="Compact"/>
              <w:jc w:val="right"/>
            </w:pPr>
            <w:r>
              <w:t xml:space="preserve">3</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LDRS663</w:t>
            </w:r>
          </w:p>
        </w:tc>
        <w:tc>
          <w:tcPr/>
          <w:p>
            <w:pPr>
              <w:pStyle w:val="Compact"/>
              <w:jc w:val="right"/>
            </w:pPr>
            <w:r>
              <w:t xml:space="preserve">3</w:t>
            </w:r>
          </w:p>
        </w:tc>
        <w:tc>
          <w:tcPr/>
          <w:p>
            <w:pPr>
              <w:pStyle w:val="Compact"/>
              <w:jc w:val="right"/>
            </w:pPr>
            <w:r>
              <w:t xml:space="preserve">0</w:t>
            </w:r>
          </w:p>
        </w:tc>
        <w:tc>
          <w:tcPr/>
          <w:p>
            <w:pPr>
              <w:pStyle w:val="Compact"/>
              <w:jc w:val="right"/>
            </w:pPr>
            <w:r>
              <w:t xml:space="preserve">NA</w:t>
            </w:r>
          </w:p>
        </w:tc>
      </w:tr>
      <w:tr>
        <w:tc>
          <w:tcPr/>
          <w:p>
            <w:pPr>
              <w:pStyle w:val="Compact"/>
              <w:jc w:val="left"/>
            </w:pPr>
            <w:r>
              <w:t xml:space="preserve">SU 2019</w:t>
            </w:r>
          </w:p>
        </w:tc>
        <w:tc>
          <w:tcPr/>
          <w:p>
            <w:pPr>
              <w:pStyle w:val="Compact"/>
              <w:jc w:val="left"/>
            </w:pPr>
            <w:r>
              <w:t xml:space="preserve">EDCI339</w:t>
            </w:r>
          </w:p>
        </w:tc>
        <w:tc>
          <w:tcPr/>
          <w:p>
            <w:pPr>
              <w:pStyle w:val="Compact"/>
              <w:jc w:val="right"/>
            </w:pPr>
            <w:r>
              <w:t xml:space="preserve">39</w:t>
            </w:r>
          </w:p>
        </w:tc>
        <w:tc>
          <w:tcPr/>
          <w:p>
            <w:pPr>
              <w:pStyle w:val="Compact"/>
              <w:jc w:val="right"/>
            </w:pPr>
            <w:r>
              <w:t xml:space="preserve">2</w:t>
            </w:r>
          </w:p>
        </w:tc>
        <w:tc>
          <w:tcPr/>
          <w:p>
            <w:pPr>
              <w:pStyle w:val="Compact"/>
              <w:jc w:val="right"/>
            </w:pPr>
            <w:r>
              <w:t xml:space="preserve">100</w:t>
            </w:r>
          </w:p>
        </w:tc>
      </w:tr>
      <w:tr>
        <w:tc>
          <w:tcPr/>
          <w:p>
            <w:pPr>
              <w:pStyle w:val="Compact"/>
              <w:jc w:val="left"/>
            </w:pPr>
            <w:r>
              <w:t xml:space="preserve">SU 2019</w:t>
            </w:r>
          </w:p>
        </w:tc>
        <w:tc>
          <w:tcPr/>
          <w:p>
            <w:pPr>
              <w:pStyle w:val="Compact"/>
              <w:jc w:val="left"/>
            </w:pPr>
            <w:r>
              <w:t xml:space="preserve">EDCI335</w:t>
            </w:r>
          </w:p>
        </w:tc>
        <w:tc>
          <w:tcPr/>
          <w:p>
            <w:pPr>
              <w:pStyle w:val="Compact"/>
              <w:jc w:val="right"/>
            </w:pPr>
            <w:r>
              <w:t xml:space="preserve">37</w:t>
            </w:r>
          </w:p>
        </w:tc>
        <w:tc>
          <w:tcPr/>
          <w:p>
            <w:pPr>
              <w:pStyle w:val="Compact"/>
              <w:jc w:val="right"/>
            </w:pPr>
            <w:r>
              <w:t xml:space="preserve">8</w:t>
            </w:r>
          </w:p>
        </w:tc>
        <w:tc>
          <w:tcPr/>
          <w:p>
            <w:pPr>
              <w:pStyle w:val="Compact"/>
              <w:jc w:val="right"/>
            </w:pPr>
            <w:r>
              <w:t xml:space="preserve">75</w:t>
            </w:r>
          </w:p>
        </w:tc>
      </w:tr>
    </w:tbl>
    <w:bookmarkEnd w:id="86"/>
    <w:bookmarkStart w:id="87" w:name="efforts-to-improve-teaching"/>
    <w:p>
      <w:pPr>
        <w:pStyle w:val="Heading2"/>
      </w:pPr>
      <w:r>
        <w:t xml:space="preserve">3.4 Efforts to Improve Teaching</w:t>
      </w:r>
    </w:p>
    <w:p>
      <w:pPr>
        <w:pStyle w:val="FirstParagraph"/>
      </w:pPr>
      <w:r>
        <w:t xml:space="preserve">Early in my higher education teaching career, there was a pattern of learners not being satisfied with my feedback practices. As I grew as an instructor in online environment, I began implementing more relational assessment and feedback practices as outlined in my teaching philosophy statement. One change that I have consistently implemented since those early efforts is being more intentional and explicit about the connections between the intended learning outcomes in the course and the assessment tasks required of learners. I have found that when learners are more aware of those connections, there is greater willingness to engage in the acivities that lead to success in learning. Further, when there are clear connections between intended outcomes and assessment activities, I can be explicit about any areas that may require further work and help learners bridge any gaps between their ability and the intended outcomes. The final area of growth in my teaching has been the implementation of assessment conversations which provide opportunity for a more relational approach to assessment. Learners have told me that this approach, while different from their previous experience, has allowed them to be more comfortable in exploring ideas tentatively rather than hoping that they produce the</w:t>
      </w:r>
      <w:r>
        <w:t xml:space="preserve"> </w:t>
      </w:r>
      <w:r>
        <w:t xml:space="preserve">‘</w:t>
      </w:r>
      <w:r>
        <w:t xml:space="preserve">correct</w:t>
      </w:r>
      <w:r>
        <w:t xml:space="preserve">’</w:t>
      </w:r>
      <w:r>
        <w:t xml:space="preserve"> </w:t>
      </w:r>
      <w:r>
        <w:t xml:space="preserve">answer. These approaches and strategies were informed by my dissertation work on the Technology-integrated Assessment Framework.</w:t>
      </w:r>
    </w:p>
    <w:bookmarkEnd w:id="87"/>
    <w:bookmarkStart w:id="89" w:name="pedagogical-innovations"/>
    <w:p>
      <w:pPr>
        <w:pStyle w:val="Heading2"/>
      </w:pPr>
      <w:r>
        <w:t xml:space="preserve">3.5 Pedagogical Innovations</w:t>
      </w:r>
    </w:p>
    <w:p>
      <w:pPr>
        <w:pStyle w:val="FirstParagraph"/>
      </w:pPr>
      <w:r>
        <w:t xml:space="preserve">In January 2022, I trialled an online course structure built on GitHub for learner contributions and WordPress for learner reflections, which allowed me to track more closely the work that learners were doing and who was contributing to cooperative projects. While there was a longer period of time required to ensure that all learners were comfortable using the platforms, it proved to be useful as an exploration of how openness can be realized in online learning environments. The end result of the course was a co-created website with leaerner contributions clearly visible and my interatctions in the asynchronous environment recorded.</w:t>
      </w:r>
      <w:r>
        <w:t xml:space="preserve"> </w:t>
      </w:r>
      <w:hyperlink r:id="rId88">
        <w:r>
          <w:rPr>
            <w:rStyle w:val="Hyperlink"/>
          </w:rPr>
          <w:t xml:space="preserve">Please feel free to explore the site. Note that it is unchanged since the end of the course.</w:t>
        </w:r>
      </w:hyperlink>
    </w:p>
    <w:p>
      <w:r>
        <w:br w:type="page"/>
      </w:r>
    </w:p>
    <w:bookmarkEnd w:id="89"/>
    <w:bookmarkEnd w:id="90"/>
    <w:bookmarkStart w:id="93" w:name="Xb906e8932e30d4540e5abf74f967873de76e474"/>
    <w:p>
      <w:pPr>
        <w:pStyle w:val="Heading1"/>
      </w:pPr>
      <w:r>
        <w:t xml:space="preserve">4. Publications Focused on Assessment and Evaluation</w:t>
      </w:r>
    </w:p>
    <w:p>
      <w:pPr>
        <w:pStyle w:val="FirstParagraph"/>
      </w:pPr>
      <w:r>
        <w:t xml:space="preserve">Please see the following articles I published in the OTESSA Journal (May 2024):</w:t>
      </w:r>
    </w:p>
    <w:p>
      <w:pPr>
        <w:pStyle w:val="BodyText"/>
      </w:pPr>
      <w:r>
        <w:t xml:space="preserve">Madland, C., Irvine, V., DeLuca, C., &amp; Bulut, O. (2024).</w:t>
      </w:r>
      <w:r>
        <w:t xml:space="preserve"> </w:t>
      </w:r>
      <w:hyperlink r:id="rId25">
        <w:r>
          <w:rPr>
            <w:rStyle w:val="Hyperlink"/>
          </w:rPr>
          <w:t xml:space="preserve">Technology-Integrated Assessment: A Literature Review.</w:t>
        </w:r>
      </w:hyperlink>
      <w:r>
        <w:t xml:space="preserve"> </w:t>
      </w:r>
      <w:r>
        <w:rPr>
          <w:i/>
          <w:iCs/>
        </w:rPr>
        <w:t xml:space="preserve">The Open/Technology in Education, Society, and Scholarship Association Journal, 4</w:t>
      </w:r>
      <w:r>
        <w:t xml:space="preserve">(1), 1–48.</w:t>
      </w:r>
      <w:r>
        <w:t xml:space="preserve"> </w:t>
      </w:r>
      <w:hyperlink r:id="rId91">
        <w:r>
          <w:rPr>
            <w:rStyle w:val="Hyperlink"/>
          </w:rPr>
          <w:t xml:space="preserve">Google Scholar Citations</w:t>
        </w:r>
      </w:hyperlink>
    </w:p>
    <w:p>
      <w:pPr>
        <w:pStyle w:val="BodyText"/>
      </w:pPr>
      <w:r>
        <w:t xml:space="preserve">Madland, C., Irvine, V., DeLuca, C., &amp; Bulut, O. (2024).</w:t>
      </w:r>
      <w:r>
        <w:t xml:space="preserve"> </w:t>
      </w:r>
      <w:hyperlink r:id="rId24">
        <w:r>
          <w:rPr>
            <w:rStyle w:val="Hyperlink"/>
          </w:rPr>
          <w:t xml:space="preserve">Developing the Technology-Integrated Assessment Framework.</w:t>
        </w:r>
      </w:hyperlink>
      <w:r>
        <w:t xml:space="preserve"> </w:t>
      </w:r>
      <w:r>
        <w:rPr>
          <w:i/>
          <w:iCs/>
        </w:rPr>
        <w:t xml:space="preserve">The Open/Technology in Education, Society, and Scholarship Association Journal, 4</w:t>
      </w:r>
      <w:r>
        <w:t xml:space="preserve">(1), 1–19.</w:t>
      </w:r>
      <w:r>
        <w:t xml:space="preserve"> </w:t>
      </w:r>
      <w:hyperlink r:id="rId92">
        <w:r>
          <w:rPr>
            <w:rStyle w:val="Hyperlink"/>
          </w:rPr>
          <w:t xml:space="preserve">Google Scholar Citations</w:t>
        </w:r>
      </w:hyperlink>
    </w:p>
    <w:p>
      <w:r>
        <w:br w:type="page"/>
      </w:r>
    </w:p>
    <w:bookmarkEnd w:id="93"/>
    <w:bookmarkStart w:id="112" w:name="references"/>
    <w:p>
      <w:pPr>
        <w:pStyle w:val="Heading1"/>
      </w:pPr>
      <w:r>
        <w:t xml:space="preserve">5. References</w:t>
      </w:r>
    </w:p>
    <w:bookmarkStart w:id="111" w:name="refs"/>
    <w:bookmarkStart w:id="94"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94"/>
    <w:bookmarkStart w:id="96"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95">
        <w:r>
          <w:rPr>
            <w:rStyle w:val="Hyperlink"/>
          </w:rPr>
          <w:t xml:space="preserve">https://doi.org/10.1080/02602938.2015.1018133</w:t>
        </w:r>
      </w:hyperlink>
    </w:p>
    <w:bookmarkEnd w:id="96"/>
    <w:bookmarkStart w:id="98"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97">
        <w:r>
          <w:rPr>
            <w:rStyle w:val="Hyperlink"/>
          </w:rPr>
          <w:t xml:space="preserve">https://doi.org/10.1080/02602938.2018.1531108</w:t>
        </w:r>
      </w:hyperlink>
    </w:p>
    <w:bookmarkEnd w:id="98"/>
    <w:bookmarkStart w:id="100"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99">
        <w:r>
          <w:rPr>
            <w:rStyle w:val="Hyperlink"/>
          </w:rPr>
          <w:t xml:space="preserve">https://doi.org/10.3102/003465430298487</w:t>
        </w:r>
      </w:hyperlink>
    </w:p>
    <w:bookmarkEnd w:id="100"/>
    <w:bookmarkStart w:id="101" w:name="ref-irvineMultiSectionOpenCourse2022"/>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Proceedings of the</w:t>
      </w:r>
      <w:r>
        <w:rPr>
          <w:i/>
          <w:iCs/>
        </w:rPr>
        <w:t xml:space="preserve"> </w:t>
      </w:r>
      <w:r>
        <w:rPr>
          <w:i/>
          <w:iCs/>
        </w:rPr>
        <w:t xml:space="preserve">Open</w:t>
      </w:r>
      <w:r>
        <w:rPr>
          <w:i/>
          <w:iCs/>
        </w:rPr>
        <w:t xml:space="preserve">/</w:t>
      </w:r>
      <w:r>
        <w:rPr>
          <w:i/>
          <w:iCs/>
        </w:rPr>
        <w:t xml:space="preserve">Technology</w:t>
      </w:r>
      <w:r>
        <w:rPr>
          <w:i/>
          <w:iCs/>
        </w:rPr>
        <w:t xml:space="preserve"> </w:t>
      </w:r>
      <w:r>
        <w:rPr>
          <w:i/>
          <w:iCs/>
        </w:rPr>
        <w:t xml:space="preserve">in</w:t>
      </w:r>
      <w:r>
        <w:rPr>
          <w:i/>
          <w:iCs/>
        </w:rPr>
        <w:t xml:space="preserve"> </w:t>
      </w:r>
      <w:r>
        <w:rPr>
          <w:i/>
          <w:iCs/>
        </w:rPr>
        <w:t xml:space="preserve">Education</w:t>
      </w:r>
      <w:r>
        <w:rPr>
          <w:i/>
          <w:iCs/>
        </w:rPr>
        <w:t xml:space="preserve">,</w:t>
      </w:r>
      <w:r>
        <w:rPr>
          <w:i/>
          <w:iCs/>
        </w:rPr>
        <w:t xml:space="preserve"> </w:t>
      </w:r>
      <w:r>
        <w:rPr>
          <w:i/>
          <w:iCs/>
        </w:rPr>
        <w:t xml:space="preserve">Society</w:t>
      </w:r>
      <w:r>
        <w:rPr>
          <w:i/>
          <w:iCs/>
        </w:rPr>
        <w:t xml:space="preserve">, and</w:t>
      </w:r>
      <w:r>
        <w:rPr>
          <w:i/>
          <w:iCs/>
        </w:rPr>
        <w:t xml:space="preserve"> </w:t>
      </w:r>
      <w:r>
        <w:rPr>
          <w:i/>
          <w:iCs/>
        </w:rPr>
        <w:t xml:space="preserve">Scholarship Association Conference</w:t>
      </w:r>
      <w:r>
        <w:t xml:space="preserve">, 1–3.</w:t>
      </w:r>
      <w:r>
        <w:t xml:space="preserve"> </w:t>
      </w:r>
      <w:hyperlink r:id="rId31">
        <w:r>
          <w:rPr>
            <w:rStyle w:val="Hyperlink"/>
          </w:rPr>
          <w:t xml:space="preserve">https://doi.org/10.18357/otessac.2022.2.1.419</w:t>
        </w:r>
      </w:hyperlink>
    </w:p>
    <w:bookmarkEnd w:id="101"/>
    <w:bookmarkStart w:id="102" w:name="X038d0fd29c2cdd1e6e85e9dae936cff019860f4"/>
    <w:p>
      <w:pPr>
        <w:pStyle w:val="Bibliography"/>
      </w:pPr>
      <w:r>
        <w:t xml:space="preserve">Madland, C., Irvine, V., DeLuca, C., &amp; Bulut, O. (2024).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4">
        <w:r>
          <w:rPr>
            <w:rStyle w:val="Hyperlink"/>
          </w:rPr>
          <w:t xml:space="preserve">https://doi.org/10.18357/otessaj.2024.4.1.63</w:t>
        </w:r>
      </w:hyperlink>
    </w:p>
    <w:bookmarkEnd w:id="102"/>
    <w:bookmarkStart w:id="103"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2">
        <w:r>
          <w:rPr>
            <w:rStyle w:val="Hyperlink"/>
          </w:rPr>
          <w:t xml:space="preserve">https://doi.org/10.18357/otessac.2022.2.1.137</w:t>
        </w:r>
      </w:hyperlink>
    </w:p>
    <w:bookmarkEnd w:id="103"/>
    <w:bookmarkStart w:id="104"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3">
        <w:r>
          <w:rPr>
            <w:rStyle w:val="Hyperlink"/>
          </w:rPr>
          <w:t xml:space="preserve">https://doi.org/10.18357/otessac.2021.1.1.147</w:t>
        </w:r>
      </w:hyperlink>
    </w:p>
    <w:bookmarkEnd w:id="104"/>
    <w:bookmarkStart w:id="106"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105">
        <w:r>
          <w:rPr>
            <w:rStyle w:val="Hyperlink"/>
          </w:rPr>
          <w:t xml:space="preserve">https://doi.org/10.4324/9780203507711</w:t>
        </w:r>
      </w:hyperlink>
    </w:p>
    <w:bookmarkEnd w:id="106"/>
    <w:bookmarkStart w:id="108"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107">
        <w:r>
          <w:rPr>
            <w:rStyle w:val="Hyperlink"/>
          </w:rPr>
          <w:t xml:space="preserve">https://doi.org/10.1007/s10734-017-0220-3</w:t>
        </w:r>
      </w:hyperlink>
    </w:p>
    <w:bookmarkEnd w:id="108"/>
    <w:bookmarkStart w:id="110"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109">
        <w:r>
          <w:rPr>
            <w:rStyle w:val="Hyperlink"/>
          </w:rPr>
          <w:t xml:space="preserve">https://www.researchgate.net/publication/328289320_The_Five_R%27s_for_Indigenizing_Online_Learning_A_Case_Study_of_the_First_Nations_Schools%27_Principals_Course</w:t>
        </w:r>
      </w:hyperlink>
    </w:p>
    <w:bookmarkEnd w:id="110"/>
    <w:bookmarkEnd w:id="111"/>
    <w:bookmarkEnd w:id="112"/>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73" Target="media/rId73.png" /><Relationship Type="http://schemas.openxmlformats.org/officeDocument/2006/relationships/hyperlink" Id="rId46" Target="http://tinyurl.com/vp8h3q8" TargetMode="External" /><Relationship Type="http://schemas.openxmlformats.org/officeDocument/2006/relationships/hyperlink" Id="rId68" Target="https://bsky.app/profile/cmadtweets.bsky.social/post/3lb5lhuo35c2w" TargetMode="External" /><Relationship Type="http://schemas.openxmlformats.org/officeDocument/2006/relationships/hyperlink" Id="rId37" Target="https://cmadland.github.io/blog/posts/deck-otessa24/#/title-slide" TargetMode="External" /><Relationship Type="http://schemas.openxmlformats.org/officeDocument/2006/relationships/hyperlink" Id="rId67" Target="https://cmadland.github.io/cv/timeline.html#critical-family-history" TargetMode="External" /><Relationship Type="http://schemas.openxmlformats.org/officeDocument/2006/relationships/hyperlink" Id="rId38" Target="https://cmadland.github.io/decks/otessa22---assessment-and-digital-technology-in-higher-education.html#otessa22---assessment-and-digital-technology-in-higher-education" TargetMode="External" /><Relationship Type="http://schemas.openxmlformats.org/officeDocument/2006/relationships/hyperlink" Id="rId52" Target="https://cmadland.github.io/decks/twu-faculty-professional-learning.html" TargetMode="External" /><Relationship Type="http://schemas.openxmlformats.org/officeDocument/2006/relationships/hyperlink" Id="rId88" Target="https://cmadland.github.io/edci338-202201" TargetMode="External" /><Relationship Type="http://schemas.openxmlformats.org/officeDocument/2006/relationships/hyperlink" Id="rId35" Target="https://cmadland.github.io/slides/posts/otessa25-grading/#/title-slide" TargetMode="External" /><Relationship Type="http://schemas.openxmlformats.org/officeDocument/2006/relationships/hyperlink" Id="rId36" Target="https://cmadland.github.io/slides/posts/otessa25-scale/#/title-slide" TargetMode="External" /><Relationship Type="http://schemas.openxmlformats.org/officeDocument/2006/relationships/hyperlink" Id="rId107" Target="https://doi.org/10.1007/s10734-017-0220-3" TargetMode="External" /><Relationship Type="http://schemas.openxmlformats.org/officeDocument/2006/relationships/hyperlink" Id="rId95" Target="https://doi.org/10.1080/02602938.2015.1018133" TargetMode="External" /><Relationship Type="http://schemas.openxmlformats.org/officeDocument/2006/relationships/hyperlink" Id="rId97" Target="https://doi.org/10.1080/02602938.2018.1531108" TargetMode="External" /><Relationship Type="http://schemas.openxmlformats.org/officeDocument/2006/relationships/hyperlink" Id="rId33" Target="https://doi.org/10.18357/otessac.2021.1.1.147" TargetMode="External" /><Relationship Type="http://schemas.openxmlformats.org/officeDocument/2006/relationships/hyperlink" Id="rId32" Target="https://doi.org/10.18357/otessac.2022.2.1.137" TargetMode="External" /><Relationship Type="http://schemas.openxmlformats.org/officeDocument/2006/relationships/hyperlink" Id="rId31" Target="https://doi.org/10.18357/otessac.2022.2.1.419" TargetMode="External" /><Relationship Type="http://schemas.openxmlformats.org/officeDocument/2006/relationships/hyperlink" Id="rId29" Target="https://doi.org/10.18357/otessac.2024.4.1.393" TargetMode="External" /><Relationship Type="http://schemas.openxmlformats.org/officeDocument/2006/relationships/hyperlink" Id="rId30" Target="https://doi.org/10.18357/otessac.2024.4.1.421" TargetMode="External" /><Relationship Type="http://schemas.openxmlformats.org/officeDocument/2006/relationships/hyperlink" Id="rId25" Target="https://doi.org/10.18357/otessaj.2024.4.1.57" TargetMode="External" /><Relationship Type="http://schemas.openxmlformats.org/officeDocument/2006/relationships/hyperlink" Id="rId24" Target="https://doi.org/10.18357/otessaj.2024.4.1.63" TargetMode="External" /><Relationship Type="http://schemas.openxmlformats.org/officeDocument/2006/relationships/hyperlink" Id="rId26" Target="https://doi.org/10.19173/irrodl.v17i3.2179" TargetMode="External" /><Relationship Type="http://schemas.openxmlformats.org/officeDocument/2006/relationships/hyperlink" Id="rId99" Target="https://doi.org/10.3102/003465430298487" TargetMode="External" /><Relationship Type="http://schemas.openxmlformats.org/officeDocument/2006/relationships/hyperlink" Id="rId105" Target="https://doi.org/10.4324/9780203507711" TargetMode="External" /><Relationship Type="http://schemas.openxmlformats.org/officeDocument/2006/relationships/hyperlink" Id="rId40" Target="https://otessa.github.io/2022/friday-may-20-2022.html#share-access-using-bookdown-to-remove-barriers-and-open-up-learning" TargetMode="External" /><Relationship Type="http://schemas.openxmlformats.org/officeDocument/2006/relationships/hyperlink" Id="rId41" Target="https://otessa.github.io/2022/tuesday-may-17-2022.html#digital-platforms-and-algorithmic-erasure-what-are-the-implications-practice-oriented" TargetMode="External" /><Relationship Type="http://schemas.openxmlformats.org/officeDocument/2006/relationships/hyperlink" Id="rId39" Target="https://otessa.github.io/2022/wedesday-may-18-2022.html#parallel-session-11.1-transitions-of-online-learning-and-teaching-pse-open" TargetMode="External" /><Relationship Type="http://schemas.openxmlformats.org/officeDocument/2006/relationships/hyperlink" Id="rId58" Target="https://otessa.org" TargetMode="External" /><Relationship Type="http://schemas.openxmlformats.org/officeDocument/2006/relationships/hyperlink" Id="rId43" Target="https://otessa.org/2021/abstracts/experiencing-a-cognitive-apprenticeship-in-the-context-of-co-designing-and-co-teaching-an-undergraduate-course/" TargetMode="External" /><Relationship Type="http://schemas.openxmlformats.org/officeDocument/2006/relationships/hyperlink" Id="rId44" Target="https://otessa.org/2021/abstracts/humanizing-assessment-in-online-higher-education/" TargetMode="External" /><Relationship Type="http://schemas.openxmlformats.org/officeDocument/2006/relationships/hyperlink" Id="rId45" Target="https://otessa.org/2021/abstracts/indigenous-digital-self-determination/" TargetMode="External" /><Relationship Type="http://schemas.openxmlformats.org/officeDocument/2006/relationships/hyperlink" Id="rId42" Target="https://otessa.org/2021/abstracts/resisting-surveillance-technology/" TargetMode="External" /><Relationship Type="http://schemas.openxmlformats.org/officeDocument/2006/relationships/hyperlink" Id="rId92" Target="https://scholar.google.com/citations?view_op=view_citation&amp;hl=en&amp;user=AP34TNkAAAAJ&amp;citation_for_view=AP34TNkAAAAJ:Tyk-4Ss8FVUC" TargetMode="External" /><Relationship Type="http://schemas.openxmlformats.org/officeDocument/2006/relationships/hyperlink" Id="rId91" Target="https://scholar.google.com/citations?view_op=view_citation&amp;hl=en&amp;user=AP34TNkAAAAJ&amp;citation_for_view=AP34TNkAAAAJ:zYLM7Y9cAGgC" TargetMode="External" /><Relationship Type="http://schemas.openxmlformats.org/officeDocument/2006/relationships/hyperlink" Id="rId49" Target="https://thegradingpod.com/episodes/65-alt-grading-in-physical-education-canadian-grading-reforms-and-technology-integrated-assessment-an-interview-with-colin-madland/" TargetMode="External" /><Relationship Type="http://schemas.openxmlformats.org/officeDocument/2006/relationships/hyperlink" Id="rId65" Target="https://www.innovation.ca/" TargetMode="External" /><Relationship Type="http://schemas.openxmlformats.org/officeDocument/2006/relationships/hyperlink" Id="rId109" Target="https://www.researchgate.net/publication/328289320_The_Five_R%27s_for_Indigenizing_Online_Learning_A_Case_Study_of_the_First_Nations_Schools%27_Principals_Course" TargetMode="External" /><Relationship Type="http://schemas.openxmlformats.org/officeDocument/2006/relationships/hyperlink" Id="rId50" Target="https://www.spreaker.com/episode/valerie-irvine-and-colin-madland--23026170" TargetMode="External" /><Relationship Type="http://schemas.openxmlformats.org/officeDocument/2006/relationships/hyperlink" Id="rId62" Target="https://www.tru.ca/intercultural/inventory.html" TargetMode="External" /></Relationships>
</file>

<file path=word/_rels/footnotes.xml.rels><?xml version="1.0" encoding="UTF-8"?><Relationships xmlns="http://schemas.openxmlformats.org/package/2006/relationships"><Relationship Type="http://schemas.openxmlformats.org/officeDocument/2006/relationships/hyperlink" Id="rId46" Target="http://tinyurl.com/vp8h3q8" TargetMode="External" /><Relationship Type="http://schemas.openxmlformats.org/officeDocument/2006/relationships/hyperlink" Id="rId68" Target="https://bsky.app/profile/cmadtweets.bsky.social/post/3lb5lhuo35c2w" TargetMode="External" /><Relationship Type="http://schemas.openxmlformats.org/officeDocument/2006/relationships/hyperlink" Id="rId37" Target="https://cmadland.github.io/blog/posts/deck-otessa24/#/title-slide" TargetMode="External" /><Relationship Type="http://schemas.openxmlformats.org/officeDocument/2006/relationships/hyperlink" Id="rId67" Target="https://cmadland.github.io/cv/timeline.html#critical-family-history" TargetMode="External" /><Relationship Type="http://schemas.openxmlformats.org/officeDocument/2006/relationships/hyperlink" Id="rId38" Target="https://cmadland.github.io/decks/otessa22---assessment-and-digital-technology-in-higher-education.html#otessa22---assessment-and-digital-technology-in-higher-education" TargetMode="External" /><Relationship Type="http://schemas.openxmlformats.org/officeDocument/2006/relationships/hyperlink" Id="rId52" Target="https://cmadland.github.io/decks/twu-faculty-professional-learning.html" TargetMode="External" /><Relationship Type="http://schemas.openxmlformats.org/officeDocument/2006/relationships/hyperlink" Id="rId88" Target="https://cmadland.github.io/edci338-202201" TargetMode="External" /><Relationship Type="http://schemas.openxmlformats.org/officeDocument/2006/relationships/hyperlink" Id="rId35" Target="https://cmadland.github.io/slides/posts/otessa25-grading/#/title-slide" TargetMode="External" /><Relationship Type="http://schemas.openxmlformats.org/officeDocument/2006/relationships/hyperlink" Id="rId36" Target="https://cmadland.github.io/slides/posts/otessa25-scale/#/title-slide" TargetMode="External" /><Relationship Type="http://schemas.openxmlformats.org/officeDocument/2006/relationships/hyperlink" Id="rId107" Target="https://doi.org/10.1007/s10734-017-0220-3" TargetMode="External" /><Relationship Type="http://schemas.openxmlformats.org/officeDocument/2006/relationships/hyperlink" Id="rId95" Target="https://doi.org/10.1080/02602938.2015.1018133" TargetMode="External" /><Relationship Type="http://schemas.openxmlformats.org/officeDocument/2006/relationships/hyperlink" Id="rId97" Target="https://doi.org/10.1080/02602938.2018.1531108" TargetMode="External" /><Relationship Type="http://schemas.openxmlformats.org/officeDocument/2006/relationships/hyperlink" Id="rId33" Target="https://doi.org/10.18357/otessac.2021.1.1.147" TargetMode="External" /><Relationship Type="http://schemas.openxmlformats.org/officeDocument/2006/relationships/hyperlink" Id="rId32" Target="https://doi.org/10.18357/otessac.2022.2.1.137" TargetMode="External" /><Relationship Type="http://schemas.openxmlformats.org/officeDocument/2006/relationships/hyperlink" Id="rId31" Target="https://doi.org/10.18357/otessac.2022.2.1.419" TargetMode="External" /><Relationship Type="http://schemas.openxmlformats.org/officeDocument/2006/relationships/hyperlink" Id="rId29" Target="https://doi.org/10.18357/otessac.2024.4.1.393" TargetMode="External" /><Relationship Type="http://schemas.openxmlformats.org/officeDocument/2006/relationships/hyperlink" Id="rId30" Target="https://doi.org/10.18357/otessac.2024.4.1.421" TargetMode="External" /><Relationship Type="http://schemas.openxmlformats.org/officeDocument/2006/relationships/hyperlink" Id="rId25" Target="https://doi.org/10.18357/otessaj.2024.4.1.57" TargetMode="External" /><Relationship Type="http://schemas.openxmlformats.org/officeDocument/2006/relationships/hyperlink" Id="rId24" Target="https://doi.org/10.18357/otessaj.2024.4.1.63" TargetMode="External" /><Relationship Type="http://schemas.openxmlformats.org/officeDocument/2006/relationships/hyperlink" Id="rId26" Target="https://doi.org/10.19173/irrodl.v17i3.2179" TargetMode="External" /><Relationship Type="http://schemas.openxmlformats.org/officeDocument/2006/relationships/hyperlink" Id="rId99" Target="https://doi.org/10.3102/003465430298487" TargetMode="External" /><Relationship Type="http://schemas.openxmlformats.org/officeDocument/2006/relationships/hyperlink" Id="rId105" Target="https://doi.org/10.4324/9780203507711" TargetMode="External" /><Relationship Type="http://schemas.openxmlformats.org/officeDocument/2006/relationships/hyperlink" Id="rId40" Target="https://otessa.github.io/2022/friday-may-20-2022.html#share-access-using-bookdown-to-remove-barriers-and-open-up-learning" TargetMode="External" /><Relationship Type="http://schemas.openxmlformats.org/officeDocument/2006/relationships/hyperlink" Id="rId41" Target="https://otessa.github.io/2022/tuesday-may-17-2022.html#digital-platforms-and-algorithmic-erasure-what-are-the-implications-practice-oriented" TargetMode="External" /><Relationship Type="http://schemas.openxmlformats.org/officeDocument/2006/relationships/hyperlink" Id="rId39" Target="https://otessa.github.io/2022/wedesday-may-18-2022.html#parallel-session-11.1-transitions-of-online-learning-and-teaching-pse-open" TargetMode="External" /><Relationship Type="http://schemas.openxmlformats.org/officeDocument/2006/relationships/hyperlink" Id="rId58" Target="https://otessa.org" TargetMode="External" /><Relationship Type="http://schemas.openxmlformats.org/officeDocument/2006/relationships/hyperlink" Id="rId43" Target="https://otessa.org/2021/abstracts/experiencing-a-cognitive-apprenticeship-in-the-context-of-co-designing-and-co-teaching-an-undergraduate-course/" TargetMode="External" /><Relationship Type="http://schemas.openxmlformats.org/officeDocument/2006/relationships/hyperlink" Id="rId44" Target="https://otessa.org/2021/abstracts/humanizing-assessment-in-online-higher-education/" TargetMode="External" /><Relationship Type="http://schemas.openxmlformats.org/officeDocument/2006/relationships/hyperlink" Id="rId45" Target="https://otessa.org/2021/abstracts/indigenous-digital-self-determination/" TargetMode="External" /><Relationship Type="http://schemas.openxmlformats.org/officeDocument/2006/relationships/hyperlink" Id="rId42" Target="https://otessa.org/2021/abstracts/resisting-surveillance-technology/" TargetMode="External" /><Relationship Type="http://schemas.openxmlformats.org/officeDocument/2006/relationships/hyperlink" Id="rId92" Target="https://scholar.google.com/citations?view_op=view_citation&amp;hl=en&amp;user=AP34TNkAAAAJ&amp;citation_for_view=AP34TNkAAAAJ:Tyk-4Ss8FVUC" TargetMode="External" /><Relationship Type="http://schemas.openxmlformats.org/officeDocument/2006/relationships/hyperlink" Id="rId91" Target="https://scholar.google.com/citations?view_op=view_citation&amp;hl=en&amp;user=AP34TNkAAAAJ&amp;citation_for_view=AP34TNkAAAAJ:zYLM7Y9cAGgC" TargetMode="External" /><Relationship Type="http://schemas.openxmlformats.org/officeDocument/2006/relationships/hyperlink" Id="rId49" Target="https://thegradingpod.com/episodes/65-alt-grading-in-physical-education-canadian-grading-reforms-and-technology-integrated-assessment-an-interview-with-colin-madland/" TargetMode="External" /><Relationship Type="http://schemas.openxmlformats.org/officeDocument/2006/relationships/hyperlink" Id="rId65" Target="https://www.innovation.ca/" TargetMode="External" /><Relationship Type="http://schemas.openxmlformats.org/officeDocument/2006/relationships/hyperlink" Id="rId109" Target="https://www.researchgate.net/publication/328289320_The_Five_R%27s_for_Indigenizing_Online_Learning_A_Case_Study_of_the_First_Nations_Schools%27_Principals_Course" TargetMode="External" /><Relationship Type="http://schemas.openxmlformats.org/officeDocument/2006/relationships/hyperlink" Id="rId50" Target="https://www.spreaker.com/episode/valerie-irvine-and-colin-madland--23026170" TargetMode="External" /><Relationship Type="http://schemas.openxmlformats.org/officeDocument/2006/relationships/hyperlink" Id="rId62" Target="https://www.tru.ca/intercultural/inventory.html"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2025-10-16T17:47:00Z</dcterms:created>
  <dcterms:modified xsi:type="dcterms:W3CDTF">2025-10-16T17:47:00Z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