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urriculum-vitae"/>
    <w:p>
      <w:pPr>
        <w:pStyle w:val="Heading1"/>
      </w:pPr>
      <w:r>
        <w:t xml:space="preserve">Curriculum Vitae</w:t>
      </w:r>
    </w:p>
    <w:bookmarkEnd w:id="20"/>
    <w:bookmarkStart w:id="22" w:name="education"/>
    <w:p>
      <w:pPr>
        <w:pStyle w:val="Heading1"/>
      </w:pPr>
      <w:r>
        <w:t xml:space="preserve">Education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Degree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Institution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Date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Ph.D.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Technology-Integrated Assessment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University of Victoria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Expected 2025*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M.Ed.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Distance Education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Athabasca University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2014**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B.Ed.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Physical Education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University of Lethbridge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2001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B.A.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Physical Education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Trinity Western University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1997</w:t>
            </w:r>
          </w:p>
        </w:tc>
      </w:tr>
    </w:tbl>
    <w:p>
      <w:pPr>
        <w:pStyle w:val="BodyText"/>
      </w:pPr>
      <w:r>
        <w:t xml:space="preserve">* I completed candidacy in 2022 and have since published 2 of 3 papers for my dissertation. The third paper is in process and I expect to be complete by the summer of 2025.</w:t>
      </w:r>
    </w:p>
    <w:p>
      <w:pPr>
        <w:pStyle w:val="BodyText"/>
      </w:pPr>
      <w:r>
        <w:t xml:space="preserve">**Thesis:</w:t>
      </w:r>
      <w:r>
        <w:t xml:space="preserve"> </w:t>
      </w:r>
      <w:r>
        <w:rPr>
          <w:i/>
          <w:iCs/>
        </w:rPr>
        <w:t xml:space="preserve">Structured Student Interactions in Online Distance Education: Exploring the Study Buddy Activity</w:t>
      </w:r>
      <w:r>
        <w:t xml:space="preserve"> </w:t>
      </w:r>
      <w:hyperlink r:id="rId21">
        <w:r>
          <w:rPr>
            <w:rStyle w:val="Hyperlink"/>
          </w:rPr>
          <w:t xml:space="preserve">http://hdl.handle.net/10791/47</w:t>
        </w:r>
      </w:hyperlink>
    </w:p>
    <w:bookmarkEnd w:id="22"/>
    <w:bookmarkStart w:id="23" w:name="certifications"/>
    <w:p>
      <w:pPr>
        <w:pStyle w:val="Heading1"/>
      </w:pPr>
      <w:r>
        <w:t xml:space="preserve">Certifications</w:t>
      </w:r>
    </w:p>
    <w:p>
      <w:pPr>
        <w:pStyle w:val="Compact"/>
        <w:numPr>
          <w:ilvl w:val="0"/>
          <w:numId w:val="1001"/>
        </w:numPr>
      </w:pPr>
      <w:r>
        <w:t xml:space="preserve">British Columbia Ministry of Education Teacher Regulation Branch</w:t>
      </w:r>
    </w:p>
    <w:p>
      <w:pPr>
        <w:pStyle w:val="Compact"/>
        <w:numPr>
          <w:ilvl w:val="1"/>
          <w:numId w:val="1002"/>
        </w:numPr>
      </w:pPr>
      <w:r>
        <w:t xml:space="preserve">Professional Certificate #L178396</w:t>
      </w:r>
    </w:p>
    <w:p>
      <w:pPr>
        <w:pStyle w:val="Compact"/>
        <w:numPr>
          <w:ilvl w:val="0"/>
          <w:numId w:val="1001"/>
        </w:numPr>
      </w:pPr>
      <w:r>
        <w:t xml:space="preserve">Alberta Education</w:t>
      </w:r>
    </w:p>
    <w:p>
      <w:pPr>
        <w:pStyle w:val="Compact"/>
        <w:numPr>
          <w:ilvl w:val="1"/>
          <w:numId w:val="1003"/>
        </w:numPr>
      </w:pPr>
      <w:r>
        <w:t xml:space="preserve">Permanent Professional Certificate #254651U</w:t>
      </w:r>
    </w:p>
    <w:bookmarkEnd w:id="23"/>
    <w:bookmarkStart w:id="24" w:name="employment-history"/>
    <w:p>
      <w:pPr>
        <w:pStyle w:val="Heading1"/>
      </w:pPr>
      <w:r>
        <w:t xml:space="preserve">Employment History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84"/>
        <w:gridCol w:w="633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Position, Employer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2016 -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Manager of Online Learning and Instructional Technologies, Trinity Western University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2019 -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Sessional Instructor, Trinity Western University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2019 - 2022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Sessional Instructor, University of Victoria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Coordinator for Educational Technologies, Thompson Rivers University (Sessional 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2015 - 2017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 Education Research Fellow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2010 - 2016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E-Learning Facilitator, Thompson Rivers University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2009 - 2013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Research Assistant, Athabasca University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2007 - 2010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 School Teacher and Athletic Director, St. Ann’s Academy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2005 - 2007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English Teacher, Ogaki and Nagoya, Japan</w:t>
            </w:r>
          </w:p>
        </w:tc>
      </w:tr>
    </w:tbl>
    <w:bookmarkEnd w:id="24"/>
    <w:bookmarkStart w:id="29" w:name="refereed-journal-articles"/>
    <w:p>
      <w:pPr>
        <w:pStyle w:val="Heading1"/>
      </w:pPr>
      <w:r>
        <w:t xml:space="preserve">Refereed Journal Articles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Madland, C.</w:t>
      </w:r>
      <w:r>
        <w:t xml:space="preserve">, Irvine, V., DeLuca, C., &amp; Bulut, O. (2024a). Developing the Technology-Integrated Assessment Framework.</w:t>
      </w:r>
      <w:r>
        <w:t xml:space="preserve"> </w:t>
      </w:r>
      <w:r>
        <w:rPr>
          <w:i/>
          <w:iCs/>
        </w:rPr>
        <w:t xml:space="preserve">The Open/Technology in Education, Society, and Scholarship Association Journal, 4</w:t>
      </w:r>
      <w:r>
        <w:t xml:space="preserve">(1), 1–19.</w:t>
      </w:r>
      <w:r>
        <w:t xml:space="preserve"> </w:t>
      </w:r>
      <w:hyperlink r:id="rId25">
        <w:r>
          <w:rPr>
            <w:rStyle w:val="Hyperlink"/>
          </w:rPr>
          <w:t xml:space="preserve">https://doi.org/10.18357/otessaj.2024.4.1.63</w:t>
        </w:r>
      </w:hyperlink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Madland, C.</w:t>
      </w:r>
      <w:r>
        <w:t xml:space="preserve">, Irvine, V., DeLuca, C., &amp; Bulut, O. (2024b). Technology-Integrated Assessment: A Literature Review.</w:t>
      </w:r>
      <w:r>
        <w:t xml:space="preserve"> </w:t>
      </w:r>
      <w:r>
        <w:rPr>
          <w:i/>
          <w:iCs/>
        </w:rPr>
        <w:t xml:space="preserve">The Open/Technology in Education, Society, and Scholarship Association Journal, 4</w:t>
      </w:r>
      <w:r>
        <w:t xml:space="preserve">(1), 1–48.</w:t>
      </w:r>
      <w:r>
        <w:t xml:space="preserve"> </w:t>
      </w:r>
      <w:hyperlink r:id="rId26">
        <w:r>
          <w:rPr>
            <w:rStyle w:val="Hyperlink"/>
          </w:rPr>
          <w:t xml:space="preserve">https://doi.org/10.18357/otessaj.2024.4.1.57</w:t>
        </w:r>
      </w:hyperlink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Madland, C.</w:t>
      </w:r>
      <w:r>
        <w:t xml:space="preserve">, &amp; Richards, G. (2016). Enhancing Student-Student Online Interaction: Exploring the Study Buddy Peer Review Activity.</w:t>
      </w:r>
      <w:r>
        <w:t xml:space="preserve"> </w:t>
      </w:r>
      <w:r>
        <w:rPr>
          <w:i/>
          <w:iCs/>
        </w:rPr>
        <w:t xml:space="preserve">International Review of Research in Open and Distance Learning, 17</w:t>
      </w:r>
      <w:r>
        <w:t xml:space="preserve">(3).</w:t>
      </w:r>
      <w:r>
        <w:t xml:space="preserve"> </w:t>
      </w:r>
      <w:hyperlink r:id="rId27">
        <w:r>
          <w:rPr>
            <w:rStyle w:val="Hyperlink"/>
          </w:rPr>
          <w:t xml:space="preserve">https://doi.org/10.19173/irrodl.v17i3.2179</w:t>
        </w:r>
      </w:hyperlink>
    </w:p>
    <w:bookmarkStart w:id="28" w:name="forthcoming"/>
    <w:p>
      <w:pPr>
        <w:pStyle w:val="Heading2"/>
      </w:pPr>
      <w:r>
        <w:t xml:space="preserve">Forthcoming</w:t>
      </w:r>
    </w:p>
    <w:p>
      <w:pPr>
        <w:pStyle w:val="Compact"/>
        <w:numPr>
          <w:ilvl w:val="0"/>
          <w:numId w:val="1005"/>
        </w:numPr>
      </w:pPr>
      <w:r>
        <w:t xml:space="preserve">Cui, H., Irvine, V., Miller, M., &amp;</w:t>
      </w:r>
      <w:r>
        <w:t xml:space="preserve"> 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(In Preparation). Creating Capacity for Digital Transformation of Education: Mode and Disciplinary Barriers in the Development of Highly Qualified Personnel.</w:t>
      </w:r>
      <w:r>
        <w:t xml:space="preserve"> </w:t>
      </w:r>
      <w:r>
        <w:rPr>
          <w:i/>
          <w:iCs/>
        </w:rPr>
        <w:t xml:space="preserve">Canadian Journal of Learning and Technology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Irvine, V., Paskevicius, M.,</w:t>
      </w:r>
      <w:r>
        <w:t xml:space="preserve"> </w:t>
      </w:r>
      <w:r>
        <w:rPr>
          <w:b/>
          <w:bCs/>
        </w:rPr>
        <w:t xml:space="preserve">Madland, C.</w:t>
      </w:r>
      <w:r>
        <w:t xml:space="preserve">, McCue, R., &amp; Roberts, V. (In Preparation). Multi-Section Open Course Design: Design and Implications for Faculty, Sessional Instructors, and Learners.</w:t>
      </w:r>
      <w:r>
        <w:t xml:space="preserve"> </w:t>
      </w:r>
      <w:r>
        <w:rPr>
          <w:i/>
          <w:iCs/>
        </w:rPr>
        <w:t xml:space="preserve">Open Praxis</w:t>
      </w:r>
      <w:r>
        <w:t xml:space="preserve">.</w:t>
      </w:r>
    </w:p>
    <w:bookmarkEnd w:id="28"/>
    <w:bookmarkEnd w:id="29"/>
    <w:bookmarkStart w:id="34" w:name="refereed-proceedings"/>
    <w:p>
      <w:pPr>
        <w:pStyle w:val="Heading1"/>
      </w:pPr>
      <w:r>
        <w:t xml:space="preserve">Refereed Proceedings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Madland, C.</w:t>
      </w:r>
      <w:r>
        <w:t xml:space="preserve">, Irvine, V., DeLuca, C., &amp; Bulut, O. (2024, June). Evolving our understanding of technology-integrated assessment: A review of the literature and development of a new framework.</w:t>
      </w:r>
      <w:r>
        <w:t xml:space="preserve"> </w:t>
      </w:r>
      <w:r>
        <w:rPr>
          <w:i/>
          <w:iCs/>
        </w:rPr>
        <w:t xml:space="preserve">Open/Technology in Education, Society, and Scholarship Association at Congress of the Social Sciences and Humanities</w:t>
      </w:r>
      <w:r>
        <w:t xml:space="preserve">, Montreal, QC, CA.</w:t>
      </w:r>
      <w:r>
        <w:t xml:space="preserve"> </w:t>
      </w:r>
      <w:hyperlink r:id="rId30">
        <w:r>
          <w:rPr>
            <w:rStyle w:val="Hyperlink"/>
          </w:rPr>
          <w:t xml:space="preserve">https://doi.org/10.18357/otessac.2024.4.1.393</w:t>
        </w:r>
      </w:hyperlink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Madland, C.</w:t>
      </w:r>
      <w:r>
        <w:t xml:space="preserve">, Ofosuhene, M., &amp; Adkins, J. (2022). Digital Platforms and Algorithmic Erasure: What are the Implications?</w:t>
      </w:r>
      <w:r>
        <w:t xml:space="preserve"> </w:t>
      </w:r>
      <w:r>
        <w:rPr>
          <w:i/>
          <w:iCs/>
        </w:rPr>
        <w:t xml:space="preserve">Open/Technology in Education, Society, and Scholarship Association at Congress of the Social Sciences and Humanities</w:t>
      </w:r>
      <w:r>
        <w:t xml:space="preserve">, Online.</w:t>
      </w:r>
      <w:r>
        <w:t xml:space="preserve"> </w:t>
      </w:r>
      <w:hyperlink r:id="rId31">
        <w:r>
          <w:rPr>
            <w:rStyle w:val="Hyperlink"/>
          </w:rPr>
          <w:t xml:space="preserve">https://doi.org/10.18357/otessac.2022.2.1.137</w:t>
        </w:r>
      </w:hyperlink>
    </w:p>
    <w:p>
      <w:pPr>
        <w:pStyle w:val="Compact"/>
        <w:numPr>
          <w:ilvl w:val="0"/>
          <w:numId w:val="1006"/>
        </w:numPr>
      </w:pPr>
      <w:r>
        <w:t xml:space="preserve">Irvine, V., Paskevicius, M.,</w:t>
      </w:r>
      <w:r>
        <w:t xml:space="preserve"> </w:t>
      </w:r>
      <w:r>
        <w:rPr>
          <w:b/>
          <w:bCs/>
        </w:rPr>
        <w:t xml:space="preserve">Madland, C</w:t>
      </w:r>
      <w:r>
        <w:t xml:space="preserve">., McCue, R., &amp; Roberts, V. (2022). Multi-Section Open Course Design: Design and Implications for Faculty, Sessional Instructors, and Learners. Proceedings of the Open/Technology in Education, Society, and Scholarship Association Conference, 1–3.</w:t>
      </w:r>
      <w:r>
        <w:t xml:space="preserve"> </w:t>
      </w:r>
      <w:hyperlink r:id="rId32">
        <w:r>
          <w:rPr>
            <w:rStyle w:val="Hyperlink"/>
          </w:rPr>
          <w:t xml:space="preserve">https://doi.org/10.18357/otessac.2022.2.1.419</w:t>
        </w:r>
      </w:hyperlink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Madland, C.</w:t>
      </w:r>
      <w:r>
        <w:t xml:space="preserve">, &amp; Restoule, J.-P. (2021). Self-Determination in Indigenous Online Education.</w:t>
      </w:r>
      <w:r>
        <w:t xml:space="preserve"> </w:t>
      </w:r>
      <w:r>
        <w:rPr>
          <w:i/>
          <w:iCs/>
        </w:rPr>
        <w:t xml:space="preserve">The Open/Technology in Education, Society, and Scholarship Association Conference, 1</w:t>
      </w:r>
      <w:r>
        <w:t xml:space="preserve"> </w:t>
      </w:r>
      <w:r>
        <w:t xml:space="preserve">(1), 1–7.</w:t>
      </w:r>
      <w:r>
        <w:t xml:space="preserve"> </w:t>
      </w:r>
      <w:hyperlink r:id="rId33">
        <w:r>
          <w:rPr>
            <w:rStyle w:val="Hyperlink"/>
          </w:rPr>
          <w:t xml:space="preserve">https://doi.org/10.18357/otessac.2021.1.1.147</w:t>
        </w:r>
      </w:hyperlink>
    </w:p>
    <w:bookmarkEnd w:id="34"/>
    <w:bookmarkStart w:id="45" w:name="refereed-presentations"/>
    <w:p>
      <w:pPr>
        <w:pStyle w:val="Heading1"/>
      </w:pPr>
      <w:r>
        <w:t xml:space="preserve">Refereed Presentations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, Irvine, V., DeLuca, C., &amp; Bulut, O. (2024, June). Evolving our understanding of technology-integrated assessment: A review of the literature and development of a new framework.</w:t>
      </w:r>
      <w:r>
        <w:t xml:space="preserve"> </w:t>
      </w:r>
      <w:r>
        <w:rPr>
          <w:i/>
          <w:iCs/>
        </w:rPr>
        <w:t xml:space="preserve">Open/Technology in Education, Society, and Scholarship Association</w:t>
      </w:r>
      <w:r>
        <w:t xml:space="preserve">, Montreal, QC, CA.</w:t>
      </w:r>
      <w:r>
        <w:t xml:space="preserve"> </w:t>
      </w:r>
      <w:hyperlink r:id="rId35">
        <w:r>
          <w:rPr>
            <w:rStyle w:val="Hyperlink"/>
          </w:rPr>
          <w:t xml:space="preserve">https://cmadland.github.io/blog/posts/deck-otessa24/#/title-slide</w:t>
        </w:r>
      </w:hyperlink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(2023, June). Research? Which Research? Technology, Assessment, and Higher Education in Tension.</w:t>
      </w:r>
      <w:r>
        <w:t xml:space="preserve"> </w:t>
      </w:r>
      <w:r>
        <w:rPr>
          <w:i/>
          <w:iCs/>
        </w:rPr>
        <w:t xml:space="preserve">Open/Technology in Education, Society, and Scholarship Association</w:t>
      </w:r>
      <w:r>
        <w:t xml:space="preserve">, Online.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(2022, May). Assessment and Digital Technology in Higher Education: A Review of the Literature.</w:t>
      </w:r>
      <w:r>
        <w:t xml:space="preserve"> </w:t>
      </w:r>
      <w:r>
        <w:rPr>
          <w:i/>
          <w:iCs/>
        </w:rPr>
        <w:t xml:space="preserve">Open/Technology in Education, Society, and Scholarship Association</w:t>
      </w:r>
      <w:r>
        <w:t xml:space="preserve">, Online.</w:t>
      </w:r>
      <w:r>
        <w:t xml:space="preserve"> </w:t>
      </w:r>
      <w:hyperlink r:id="rId36">
        <w:r>
          <w:rPr>
            <w:rStyle w:val="Hyperlink"/>
          </w:rPr>
          <w:t xml:space="preserve">https://cmadland.github.io/decks/otessa22---assessment-and-digital-technology-in-higher-education.html#otessa22---assessment-and-digital-technology-in-higher-education</w:t>
        </w:r>
      </w:hyperlink>
    </w:p>
    <w:p>
      <w:pPr>
        <w:pStyle w:val="Compact"/>
        <w:numPr>
          <w:ilvl w:val="0"/>
          <w:numId w:val="1007"/>
        </w:numPr>
      </w:pPr>
      <w:r>
        <w:t xml:space="preserve">Irvine, V., Paskevicius, M.,</w:t>
      </w:r>
      <w:r>
        <w:t xml:space="preserve"> </w:t>
      </w:r>
      <w:r>
        <w:rPr>
          <w:b/>
          <w:bCs/>
        </w:rPr>
        <w:t xml:space="preserve">Madland, C.</w:t>
      </w:r>
      <w:r>
        <w:t xml:space="preserve">, McCue, R., Roberts, V. (2022, May). Multi-Section Open Course Design: Design and Implications for Faculty, Sessional Instructors, and Learners. OTESSA 2022, Online.</w:t>
      </w:r>
      <w:r>
        <w:t xml:space="preserve"> </w:t>
      </w:r>
      <w:hyperlink r:id="rId37">
        <w:r>
          <w:rPr>
            <w:rStyle w:val="Hyperlink"/>
          </w:rPr>
          <w:t xml:space="preserve">https://otessa.github.io/2022/wedesday-may-18-2022.html#parallel-session-11.1-transitions-of-online-learning-and-teaching-pse-open</w:t>
        </w:r>
      </w:hyperlink>
    </w:p>
    <w:p>
      <w:pPr>
        <w:pStyle w:val="Compact"/>
        <w:numPr>
          <w:ilvl w:val="0"/>
          <w:numId w:val="1007"/>
        </w:numPr>
      </w:pPr>
      <w:r>
        <w:t xml:space="preserve">Marjanovic, K., Golland, B.,</w:t>
      </w:r>
      <w:r>
        <w:t xml:space="preserve"> 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(2022, May). Share Access! Using Bookdown to Remove Barriers and Open Up Learning. OTESSA 2022, Online.</w:t>
      </w:r>
      <w:r>
        <w:t xml:space="preserve"> </w:t>
      </w:r>
      <w:hyperlink r:id="rId38">
        <w:r>
          <w:rPr>
            <w:rStyle w:val="Hyperlink"/>
          </w:rPr>
          <w:t xml:space="preserve">https://otessa.github.io/2022/friday-may-20-2022.html#share-access-using-bookdown-to-remove-barriers-and-open-up-learning</w:t>
        </w:r>
      </w:hyperlink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, Ofosuhene, M., and Adkins, J., (2022, May). Digital platforms and algorithmic erasure: What are the implications? OTESSA 2022, Online.</w:t>
      </w:r>
      <w:r>
        <w:t xml:space="preserve"> </w:t>
      </w:r>
      <w:hyperlink r:id="rId39">
        <w:r>
          <w:rPr>
            <w:rStyle w:val="Hyperlink"/>
          </w:rPr>
          <w:t xml:space="preserve">https://otessa.github.io/2022/tuesday-may-17-2022.html#digital-platforms-and-algorithmic-erasure-what-are-the-implications-practice-oriented</w:t>
        </w:r>
      </w:hyperlink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(2021, September). Assessment Approaches in Higher Education. Let’s Talk about Teaching, Victoria, BC.</w:t>
      </w:r>
    </w:p>
    <w:p>
      <w:pPr>
        <w:pStyle w:val="Compact"/>
        <w:numPr>
          <w:ilvl w:val="0"/>
          <w:numId w:val="1007"/>
        </w:numPr>
      </w:pPr>
      <w:r>
        <w:t xml:space="preserve">Clark Gray, B., &amp;</w:t>
      </w:r>
      <w:r>
        <w:t xml:space="preserve"> 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(2021, June). Resisting Surveillance Technology. OTESSA 2021, Online.</w:t>
      </w:r>
      <w:r>
        <w:t xml:space="preserve"> </w:t>
      </w:r>
      <w:hyperlink r:id="rId40">
        <w:r>
          <w:rPr>
            <w:rStyle w:val="Hyperlink"/>
          </w:rPr>
          <w:t xml:space="preserve">https://otessa.org/2021/abstracts/resisting-surveillance-technology/</w:t>
        </w:r>
      </w:hyperlink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, &amp; James, H. (2021, June). Experiencing a cognitive apprenticeship in the context of co-designing and co-teaching an undergraduate course. OTESSA 2021, Online.</w:t>
      </w:r>
      <w:r>
        <w:t xml:space="preserve"> </w:t>
      </w:r>
      <w:hyperlink r:id="rId41">
        <w:r>
          <w:rPr>
            <w:rStyle w:val="Hyperlink"/>
          </w:rPr>
          <w:t xml:space="preserve">https://otessa.org/2021/abstracts/experiencing-a-cognitive-apprenticeship-in-the-context-of-co-designing-and-co-teaching-an-undergraduate-course/</w:t>
        </w:r>
      </w:hyperlink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(2021, May). Humanizing Assessment in Online Higher Education. OTESSA 2021, Online.</w:t>
      </w:r>
      <w:r>
        <w:t xml:space="preserve"> </w:t>
      </w:r>
      <w:hyperlink r:id="rId42">
        <w:r>
          <w:rPr>
            <w:rStyle w:val="Hyperlink"/>
          </w:rPr>
          <w:t xml:space="preserve">https://otessa.org/2021/abstracts/humanizing-assessment-in-online-higher-education/</w:t>
        </w:r>
      </w:hyperlink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(2021, May). Indigenous Digital Self-Determination. OTESSA 2021, Online.</w:t>
      </w:r>
      <w:r>
        <w:t xml:space="preserve"> </w:t>
      </w:r>
      <w:hyperlink r:id="rId43">
        <w:r>
          <w:rPr>
            <w:rStyle w:val="Hyperlink"/>
          </w:rPr>
          <w:t xml:space="preserve">https://otessa.org/2021/abstracts/indigenous-digital-self-determination/</w:t>
        </w:r>
      </w:hyperlink>
    </w:p>
    <w:p>
      <w:pPr>
        <w:pStyle w:val="Compact"/>
        <w:numPr>
          <w:ilvl w:val="0"/>
          <w:numId w:val="1007"/>
        </w:numPr>
      </w:pPr>
      <w:r>
        <w:t xml:space="preserve">Chan, K., Irvine, V., &amp;</w:t>
      </w:r>
      <w:r>
        <w:t xml:space="preserve"> 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(2020, July). Decentralized Synchronous Learning Pods For Learner Discourse and Community-Building: An Alternative to Breakout Rooms. Let’s Talk about Teaching, Victoria, BC.</w:t>
      </w:r>
    </w:p>
    <w:p>
      <w:pPr>
        <w:pStyle w:val="Compact"/>
        <w:numPr>
          <w:ilvl w:val="0"/>
          <w:numId w:val="1007"/>
        </w:numPr>
      </w:pPr>
      <w:r>
        <w:t xml:space="preserve">Irvine, V., James, H.,</w:t>
      </w:r>
      <w:r>
        <w:t xml:space="preserve"> </w:t>
      </w:r>
      <w:r>
        <w:rPr>
          <w:b/>
          <w:bCs/>
        </w:rPr>
        <w:t xml:space="preserve">Madland, C.</w:t>
      </w:r>
      <w:r>
        <w:t xml:space="preserve">, &amp; McCue, R. (2020, July). Teaching in the Open: Supporting Open Access Designs for Social Justice. Let’s Talk about Teaching, Victoria, BC.</w:t>
      </w:r>
    </w:p>
    <w:p>
      <w:pPr>
        <w:pStyle w:val="Compact"/>
        <w:numPr>
          <w:ilvl w:val="0"/>
          <w:numId w:val="1007"/>
        </w:numPr>
      </w:pPr>
      <w:r>
        <w:t xml:space="preserve">James, H., &amp;</w:t>
      </w:r>
      <w:r>
        <w:t xml:space="preserve"> 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(2020, July). Co-Designing and Co-Teaching an Online Course. Let’s Talk about Teaching, Victoria,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, &amp; Irvine, V. (2020, April 17). Self-Determination in Indigenous Online Education [Roundtable Session]. AERA Annual Meeting, San Francisco, CA. (Conference Canceled).</w:t>
      </w:r>
      <w:r>
        <w:t xml:space="preserve"> </w:t>
      </w:r>
      <w:hyperlink r:id="rId44">
        <w:r>
          <w:rPr>
            <w:rStyle w:val="Hyperlink"/>
          </w:rPr>
          <w:t xml:space="preserve">http://tinyurl.com/vp8h3q8</w:t>
        </w:r>
      </w:hyperlink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(2019, June). Indigenous and Open Education: A contradiction? CSSHE Conference, Vancouver,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(2017). Flexible Infrastructure to Support the Design and Delivery of Online Learning. ICDE World Conference for Online Learning, Toronto.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(2016, November). The Open Advantage. Open Education, Richmond, VA.</w:t>
      </w:r>
    </w:p>
    <w:p>
      <w:pPr>
        <w:pStyle w:val="Compact"/>
        <w:numPr>
          <w:ilvl w:val="0"/>
          <w:numId w:val="1007"/>
        </w:numPr>
      </w:pPr>
      <w:r>
        <w:t xml:space="preserve">Hendricks, C., Jhangiani, R., &amp;</w:t>
      </w:r>
      <w:r>
        <w:t xml:space="preserve"> 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(2016, March). Experiences, perceptions, and outcomes of BC students using open textbooks: Research from the BC OER Research Fellows. BCcampus Festival of Learning.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(2016a, February). Building Trust and Community with Initiative Tasks. Teaching Practices Colloquium, Kamloops,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(2016, February). Communities of Inquiry to Ignite Learning. Teaching Practices Colloquium, Kamloops,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(2016, April). Enhancing Learning through OER and Open Platforms. OER16, Edinburgh, Scotland.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(2016, April). Exploring the Remix Hypothesis. Open Education Global Conference, Krakow, Poland.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(2015, November). Open and Connected Faculty Development. Open Education, Vancouver,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(2014, February). Structured Student Interactions. Teaching Practices Colloquium, Kamloops,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(2014, May). Encouraging Deeper Approaches to Learning. Open Learning Faculty Members Workshop, Kamloops,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(2014, May). Structured Student Interactions. CNIE Conference, Kamloops,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(2013, September). Structuring Student Interactions in Online Distance Learning: Exploring the Study Buddy Activity. Athabasca University Graduate Students’ Conference, Edmonton, AB.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(2012, February). Engaging Students with Video. Teaching Practices Colloquium, Kamloops,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(2012, May). Online Faculty Development. Southern Alberta Institute of Technology Faculty Showcase, Calgary, AB.</w:t>
      </w:r>
    </w:p>
    <w:bookmarkEnd w:id="45"/>
    <w:bookmarkStart w:id="46" w:name="non-refereed-presentations"/>
    <w:p>
      <w:pPr>
        <w:pStyle w:val="Heading1"/>
      </w:pPr>
      <w:r>
        <w:t xml:space="preserve">Non-Refereed Presentations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(2012, May). Outside the Box Feedback with Adobe Acrobat. Open Learning Faculty Members Workshop, Kamloops, BC.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(2011, October). Thinking Despite the Box: Designing Interaction in Blackboard. Teaching with Technology Series, Kamloops, BC.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(2010, October). Twitter in Higher Education. Teaching with Technology Series, Kamloops, BC.</w:t>
      </w:r>
    </w:p>
    <w:bookmarkEnd w:id="46"/>
    <w:bookmarkStart w:id="49" w:name="media"/>
    <w:p>
      <w:pPr>
        <w:pStyle w:val="Heading1"/>
      </w:pPr>
      <w:r>
        <w:t xml:space="preserve">Media</w:t>
      </w:r>
    </w:p>
    <w:p>
      <w:pPr>
        <w:pStyle w:val="Compact"/>
        <w:numPr>
          <w:ilvl w:val="0"/>
          <w:numId w:val="1009"/>
        </w:numPr>
      </w:pPr>
      <w:r>
        <w:t xml:space="preserve">Krinsky, S., &amp; Bosley, R. (October 8, 2024). Alt Grading in Physical Education, Canadian Grading Reforms, and Technology-Integrated Assessment: An Interview with Colin Madland (No. 65) [Podcast].</w:t>
      </w:r>
      <w:r>
        <w:t xml:space="preserve"> </w:t>
      </w:r>
      <w:hyperlink r:id="rId47">
        <w:r>
          <w:rPr>
            <w:rStyle w:val="Hyperlink"/>
          </w:rPr>
          <w:t xml:space="preserve">https://thegradingpod.com/episodes/65-alt-grading-in-physical-education-canadian-grading-reforms-and-technology-integrated-assessment-an-interview-with-colin-madland/</w:t>
        </w:r>
      </w:hyperlink>
    </w:p>
    <w:p>
      <w:pPr>
        <w:pStyle w:val="Compact"/>
        <w:numPr>
          <w:ilvl w:val="0"/>
          <w:numId w:val="1009"/>
        </w:numPr>
      </w:pPr>
      <w:r>
        <w:t xml:space="preserve">Greene, T. (2020). Valerie Irvine and Colin Madland [Broadcast]. [Podcast].</w:t>
      </w:r>
      <w:r>
        <w:t xml:space="preserve"> </w:t>
      </w:r>
      <w:hyperlink r:id="rId48">
        <w:r>
          <w:rPr>
            <w:rStyle w:val="Hyperlink"/>
          </w:rPr>
          <w:t xml:space="preserve">https://www.spreaker.com/episode/valerie-irvine-and-colin-madland--23026170</w:t>
        </w:r>
      </w:hyperlink>
    </w:p>
    <w:bookmarkEnd w:id="49"/>
    <w:bookmarkStart w:id="51" w:name="research-dissemination"/>
    <w:p>
      <w:pPr>
        <w:pStyle w:val="Heading1"/>
      </w:pPr>
      <w:r>
        <w:t xml:space="preserve">Research Dissemination</w:t>
      </w:r>
    </w:p>
    <w:p>
      <w:pPr>
        <w:pStyle w:val="Compact"/>
        <w:numPr>
          <w:ilvl w:val="0"/>
          <w:numId w:val="1010"/>
        </w:numPr>
      </w:pPr>
      <w:r>
        <w:t xml:space="preserve">[UPCOMING]</w:t>
      </w:r>
      <w:r>
        <w:t xml:space="preserve"> </w:t>
      </w:r>
      <w:r>
        <w:t xml:space="preserve">“</w:t>
      </w:r>
      <w:r>
        <w:t xml:space="preserve">Technology-Integrated Assessment in Higher Education</w:t>
      </w:r>
      <w:r>
        <w:t xml:space="preserve">”</w:t>
      </w:r>
      <w:r>
        <w:t xml:space="preserve">; Kigali, Rwanda; Uganda; and Pan-Africa Christian University, Nairobi, Kenya, November 2024</w:t>
      </w:r>
    </w:p>
    <w:p>
      <w:pPr>
        <w:pStyle w:val="Compact"/>
        <w:numPr>
          <w:ilvl w:val="0"/>
          <w:numId w:val="1010"/>
        </w:numPr>
      </w:pPr>
      <w:r>
        <w:t xml:space="preserve">“</w:t>
      </w:r>
      <w:r>
        <w:t xml:space="preserve">Self-Paced Learning in Higher Education</w:t>
      </w:r>
      <w:r>
        <w:t xml:space="preserve">”</w:t>
      </w:r>
      <w:r>
        <w:t xml:space="preserve">, Pan-Africa Christian University, Nairobi, Kenya, May 2023</w:t>
      </w:r>
    </w:p>
    <w:p>
      <w:pPr>
        <w:pStyle w:val="Compact"/>
        <w:numPr>
          <w:ilvl w:val="0"/>
          <w:numId w:val="1010"/>
        </w:numPr>
      </w:pPr>
      <w:r>
        <w:t xml:space="preserve">“</w:t>
      </w:r>
      <w:r>
        <w:t xml:space="preserve">What is Assessment</w:t>
      </w:r>
      <w:r>
        <w:t xml:space="preserve">”</w:t>
      </w:r>
      <w:r>
        <w:t xml:space="preserve">, TWU Faculty Professional Learning. March 2023</w:t>
      </w:r>
      <w:r>
        <w:t xml:space="preserve"> </w:t>
      </w:r>
      <w:hyperlink r:id="rId50">
        <w:r>
          <w:rPr>
            <w:rStyle w:val="Hyperlink"/>
          </w:rPr>
          <w:t xml:space="preserve">https://cmadland.github.io/decks/twu-faculty-professional-learning.html</w:t>
        </w:r>
      </w:hyperlink>
      <w:r>
        <w:t xml:space="preserve">.</w:t>
      </w:r>
    </w:p>
    <w:bookmarkEnd w:id="51"/>
    <w:bookmarkStart w:id="52" w:name="research-funding"/>
    <w:p>
      <w:pPr>
        <w:pStyle w:val="Heading1"/>
      </w:pPr>
      <w:r>
        <w:t xml:space="preserve">Research Funding</w:t>
      </w:r>
    </w:p>
    <w:p>
      <w:pPr>
        <w:pStyle w:val="Compact"/>
        <w:numPr>
          <w:ilvl w:val="0"/>
          <w:numId w:val="1011"/>
        </w:numPr>
      </w:pPr>
      <w:r>
        <w:t xml:space="preserve">BCcampus Research Fellowship, 2022 ($6000)</w:t>
      </w:r>
    </w:p>
    <w:p>
      <w:pPr>
        <w:pStyle w:val="Compact"/>
        <w:numPr>
          <w:ilvl w:val="0"/>
          <w:numId w:val="1011"/>
        </w:numPr>
      </w:pPr>
      <w:r>
        <w:t xml:space="preserve">University of Victoria Graduate Student Award, September 2019 ($5000)</w:t>
      </w:r>
    </w:p>
    <w:p>
      <w:pPr>
        <w:pStyle w:val="Compact"/>
        <w:numPr>
          <w:ilvl w:val="0"/>
          <w:numId w:val="1011"/>
        </w:numPr>
      </w:pPr>
      <w:r>
        <w:t xml:space="preserve">University of Victoria Graduate Student Award, September 2018 ($5000)</w:t>
      </w:r>
    </w:p>
    <w:p>
      <w:pPr>
        <w:pStyle w:val="Compact"/>
        <w:numPr>
          <w:ilvl w:val="0"/>
          <w:numId w:val="1011"/>
        </w:numPr>
      </w:pPr>
      <w:r>
        <w:t xml:space="preserve">TRU Open Learning Presentation Fund, April 2016 ($5000)</w:t>
      </w:r>
    </w:p>
    <w:p>
      <w:pPr>
        <w:pStyle w:val="Compact"/>
        <w:numPr>
          <w:ilvl w:val="0"/>
          <w:numId w:val="1011"/>
        </w:numPr>
      </w:pPr>
      <w:r>
        <w:t xml:space="preserve">Open Education Resources Research Fellow, Open Education Group, 2015-16 (5000 USD)</w:t>
      </w:r>
    </w:p>
    <w:p>
      <w:pPr>
        <w:pStyle w:val="Compact"/>
        <w:numPr>
          <w:ilvl w:val="0"/>
          <w:numId w:val="1011"/>
        </w:numPr>
      </w:pPr>
      <w:r>
        <w:t xml:space="preserve">Athabasca University Tim Byrne Memorial Scholarship (for academic excellence along with an outstanding thesis or project), nominated by the Centre for Distance Education, June 2014. ($1000)</w:t>
      </w:r>
    </w:p>
    <w:p>
      <w:pPr>
        <w:pStyle w:val="Compact"/>
        <w:numPr>
          <w:ilvl w:val="0"/>
          <w:numId w:val="1011"/>
        </w:numPr>
      </w:pPr>
      <w:r>
        <w:t xml:space="preserve">Athabasca University Student Travel Award, September 2013. ($800)</w:t>
      </w:r>
    </w:p>
    <w:p>
      <w:pPr>
        <w:pStyle w:val="Compact"/>
        <w:numPr>
          <w:ilvl w:val="0"/>
          <w:numId w:val="1011"/>
        </w:numPr>
      </w:pPr>
      <w:r>
        <w:t xml:space="preserve">Athabasca University Graduate Student Mission Critical Research Fund, April 2013. ($420)</w:t>
      </w:r>
    </w:p>
    <w:p>
      <w:pPr>
        <w:pStyle w:val="Compact"/>
        <w:numPr>
          <w:ilvl w:val="0"/>
          <w:numId w:val="1011"/>
        </w:numPr>
      </w:pPr>
      <w:r>
        <w:t xml:space="preserve">Athabasca University Access to Research Tools, April 2013. ($300)</w:t>
      </w:r>
    </w:p>
    <w:bookmarkEnd w:id="52"/>
    <w:bookmarkStart w:id="53" w:name="teaching-activities"/>
    <w:p>
      <w:pPr>
        <w:pStyle w:val="Heading1"/>
      </w:pPr>
      <w:r>
        <w:t xml:space="preserve">Teaching Activities</w:t>
      </w:r>
    </w:p>
    <w:p>
      <w:pPr>
        <w:pStyle w:val="FirstParagraph"/>
      </w:pPr>
      <w:r>
        <w:t xml:space="preserve">Undergraduate and</w:t>
      </w:r>
      <w:r>
        <w:t xml:space="preserve"> </w:t>
      </w:r>
      <w:r>
        <w:rPr>
          <w:b/>
          <w:bCs/>
        </w:rPr>
        <w:t xml:space="preserve">Graduate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21"/>
        <w:gridCol w:w="1033"/>
        <w:gridCol w:w="1721"/>
        <w:gridCol w:w="1721"/>
        <w:gridCol w:w="1721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Credit Hours/Units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Students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Summer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EDCI 335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Learning Design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~30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Summer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EDCI 339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Open and Distributed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~30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Summer 2019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Summer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EDCI 335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Learning Design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~30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Summer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EDCI 339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Open and Distributed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~30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Summer 2020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Fall 2020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Spring 2021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Summer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EDCI 335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Learning Design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~30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Fall 2021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(All in Nigeria)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Spring 2022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Summer 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EDCI 338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Social Media and Personalized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~30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Spring 2023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(DS)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Fall 2023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(4 in Nigeria)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Fall 2023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Fall 2024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Fall 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LDRS 463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</w:tr>
    </w:tbl>
    <w:bookmarkEnd w:id="53"/>
    <w:bookmarkStart w:id="54" w:name="curriculum-development-projects"/>
    <w:p>
      <w:pPr>
        <w:pStyle w:val="Heading1"/>
      </w:pPr>
      <w:r>
        <w:t xml:space="preserve">Curriculum Development Projects</w:t>
      </w:r>
    </w:p>
    <w:p>
      <w:pPr>
        <w:pStyle w:val="Compact"/>
        <w:numPr>
          <w:ilvl w:val="0"/>
          <w:numId w:val="1012"/>
        </w:numPr>
      </w:pPr>
      <w:r>
        <w:t xml:space="preserve">LDRS 627 - Adult Learning (Course Revision)</w:t>
      </w:r>
    </w:p>
    <w:p>
      <w:pPr>
        <w:pStyle w:val="Compact"/>
        <w:numPr>
          <w:ilvl w:val="0"/>
          <w:numId w:val="1012"/>
        </w:numPr>
      </w:pPr>
      <w:r>
        <w:t xml:space="preserve">LDRS 101 - Learning in a Digital World</w:t>
      </w:r>
    </w:p>
    <w:p>
      <w:pPr>
        <w:pStyle w:val="Compact"/>
        <w:numPr>
          <w:ilvl w:val="0"/>
          <w:numId w:val="1012"/>
        </w:numPr>
      </w:pPr>
      <w:r>
        <w:t xml:space="preserve">LDRS 663 - Transformational Blended Learning</w:t>
      </w:r>
    </w:p>
    <w:p>
      <w:pPr>
        <w:pStyle w:val="Compact"/>
        <w:numPr>
          <w:ilvl w:val="0"/>
          <w:numId w:val="1012"/>
        </w:numPr>
      </w:pPr>
      <w:r>
        <w:t xml:space="preserve">EDCI 335 - Learning Design</w:t>
      </w:r>
    </w:p>
    <w:p>
      <w:pPr>
        <w:pStyle w:val="Compact"/>
        <w:numPr>
          <w:ilvl w:val="0"/>
          <w:numId w:val="1012"/>
        </w:numPr>
      </w:pPr>
      <w:r>
        <w:t xml:space="preserve">EDCI 339 - Distributed and Open Learning</w:t>
      </w:r>
    </w:p>
    <w:p>
      <w:pPr>
        <w:pStyle w:val="Compact"/>
        <w:numPr>
          <w:ilvl w:val="0"/>
          <w:numId w:val="1012"/>
        </w:numPr>
      </w:pPr>
      <w:r>
        <w:t xml:space="preserve">Teaching Online Effectively (TOnE)</w:t>
      </w:r>
    </w:p>
    <w:p>
      <w:pPr>
        <w:pStyle w:val="Compact"/>
        <w:numPr>
          <w:ilvl w:val="0"/>
          <w:numId w:val="1012"/>
        </w:numPr>
      </w:pPr>
      <w:r>
        <w:t xml:space="preserve">Online Teaching and Learning</w:t>
      </w:r>
    </w:p>
    <w:p>
      <w:pPr>
        <w:pStyle w:val="Compact"/>
        <w:numPr>
          <w:ilvl w:val="0"/>
          <w:numId w:val="1012"/>
        </w:numPr>
      </w:pPr>
      <w:r>
        <w:t xml:space="preserve">Online Facilitation Skills for Student Learning, Engagement, and Retention</w:t>
      </w:r>
    </w:p>
    <w:p>
      <w:pPr>
        <w:pStyle w:val="Compact"/>
        <w:numPr>
          <w:ilvl w:val="0"/>
          <w:numId w:val="1012"/>
        </w:numPr>
      </w:pPr>
      <w:r>
        <w:t xml:space="preserve">Course Management Strategies</w:t>
      </w:r>
    </w:p>
    <w:p>
      <w:pPr>
        <w:pStyle w:val="Compact"/>
        <w:numPr>
          <w:ilvl w:val="0"/>
          <w:numId w:val="1012"/>
        </w:numPr>
      </w:pPr>
      <w:r>
        <w:t xml:space="preserve">Online Student Success</w:t>
      </w:r>
    </w:p>
    <w:bookmarkEnd w:id="54"/>
    <w:bookmarkStart w:id="58" w:name="service"/>
    <w:p>
      <w:pPr>
        <w:pStyle w:val="Heading1"/>
      </w:pPr>
      <w:r>
        <w:t xml:space="preserve">Service</w:t>
      </w:r>
    </w:p>
    <w:bookmarkStart w:id="55" w:name="reviewer"/>
    <w:p>
      <w:pPr>
        <w:pStyle w:val="Heading2"/>
      </w:pPr>
      <w:r>
        <w:t xml:space="preserve">Reviewer</w:t>
      </w:r>
    </w:p>
    <w:p>
      <w:pPr>
        <w:pStyle w:val="Compact"/>
        <w:numPr>
          <w:ilvl w:val="0"/>
          <w:numId w:val="1013"/>
        </w:numPr>
      </w:pPr>
      <w:r>
        <w:t xml:space="preserve">Open/Technology in Education, Society, and Scholarship Association (OTESSA) Conference</w:t>
      </w:r>
    </w:p>
    <w:p>
      <w:pPr>
        <w:pStyle w:val="Compact"/>
        <w:numPr>
          <w:ilvl w:val="0"/>
          <w:numId w:val="1013"/>
        </w:numPr>
      </w:pPr>
      <w:r>
        <w:t xml:space="preserve">Open/Technology in Education Society, and Scholarship Association (OTESSA) Journal,</w:t>
      </w:r>
    </w:p>
    <w:p>
      <w:pPr>
        <w:pStyle w:val="Compact"/>
        <w:numPr>
          <w:ilvl w:val="0"/>
          <w:numId w:val="1013"/>
        </w:numPr>
      </w:pPr>
      <w:r>
        <w:t xml:space="preserve">International Review of Research in Open and Distributed Learning (IRRODL),</w:t>
      </w:r>
    </w:p>
    <w:p>
      <w:pPr>
        <w:pStyle w:val="Compact"/>
        <w:numPr>
          <w:ilvl w:val="0"/>
          <w:numId w:val="1013"/>
        </w:numPr>
      </w:pPr>
      <w:r>
        <w:t xml:space="preserve">Research in Learning Technology (ISSOTL)</w:t>
      </w:r>
    </w:p>
    <w:p>
      <w:pPr>
        <w:pStyle w:val="Compact"/>
        <w:numPr>
          <w:ilvl w:val="0"/>
          <w:numId w:val="1013"/>
        </w:numPr>
      </w:pPr>
      <w:r>
        <w:t xml:space="preserve">Teaching &amp; Learning Inquiry</w:t>
      </w:r>
    </w:p>
    <w:p>
      <w:pPr>
        <w:pStyle w:val="Compact"/>
        <w:numPr>
          <w:ilvl w:val="0"/>
          <w:numId w:val="1013"/>
        </w:numPr>
      </w:pPr>
      <w:r>
        <w:t xml:space="preserve">International Journal of E-Learning and Distance Education</w:t>
      </w:r>
    </w:p>
    <w:bookmarkEnd w:id="55"/>
    <w:bookmarkStart w:id="57" w:name="committees"/>
    <w:p>
      <w:pPr>
        <w:pStyle w:val="Heading2"/>
      </w:pPr>
      <w:r>
        <w:t xml:space="preserve">Committees</w:t>
      </w:r>
    </w:p>
    <w:p>
      <w:pPr>
        <w:pStyle w:val="Compact"/>
        <w:numPr>
          <w:ilvl w:val="0"/>
          <w:numId w:val="1014"/>
        </w:numPr>
      </w:pPr>
      <w:r>
        <w:t xml:space="preserve">Founding Board Member,</w:t>
      </w:r>
      <w:r>
        <w:t xml:space="preserve"> </w:t>
      </w:r>
      <w:hyperlink r:id="rId56">
        <w:r>
          <w:rPr>
            <w:rStyle w:val="Hyperlink"/>
          </w:rPr>
          <w:t xml:space="preserve">Open/Technology in Education, Society, and Scholarship Association (OTESSA)</w:t>
        </w:r>
      </w:hyperlink>
      <w:r>
        <w:t xml:space="preserve">, 2019-present</w:t>
      </w:r>
    </w:p>
    <w:p>
      <w:pPr>
        <w:pStyle w:val="Compact"/>
        <w:numPr>
          <w:ilvl w:val="0"/>
          <w:numId w:val="1014"/>
        </w:numPr>
      </w:pPr>
      <w:r>
        <w:t xml:space="preserve">Faculty Professional Learning Committee, Trinity Western University, 2016-present</w:t>
      </w:r>
    </w:p>
    <w:p>
      <w:pPr>
        <w:pStyle w:val="Compact"/>
        <w:numPr>
          <w:ilvl w:val="0"/>
          <w:numId w:val="1014"/>
        </w:numPr>
      </w:pPr>
      <w:r>
        <w:t xml:space="preserve">Board of Directors, Canadian Network for Innovation in Education (CNIE), two year appointment beginning June 2016.</w:t>
      </w:r>
    </w:p>
    <w:p>
      <w:pPr>
        <w:pStyle w:val="Compact"/>
        <w:numPr>
          <w:ilvl w:val="0"/>
          <w:numId w:val="1014"/>
        </w:numPr>
      </w:pPr>
      <w:r>
        <w:t xml:space="preserve">Chair, Thompson Rivers University Graduate Studies Committee of Senate, November 2015-April 2016</w:t>
      </w:r>
    </w:p>
    <w:p>
      <w:pPr>
        <w:pStyle w:val="Compact"/>
        <w:numPr>
          <w:ilvl w:val="0"/>
          <w:numId w:val="1014"/>
        </w:numPr>
      </w:pPr>
      <w:r>
        <w:t xml:space="preserve">Thompson Rivers University Graduate Studies Committee of Senate, November 2012 - November 2015</w:t>
      </w:r>
    </w:p>
    <w:p>
      <w:pPr>
        <w:pStyle w:val="Compact"/>
        <w:numPr>
          <w:ilvl w:val="0"/>
          <w:numId w:val="1014"/>
        </w:numPr>
      </w:pPr>
      <w:r>
        <w:t xml:space="preserve">Academic Planning and Priorities Committee of Senate, October 2015-April 2016</w:t>
      </w:r>
    </w:p>
    <w:bookmarkEnd w:id="57"/>
    <w:bookmarkEnd w:id="58"/>
    <w:bookmarkStart w:id="59" w:name="awards"/>
    <w:p>
      <w:pPr>
        <w:pStyle w:val="Heading1"/>
      </w:pPr>
      <w:r>
        <w:t xml:space="preserve">Awards</w:t>
      </w:r>
    </w:p>
    <w:p>
      <w:pPr>
        <w:pStyle w:val="Compact"/>
        <w:numPr>
          <w:ilvl w:val="0"/>
          <w:numId w:val="1015"/>
        </w:numPr>
      </w:pPr>
      <w:r>
        <w:t xml:space="preserve">Outstanding Service Award from Thompson Rivers University Open Learning, September 2012.</w:t>
      </w:r>
    </w:p>
    <w:bookmarkEnd w:id="59"/>
    <w:bookmarkStart w:id="62" w:name="professional-learning"/>
    <w:p>
      <w:pPr>
        <w:pStyle w:val="Heading1"/>
      </w:pPr>
      <w:r>
        <w:t xml:space="preserve">Professional Learning</w:t>
      </w:r>
    </w:p>
    <w:p>
      <w:pPr>
        <w:pStyle w:val="Compact"/>
        <w:numPr>
          <w:ilvl w:val="0"/>
          <w:numId w:val="1016"/>
        </w:numPr>
      </w:pPr>
      <w:r>
        <w:t xml:space="preserve">Coaching for Leaders, Smart + Savvy and Associates (2018)</w:t>
      </w:r>
    </w:p>
    <w:p>
      <w:pPr>
        <w:pStyle w:val="Compact"/>
        <w:numPr>
          <w:ilvl w:val="0"/>
          <w:numId w:val="1016"/>
        </w:numPr>
      </w:pPr>
      <w:hyperlink r:id="rId60">
        <w:r>
          <w:rPr>
            <w:rStyle w:val="Hyperlink"/>
          </w:rPr>
          <w:t xml:space="preserve">Interculturalizing the Curriculum</w:t>
        </w:r>
      </w:hyperlink>
      <w:r>
        <w:t xml:space="preserve">, Thompson Rivers University (2015)</w:t>
      </w:r>
    </w:p>
    <w:bookmarkStart w:id="61" w:name="references"/>
    <w:p>
      <w:pPr>
        <w:pStyle w:val="Heading2"/>
      </w:pPr>
      <w:r>
        <w:t xml:space="preserve">References</w:t>
      </w:r>
    </w:p>
    <w:bookmarkEnd w:id="61"/>
    <w:bookmarkEnd w:id="62"/>
    <w:sectPr w:rsidR="004D7507" w:rsidSect="00C83CA0">
      <w:headerReference r:id="rId11" w:type="even"/>
      <w:headerReference r:id="rId9" w:type="default"/>
      <w:footerReference r:id="rId12" w:type="even"/>
      <w:footerReference r:id="rId14" w:type="default"/>
      <w:headerReference r:id="rId10" w:type="first"/>
      <w:footerReference r:id="rId13" w:type="first"/>
      <w:pgSz w:h="15840" w:w="12240"/>
      <w:pgMar w:bottom="1440" w:footer="0" w:gutter="0" w:header="737" w:left="1080" w:right="1080" w:top="1440"/>
      <w:cols w:space="708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F0DF5E" w14:textId="77777777" w:rsidR="00D94E45" w:rsidRDefault="00D94E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56ED25" w14:textId="77777777" w:rsidR="00D94E45" w:rsidRDefault="00D94E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40B32C" w14:textId="16348925" w:rsidR="00D21E63" w:rsidRDefault="00D21E63" w:rsidP="00523BDE">
    <w:pPr>
      <w:pStyle w:val="Footer"/>
      <w:ind w:right="-1440"/>
      <w:jc w:val="right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52471A" w14:textId="77777777" w:rsidR="00D94E45" w:rsidRDefault="00D94E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013C70" w14:textId="77777777" w:rsidR="00D94E45" w:rsidRDefault="00D94E4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F6CA0A" w14:textId="712792EA" w:rsidR="009A55BE" w:rsidRDefault="009A55BE" w:rsidP="009A55BE">
    <w:pPr>
      <w:pStyle w:val="Heading1"/>
      <w:spacing w:after="0"/>
      <w:jc w:val="right"/>
    </w:pPr>
    <w:r>
      <w:t>Colin M. Madland, Ph.D</w:t>
    </w:r>
    <w:r w:rsidR="00D94E45">
      <w:t>.</w:t>
    </w:r>
    <w:r>
      <w:t>(c)</w:t>
    </w:r>
  </w:p>
  <w:p w14:paraId="269DEF4A" w14:textId="348FA0D4" w:rsidR="007F23B4" w:rsidRPr="007F23B4" w:rsidRDefault="007F23B4" w:rsidP="009A55BE">
    <w:pPr>
      <w:tabs>
        <w:tab w:val="left" w:pos="2700"/>
        <w:tab w:val="left" w:pos="2970"/>
        <w:tab w:val="right" w:pos="9360"/>
      </w:tabs>
      <w:spacing w:after="360"/>
      <w:ind w:leftChars="1227" w:left="2945"/>
      <w:jc w:val="right"/>
      <w:rPr>
        <w:rFonts w:ascii="Calibri" w:eastAsia="MS Mincho" w:hAnsi="Calibri" w:cs="Times New Roman"/>
        <w:color w:val="002957"/>
        <w:sz w:val="18"/>
        <w:szCs w:val="18"/>
        <w:lang w:val="en-US"/>
      </w:rPr>
    </w:pPr>
    <w:r w:rsidRPr="007F23B4">
      <w:rPr>
        <w:rFonts w:ascii="Calibri" w:eastAsia="MS Mincho" w:hAnsi="Calibri" w:cs="Times New Roman"/>
        <w:color w:val="002957"/>
        <w:sz w:val="18"/>
        <w:szCs w:val="18"/>
        <w:lang w:val="en-US"/>
      </w:rPr>
      <w:t xml:space="preserve">M 778-257-3533 | cmadland@uvic.ca | </w:t>
    </w:r>
    <w:hyperlink r:id="rId1" w:history="1">
      <w:r w:rsidR="000354F5">
        <w:rPr>
          <w:rFonts w:ascii="Calibri" w:eastAsia="MS Mincho" w:hAnsi="Calibri" w:cs="Times New Roman"/>
          <w:color w:val="0000FF"/>
          <w:sz w:val="18"/>
          <w:szCs w:val="18"/>
          <w:u w:val="single"/>
          <w:lang w:val="en-US"/>
        </w:rPr>
        <w:t>https://cmad.land/</w:t>
      </w:r>
    </w:hyperlink>
    <w:r w:rsidRPr="007F23B4">
      <w:rPr>
        <w:rFonts w:ascii="Calibri" w:eastAsia="MS Mincho" w:hAnsi="Calibri" w:cs="Times New Roman"/>
        <w:color w:val="002957"/>
        <w:sz w:val="18"/>
        <w:szCs w:val="18"/>
        <w:lang w:val="en-US"/>
      </w:rPr>
      <w:t xml:space="preserve">| </w:t>
    </w:r>
    <w:hyperlink r:id="rId2" w:history="1">
      <w:proofErr w:type="spellStart"/>
      <w:r w:rsidRPr="007F23B4">
        <w:rPr>
          <w:rFonts w:ascii="Calibri" w:eastAsia="MS Mincho" w:hAnsi="Calibri" w:cs="Times New Roman"/>
          <w:color w:val="0000FF"/>
          <w:sz w:val="18"/>
          <w:szCs w:val="18"/>
          <w:u w:val="single"/>
          <w:lang w:val="en-US"/>
        </w:rPr>
        <w:t>ORCiD</w:t>
      </w:r>
      <w:proofErr w:type="spellEnd"/>
    </w:hyperlink>
    <w:r w:rsidR="00D95B00">
      <w:rPr>
        <w:rFonts w:ascii="Calibri" w:eastAsia="MS Mincho" w:hAnsi="Calibri" w:cs="Times New Roman"/>
        <w:color w:val="0000FF"/>
        <w:sz w:val="18"/>
        <w:szCs w:val="18"/>
        <w:u w:val="single"/>
        <w:lang w:val="en-US"/>
      </w:rPr>
      <w:t xml:space="preserve"> </w:t>
    </w:r>
    <w:r w:rsidR="00D95B00" w:rsidRPr="00D95B00">
      <w:rPr>
        <w:rFonts w:ascii="Calibri" w:eastAsia="MS Mincho" w:hAnsi="Calibri" w:cs="Times New Roman"/>
        <w:color w:val="000000" w:themeColor="text1"/>
        <w:sz w:val="18"/>
        <w:szCs w:val="18"/>
        <w:u w:val="single"/>
        <w:lang w:val="en-US"/>
      </w:rPr>
      <w:t>| Citizenship: Canada</w:t>
    </w:r>
  </w:p>
  <w:p w14:paraId="13F1A395" w14:textId="77777777" w:rsidR="00D21E63" w:rsidRDefault="00D21E63" w:rsidP="000C37BB">
    <w:pPr>
      <w:pStyle w:val="Header"/>
      <w:tabs>
        <w:tab w:val="clear" w:pos="8640"/>
        <w:tab w:val="left" w:pos="2700"/>
        <w:tab w:val="left" w:pos="2970"/>
        <w:tab w:val="right" w:pos="9360"/>
      </w:tabs>
      <w:ind w:leftChars="1227" w:left="2945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531A6E60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DBE3BCE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264212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BB9CD69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AD1A4900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EBE76F6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69EFD8A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3CF04EA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7B259E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89E82ED8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3D204FF8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1">
    <w:nsid w:val="0000A991"/>
    <w:multiLevelType w:val="multilevel"/>
    <w:tmpl w:val="1DC20DE8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15:restartNumberingAfterBreak="0" w:abstractNumId="12">
    <w:nsid w:val="226668B7"/>
    <w:multiLevelType w:val="multilevel"/>
    <w:tmpl w:val="EFFC5D4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3">
    <w:nsid w:val="3B9F718A"/>
    <w:multiLevelType w:val="hybridMultilevel"/>
    <w:tmpl w:val="39FE53A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79910372"/>
    <w:multiLevelType w:val="hybridMultilevel"/>
    <w:tmpl w:val="CD4C733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826926" w:numId="1">
    <w:abstractNumId w:val="0"/>
  </w:num>
  <w:num w16cid:durableId="453333258" w:numId="2">
    <w:abstractNumId w:val="1"/>
  </w:num>
  <w:num w16cid:durableId="1289554274" w:numId="3">
    <w:abstractNumId w:val="2"/>
  </w:num>
  <w:num w16cid:durableId="920481161" w:numId="4">
    <w:abstractNumId w:val="3"/>
  </w:num>
  <w:num w16cid:durableId="1481728511" w:numId="5">
    <w:abstractNumId w:val="8"/>
  </w:num>
  <w:num w16cid:durableId="1680623454" w:numId="6">
    <w:abstractNumId w:val="4"/>
  </w:num>
  <w:num w16cid:durableId="1104423748" w:numId="7">
    <w:abstractNumId w:val="5"/>
  </w:num>
  <w:num w16cid:durableId="2088109167" w:numId="8">
    <w:abstractNumId w:val="6"/>
  </w:num>
  <w:num w16cid:durableId="1648318643" w:numId="9">
    <w:abstractNumId w:val="7"/>
  </w:num>
  <w:num w16cid:durableId="804851072" w:numId="10">
    <w:abstractNumId w:val="9"/>
  </w:num>
  <w:num w16cid:durableId="1068963628" w:numId="11">
    <w:abstractNumId w:val="12"/>
  </w:num>
  <w:num w16cid:durableId="642657690" w:numId="12">
    <w:abstractNumId w:val="13"/>
  </w:num>
  <w:num w16cid:durableId="1516189572" w:numId="13">
    <w:abstractNumId w:val="14"/>
  </w:num>
  <w:num w16cid:durableId="1755589871" w:numId="14">
    <w:abstractNumId w:val="10"/>
  </w:num>
  <w:num w16cid:durableId="775175485" w:numId="15">
    <w:abstractNumId w:val="11"/>
  </w:num>
  <w:num w16cid:durableId="149567512" w:numId="16">
    <w:abstractNumId w:val="11"/>
  </w:num>
  <w:num w16cid:durableId="61757697" w:numId="17">
    <w:abstractNumId w:val="11"/>
  </w:num>
  <w:num w16cid:durableId="895899482" w:numId="18">
    <w:abstractNumId w:val="11"/>
  </w:num>
  <w:num w16cid:durableId="993413162" w:numId="19">
    <w:abstractNumId w:val="11"/>
  </w:num>
  <w:num w16cid:durableId="1036736001" w:numId="20">
    <w:abstractNumId w:val="11"/>
  </w:num>
  <w:num w16cid:durableId="1442795789" w:numId="21">
    <w:abstractNumId w:val="11"/>
  </w:num>
  <w:num w16cid:durableId="731005359" w:numId="22">
    <w:abstractNumId w:val="11"/>
  </w:num>
  <w:num w16cid:durableId="1903708676" w:numId="23">
    <w:abstractNumId w:val="11"/>
  </w:num>
  <w:num w16cid:durableId="2081055276" w:numId="24">
    <w:abstractNumId w:val="11"/>
  </w:num>
  <w:num w16cid:durableId="1660887550" w:numId="25">
    <w:abstractNumId w:val="11"/>
  </w:num>
  <w:num w16cid:durableId="1306164118" w:numId="26">
    <w:abstractNumId w:val="11"/>
  </w:num>
  <w:num w16cid:durableId="1668941526" w:numId="27">
    <w:abstractNumId w:val="11"/>
  </w:num>
  <w:num w16cid:durableId="833836009" w:numId="28">
    <w:abstractNumId w:val="11"/>
  </w:num>
  <w:num w16cid:durableId="142890426" w:numId="29">
    <w:abstractNumId w:val="11"/>
  </w:num>
  <w:num w16cid:durableId="1624530498" w:numId="30">
    <w:abstractNumId w:val="11"/>
  </w:num>
  <w:num w16cid:durableId="375548422" w:numId="31">
    <w:abstractNumId w:val="11"/>
  </w:num>
  <w:num w16cid:durableId="1673290813" w:numId="32">
    <w:abstractNumId w:val="11"/>
  </w:num>
  <w:num w16cid:durableId="375088420" w:numId="33">
    <w:abstractNumId w:val="11"/>
  </w:num>
  <w:num w16cid:durableId="467164715" w:numId="34">
    <w:abstractNumId w:val="11"/>
  </w:num>
  <w:num w16cid:durableId="1035689696" w:numId="35">
    <w:abstractNumId w:val="11"/>
  </w:num>
  <w:num w16cid:durableId="1732315159" w:numId="36">
    <w:abstractNumId w:val="11"/>
  </w:num>
  <w:num w16cid:durableId="35740535" w:numId="37">
    <w:abstractNumId w:val="11"/>
  </w:num>
  <w:num w16cid:durableId="272135930" w:numId="38">
    <w:abstractNumId w:val="11"/>
  </w:num>
  <w:num w16cid:durableId="1810439127" w:numId="39">
    <w:abstractNumId w:val="11"/>
  </w:num>
  <w:num w16cid:durableId="318392122" w:numId="40">
    <w:abstractNumId w:val="11"/>
  </w:num>
  <w:num w16cid:durableId="2024428727" w:numId="41">
    <w:abstractNumId w:val="1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30"/>
  <w:embedSystemFonts/>
  <w:proofState w:grammar="clean" w:spelling="clean"/>
  <w:attachedTemplate r:id="rId1"/>
  <w:stylePaneFormatFilter w:allStyles="0" w:alternateStyleNames="0" w:clearFormatting="1" w:customStyles="0" w:directFormattingOnNumbering="1" w:directFormattingOnParagraphs="1" w:directFormattingOnRuns="1" w:directFormattingOnTables="1" w:headingStyles="0" w:latentStyles="0" w:numberingStyles="0" w:stylesInUse="1" w:tableStyles="0" w:top3HeadingStyles="0" w:val="1F08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EE2"/>
    <w:rsid w:val="000354F5"/>
    <w:rsid w:val="0007572A"/>
    <w:rsid w:val="000843A2"/>
    <w:rsid w:val="000934B8"/>
    <w:rsid w:val="000A1550"/>
    <w:rsid w:val="000A2450"/>
    <w:rsid w:val="000A4518"/>
    <w:rsid w:val="000B293F"/>
    <w:rsid w:val="000C37BB"/>
    <w:rsid w:val="000D127A"/>
    <w:rsid w:val="001164FA"/>
    <w:rsid w:val="00122308"/>
    <w:rsid w:val="0012396A"/>
    <w:rsid w:val="001406DE"/>
    <w:rsid w:val="00175CD6"/>
    <w:rsid w:val="0018058C"/>
    <w:rsid w:val="00184E7B"/>
    <w:rsid w:val="0019525C"/>
    <w:rsid w:val="001A0D1E"/>
    <w:rsid w:val="001D0479"/>
    <w:rsid w:val="001F7620"/>
    <w:rsid w:val="00210F07"/>
    <w:rsid w:val="0022084D"/>
    <w:rsid w:val="00233C07"/>
    <w:rsid w:val="002437F0"/>
    <w:rsid w:val="002501D6"/>
    <w:rsid w:val="00250881"/>
    <w:rsid w:val="00277426"/>
    <w:rsid w:val="002A3890"/>
    <w:rsid w:val="002F1A3B"/>
    <w:rsid w:val="003175F0"/>
    <w:rsid w:val="0034082B"/>
    <w:rsid w:val="003740B3"/>
    <w:rsid w:val="0039006A"/>
    <w:rsid w:val="004252B4"/>
    <w:rsid w:val="00435E61"/>
    <w:rsid w:val="00437F31"/>
    <w:rsid w:val="00447EA2"/>
    <w:rsid w:val="00487EE2"/>
    <w:rsid w:val="004A6206"/>
    <w:rsid w:val="004B614B"/>
    <w:rsid w:val="004C2754"/>
    <w:rsid w:val="004C4055"/>
    <w:rsid w:val="004D7507"/>
    <w:rsid w:val="00501A74"/>
    <w:rsid w:val="0050217E"/>
    <w:rsid w:val="00514842"/>
    <w:rsid w:val="00523BDE"/>
    <w:rsid w:val="0052634B"/>
    <w:rsid w:val="00527F4C"/>
    <w:rsid w:val="0053019D"/>
    <w:rsid w:val="005461B9"/>
    <w:rsid w:val="005618BB"/>
    <w:rsid w:val="00584879"/>
    <w:rsid w:val="00597F45"/>
    <w:rsid w:val="005B129D"/>
    <w:rsid w:val="005B392C"/>
    <w:rsid w:val="005E0937"/>
    <w:rsid w:val="00620146"/>
    <w:rsid w:val="00622AEC"/>
    <w:rsid w:val="0064189D"/>
    <w:rsid w:val="006820DC"/>
    <w:rsid w:val="006D3AD1"/>
    <w:rsid w:val="006D68BB"/>
    <w:rsid w:val="007504B4"/>
    <w:rsid w:val="0077685A"/>
    <w:rsid w:val="00790C8E"/>
    <w:rsid w:val="00792841"/>
    <w:rsid w:val="007B5411"/>
    <w:rsid w:val="007C1FE2"/>
    <w:rsid w:val="007C61A7"/>
    <w:rsid w:val="007D0774"/>
    <w:rsid w:val="007D6033"/>
    <w:rsid w:val="007E227F"/>
    <w:rsid w:val="007F23B4"/>
    <w:rsid w:val="00801DED"/>
    <w:rsid w:val="0081582A"/>
    <w:rsid w:val="00825D8F"/>
    <w:rsid w:val="0083477C"/>
    <w:rsid w:val="00844E63"/>
    <w:rsid w:val="00852D6B"/>
    <w:rsid w:val="00873A24"/>
    <w:rsid w:val="00876911"/>
    <w:rsid w:val="00897429"/>
    <w:rsid w:val="008A4A32"/>
    <w:rsid w:val="008B6443"/>
    <w:rsid w:val="008D5FFF"/>
    <w:rsid w:val="008E713D"/>
    <w:rsid w:val="00915D17"/>
    <w:rsid w:val="00951020"/>
    <w:rsid w:val="0097061D"/>
    <w:rsid w:val="00990F39"/>
    <w:rsid w:val="009A55BE"/>
    <w:rsid w:val="009A6329"/>
    <w:rsid w:val="009C4E8C"/>
    <w:rsid w:val="009E631F"/>
    <w:rsid w:val="00A36253"/>
    <w:rsid w:val="00A60D9E"/>
    <w:rsid w:val="00A709BF"/>
    <w:rsid w:val="00A7234B"/>
    <w:rsid w:val="00A845B1"/>
    <w:rsid w:val="00AC0209"/>
    <w:rsid w:val="00AF2385"/>
    <w:rsid w:val="00BA38A7"/>
    <w:rsid w:val="00BD6712"/>
    <w:rsid w:val="00BE467B"/>
    <w:rsid w:val="00C2366C"/>
    <w:rsid w:val="00C35797"/>
    <w:rsid w:val="00C83CA0"/>
    <w:rsid w:val="00C84DBC"/>
    <w:rsid w:val="00C86F32"/>
    <w:rsid w:val="00C947DC"/>
    <w:rsid w:val="00CA4E82"/>
    <w:rsid w:val="00CA6067"/>
    <w:rsid w:val="00CB2F2A"/>
    <w:rsid w:val="00CB449C"/>
    <w:rsid w:val="00CB751A"/>
    <w:rsid w:val="00CC5A4F"/>
    <w:rsid w:val="00CF7FF7"/>
    <w:rsid w:val="00D0290C"/>
    <w:rsid w:val="00D21E63"/>
    <w:rsid w:val="00D311C4"/>
    <w:rsid w:val="00D451DF"/>
    <w:rsid w:val="00D458A5"/>
    <w:rsid w:val="00D46F44"/>
    <w:rsid w:val="00D56854"/>
    <w:rsid w:val="00D60681"/>
    <w:rsid w:val="00D85DDF"/>
    <w:rsid w:val="00D87824"/>
    <w:rsid w:val="00D94E45"/>
    <w:rsid w:val="00D95B00"/>
    <w:rsid w:val="00DC52C2"/>
    <w:rsid w:val="00DE4295"/>
    <w:rsid w:val="00E068D3"/>
    <w:rsid w:val="00E251C0"/>
    <w:rsid w:val="00E37ECC"/>
    <w:rsid w:val="00E80819"/>
    <w:rsid w:val="00E866CA"/>
    <w:rsid w:val="00E94519"/>
    <w:rsid w:val="00EA057D"/>
    <w:rsid w:val="00ED64AA"/>
    <w:rsid w:val="00EE44AD"/>
    <w:rsid w:val="00EE75E4"/>
    <w:rsid w:val="00F1358E"/>
    <w:rsid w:val="00F6029F"/>
    <w:rsid w:val="00F903A6"/>
    <w:rsid w:val="00FB6B2F"/>
    <w:rsid w:val="00FC6B2A"/>
    <w:rsid w:val="00FE07B9"/>
  </w:rsids>
  <w:themeFontLang w:eastAsia="ja-JP" w:val="en-CA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cs="Times New Roman" w:eastAsia="MS Mincho" w:hAnsi="Cambria"/>
        <w:lang w:bidi="ar-SA" w:eastAsia="en-US" w:val="en-CA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qFormat="1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default="1" w:styleId="Normal" w:type="paragraph">
    <w:name w:val="Normal"/>
    <w:qFormat/>
    <w:rsid w:val="00D95B00"/>
    <w:pPr>
      <w:spacing w:after="240"/>
    </w:pPr>
    <w:rPr>
      <w:rFonts w:ascii="Aptos" w:cstheme="minorBidi" w:eastAsiaTheme="minorHAnsi" w:hAnsi="Aptos"/>
      <w:sz w:val="24"/>
      <w:szCs w:val="24"/>
    </w:rPr>
  </w:style>
  <w:style w:styleId="Heading1" w:type="paragraph">
    <w:name w:val="heading 1"/>
    <w:basedOn w:val="FacultyandDept"/>
    <w:next w:val="Normal"/>
    <w:link w:val="Heading1Char"/>
    <w:uiPriority w:val="9"/>
    <w:qFormat/>
    <w:rsid w:val="000B293F"/>
    <w:pPr>
      <w:spacing w:before="240"/>
      <w:outlineLvl w:val="0"/>
    </w:pPr>
    <w:rPr>
      <w:rFonts w:cs="Times New Roman (Body CS)"/>
      <w:b/>
      <w:caps/>
      <w:color w:themeColor="text1" w:val="000000"/>
      <w:sz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1164FA"/>
    <w:pPr>
      <w:keepNext/>
      <w:keepLines/>
      <w:spacing w:after="120" w:before="120"/>
      <w:outlineLvl w:val="1"/>
    </w:pPr>
    <w:rPr>
      <w:rFonts w:cstheme="majorBidi" w:eastAsiaTheme="majorEastAsia"/>
      <w:b/>
      <w:szCs w:val="2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EA057D"/>
    <w:pPr>
      <w:keepNext/>
      <w:keepLines/>
      <w:spacing w:after="120" w:before="120"/>
      <w:outlineLvl w:val="2"/>
    </w:pPr>
    <w:rPr>
      <w:rFonts w:cstheme="majorBidi" w:eastAsiaTheme="majorEastAsia"/>
      <w:b/>
      <w:i/>
      <w:color w:themeColor="text1" w:val="000000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122308"/>
    <w:pPr>
      <w:keepNext/>
      <w:keepLines/>
      <w:spacing w:after="120" w:before="120"/>
      <w:outlineLvl w:val="3"/>
    </w:pPr>
    <w:rPr>
      <w:rFonts w:cstheme="majorBidi" w:eastAsiaTheme="majorEastAsia"/>
      <w:i/>
      <w:iCs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Footer" w:type="paragraph">
    <w:name w:val="footer"/>
    <w:basedOn w:val="Normal"/>
    <w:link w:val="FooterChar"/>
    <w:uiPriority w:val="99"/>
    <w:unhideWhenUsed/>
    <w:rsid w:val="00DE4295"/>
    <w:pPr>
      <w:tabs>
        <w:tab w:pos="4320" w:val="center"/>
        <w:tab w:pos="8640" w:val="right"/>
      </w:tabs>
    </w:pPr>
  </w:style>
  <w:style w:customStyle="1" w:styleId="FooterChar" w:type="character">
    <w:name w:val="Footer Char"/>
    <w:link w:val="Footer"/>
    <w:uiPriority w:val="99"/>
    <w:rsid w:val="00DE4295"/>
    <w:rPr>
      <w:rFonts w:ascii="Calibri" w:hAnsi="Calibri"/>
      <w:sz w:val="22"/>
      <w:lang w:val="en-US"/>
    </w:rPr>
  </w:style>
  <w:style w:styleId="BodyText" w:type="paragraph">
    <w:name w:val="Body Text"/>
    <w:basedOn w:val="Address"/>
    <w:link w:val="BodyTextChar"/>
    <w:uiPriority w:val="99"/>
    <w:unhideWhenUsed/>
    <w:rsid w:val="00D95B00"/>
    <w:pPr>
      <w:spacing w:after="120"/>
    </w:pPr>
    <w:rPr>
      <w:color w:themeColor="text1" w:val="000000"/>
      <w:sz w:val="24"/>
    </w:rPr>
  </w:style>
  <w:style w:customStyle="1" w:styleId="BodyTextChar" w:type="character">
    <w:name w:val="Body Text Char"/>
    <w:link w:val="BodyText"/>
    <w:uiPriority w:val="99"/>
    <w:rsid w:val="00D95B00"/>
    <w:rPr>
      <w:rFonts w:ascii="Aptos" w:cstheme="minorBidi" w:eastAsiaTheme="minorHAnsi" w:hAnsi="Aptos"/>
      <w:color w:themeColor="text1" w:val="000000"/>
      <w:sz w:val="24"/>
      <w:szCs w:val="18"/>
    </w:rPr>
  </w:style>
  <w:style w:customStyle="1" w:styleId="FacultyandDept" w:type="paragraph">
    <w:name w:val="Faculty and Dept."/>
    <w:basedOn w:val="Normal"/>
    <w:qFormat/>
    <w:rsid w:val="00DE4295"/>
    <w:rPr>
      <w:noProof/>
      <w:color w:val="002957"/>
      <w:sz w:val="20"/>
    </w:rPr>
  </w:style>
  <w:style w:customStyle="1" w:styleId="Address" w:type="paragraph">
    <w:name w:val="Address"/>
    <w:basedOn w:val="Header"/>
    <w:qFormat/>
    <w:rsid w:val="00DE4295"/>
    <w:pPr>
      <w:tabs>
        <w:tab w:pos="4320" w:val="clear"/>
        <w:tab w:pos="8640" w:val="clear"/>
      </w:tabs>
      <w:spacing w:after="960"/>
    </w:pPr>
    <w:rPr>
      <w:color w:val="002957"/>
      <w:sz w:val="18"/>
      <w:szCs w:val="18"/>
    </w:rPr>
  </w:style>
  <w:style w:styleId="Header" w:type="paragraph">
    <w:name w:val="header"/>
    <w:basedOn w:val="Normal"/>
    <w:link w:val="HeaderChar"/>
    <w:uiPriority w:val="99"/>
    <w:unhideWhenUsed/>
    <w:rsid w:val="00DE4295"/>
    <w:pPr>
      <w:tabs>
        <w:tab w:pos="4320" w:val="center"/>
        <w:tab w:pos="8640" w:val="right"/>
      </w:tabs>
    </w:pPr>
  </w:style>
  <w:style w:customStyle="1" w:styleId="HeaderChar" w:type="character">
    <w:name w:val="Header Char"/>
    <w:link w:val="Header"/>
    <w:uiPriority w:val="99"/>
    <w:rsid w:val="00DE4295"/>
    <w:rPr>
      <w:rFonts w:ascii="Calibri" w:hAnsi="Calibri"/>
      <w:sz w:val="22"/>
      <w:lang w:val="en-US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3175F0"/>
    <w:rPr>
      <w:rFonts w:ascii="Lucida Grande" w:cs="Lucida Grande" w:hAnsi="Lucida Grande"/>
      <w:sz w:val="18"/>
      <w:szCs w:val="18"/>
    </w:rPr>
  </w:style>
  <w:style w:customStyle="1" w:styleId="BalloonTextChar" w:type="character">
    <w:name w:val="Balloon Text Char"/>
    <w:link w:val="BalloonText"/>
    <w:uiPriority w:val="99"/>
    <w:semiHidden/>
    <w:rsid w:val="003175F0"/>
    <w:rPr>
      <w:rFonts w:ascii="Lucida Grande" w:cs="Lucida Grande" w:hAnsi="Lucida Grande"/>
      <w:sz w:val="18"/>
      <w:szCs w:val="18"/>
      <w:lang w:val="en-US"/>
    </w:rPr>
  </w:style>
  <w:style w:customStyle="1" w:styleId="Heading1Char" w:type="character">
    <w:name w:val="Heading 1 Char"/>
    <w:basedOn w:val="DefaultParagraphFont"/>
    <w:link w:val="Heading1"/>
    <w:uiPriority w:val="9"/>
    <w:rsid w:val="000B293F"/>
    <w:rPr>
      <w:rFonts w:ascii="Aptos" w:cs="Times New Roman (Body CS)" w:eastAsiaTheme="minorHAnsi" w:hAnsi="Aptos"/>
      <w:b/>
      <w:caps/>
      <w:noProof/>
      <w:color w:themeColor="text1" w:val="000000"/>
      <w:sz w:val="28"/>
      <w:szCs w:val="24"/>
    </w:rPr>
  </w:style>
  <w:style w:styleId="BodyText2" w:type="paragraph">
    <w:name w:val="Body Text 2"/>
    <w:basedOn w:val="BodyText"/>
    <w:link w:val="BodyText2Char"/>
    <w:uiPriority w:val="99"/>
    <w:unhideWhenUsed/>
    <w:rsid w:val="004C4055"/>
    <w:rPr>
      <w:noProof/>
    </w:rPr>
  </w:style>
  <w:style w:customStyle="1" w:styleId="BodyText2Char" w:type="character">
    <w:name w:val="Body Text 2 Char"/>
    <w:basedOn w:val="DefaultParagraphFont"/>
    <w:link w:val="BodyText2"/>
    <w:uiPriority w:val="99"/>
    <w:rsid w:val="004C4055"/>
    <w:rPr>
      <w:rFonts w:ascii="Calibri" w:hAnsi="Calibri"/>
      <w:noProof/>
      <w:color w:themeColor="text1" w:val="000000"/>
      <w:sz w:val="22"/>
      <w:szCs w:val="18"/>
      <w:lang w:val="en-US"/>
    </w:rPr>
  </w:style>
  <w:style w:styleId="NormalWeb" w:type="paragraph">
    <w:name w:val="Normal (Web)"/>
    <w:basedOn w:val="Normal"/>
    <w:uiPriority w:val="99"/>
    <w:unhideWhenUsed/>
    <w:rsid w:val="00487EE2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styleId="Hyperlink" w:type="character">
    <w:name w:val="Hyperlink"/>
    <w:basedOn w:val="DefaultParagraphFont"/>
    <w:uiPriority w:val="99"/>
    <w:unhideWhenUsed/>
    <w:rsid w:val="00487EE2"/>
    <w:rPr>
      <w:color w:val="0000FF"/>
      <w:u w:val="single"/>
    </w:rPr>
  </w:style>
  <w:style w:styleId="Emphasis" w:type="character">
    <w:name w:val="Emphasis"/>
    <w:basedOn w:val="DefaultParagraphFont"/>
    <w:uiPriority w:val="20"/>
    <w:qFormat/>
    <w:rsid w:val="00487EE2"/>
    <w:rPr>
      <w:i/>
      <w:iCs/>
    </w:rPr>
  </w:style>
  <w:style w:customStyle="1" w:styleId="Heading2Char" w:type="character">
    <w:name w:val="Heading 2 Char"/>
    <w:basedOn w:val="DefaultParagraphFont"/>
    <w:link w:val="Heading2"/>
    <w:uiPriority w:val="9"/>
    <w:rsid w:val="001164FA"/>
    <w:rPr>
      <w:rFonts w:ascii="Aptos" w:cstheme="majorBidi" w:eastAsiaTheme="majorEastAsia" w:hAnsi="Aptos"/>
      <w:b/>
      <w:sz w:val="24"/>
      <w:szCs w:val="22"/>
    </w:rPr>
  </w:style>
  <w:style w:styleId="FollowedHyperlink" w:type="character">
    <w:name w:val="FollowedHyperlink"/>
    <w:basedOn w:val="DefaultParagraphFont"/>
    <w:uiPriority w:val="99"/>
    <w:semiHidden/>
    <w:unhideWhenUsed/>
    <w:rsid w:val="004B614B"/>
    <w:rPr>
      <w:color w:themeColor="followedHyperlink" w:val="800080"/>
      <w:u w:val="single"/>
    </w:rPr>
  </w:style>
  <w:style w:styleId="UnresolvedMention" w:type="character">
    <w:name w:val="Unresolved Mention"/>
    <w:basedOn w:val="DefaultParagraphFont"/>
    <w:uiPriority w:val="99"/>
    <w:rsid w:val="0064189D"/>
    <w:rPr>
      <w:color w:val="605E5C"/>
      <w:shd w:color="auto" w:fill="E1DFDD" w:val="clear"/>
    </w:rPr>
  </w:style>
  <w:style w:styleId="ListParagraph" w:type="paragraph">
    <w:name w:val="List Paragraph"/>
    <w:basedOn w:val="Normal"/>
    <w:uiPriority w:val="34"/>
    <w:qFormat/>
    <w:rsid w:val="0019525C"/>
    <w:pPr>
      <w:spacing w:after="60"/>
      <w:ind w:left="720"/>
    </w:pPr>
  </w:style>
  <w:style w:customStyle="1" w:styleId="normaltextrun" w:type="character">
    <w:name w:val="normaltextrun"/>
    <w:basedOn w:val="DefaultParagraphFont"/>
    <w:rsid w:val="00514842"/>
  </w:style>
  <w:style w:customStyle="1" w:styleId="Heading3Char" w:type="character">
    <w:name w:val="Heading 3 Char"/>
    <w:basedOn w:val="DefaultParagraphFont"/>
    <w:link w:val="Heading3"/>
    <w:uiPriority w:val="9"/>
    <w:rsid w:val="00EA057D"/>
    <w:rPr>
      <w:rFonts w:ascii="Aptos" w:cstheme="majorBidi" w:eastAsiaTheme="majorEastAsia" w:hAnsi="Aptos"/>
      <w:b/>
      <w:i/>
      <w:color w:themeColor="text1" w:val="000000"/>
      <w:sz w:val="24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sid w:val="00122308"/>
    <w:rPr>
      <w:rFonts w:ascii="Aptos" w:cstheme="majorBidi" w:eastAsiaTheme="majorEastAsia" w:hAnsi="Aptos"/>
      <w:i/>
      <w:iCs/>
      <w:color w:themeColor="text1" w:val="000000"/>
      <w:sz w:val="24"/>
      <w:szCs w:val="24"/>
    </w:rPr>
  </w:style>
  <w:style w:styleId="ListBullet" w:type="paragraph">
    <w:name w:val="List Bullet"/>
    <w:basedOn w:val="Normal"/>
    <w:uiPriority w:val="99"/>
    <w:unhideWhenUsed/>
    <w:rsid w:val="00184E7B"/>
    <w:pPr>
      <w:numPr>
        <w:numId w:val="10"/>
      </w:numPr>
      <w:contextualSpacing/>
    </w:pPr>
  </w:style>
  <w:style w:customStyle="1" w:styleId="SourceCode" w:type="paragraph">
    <w:name w:val="Source Code"/>
    <w:basedOn w:val="Normal"/>
    <w:pPr>
      <w:shd w:color="auto" w:fill="F1F3F5" w:val="clear"/>
      <w:wordWrap w:val="0"/>
    </w:pPr>
  </w:style>
  <w:style w:customStyle="1" w:styleId="KeywordTok" w:type="character">
    <w:name w:val="KeywordTok"/>
    <w:rPr>
      <w:b/>
      <w:color w:val="003B4F"/>
      <w:shd w:color="auto" w:fill="F1F3F5" w:val="clear"/>
    </w:rPr>
  </w:style>
  <w:style w:customStyle="1" w:styleId="DataTypeTok" w:type="character">
    <w:name w:val="DataTypeTok"/>
    <w:rPr>
      <w:color w:val="AD0000"/>
      <w:shd w:color="auto" w:fill="F1F3F5" w:val="clear"/>
    </w:rPr>
  </w:style>
  <w:style w:customStyle="1" w:styleId="DecValTok" w:type="character">
    <w:name w:val="DecValTok"/>
    <w:rPr>
      <w:color w:val="AD0000"/>
      <w:shd w:color="auto" w:fill="F1F3F5" w:val="clear"/>
    </w:rPr>
  </w:style>
  <w:style w:customStyle="1" w:styleId="BaseNTok" w:type="character">
    <w:name w:val="BaseNTok"/>
    <w:rPr>
      <w:color w:val="AD0000"/>
      <w:shd w:color="auto" w:fill="F1F3F5" w:val="clear"/>
    </w:rPr>
  </w:style>
  <w:style w:customStyle="1" w:styleId="FloatTok" w:type="character">
    <w:name w:val="FloatTok"/>
    <w:rPr>
      <w:color w:val="AD0000"/>
      <w:shd w:color="auto" w:fill="F1F3F5" w:val="clear"/>
    </w:rPr>
  </w:style>
  <w:style w:customStyle="1" w:styleId="ConstantTok" w:type="character">
    <w:name w:val="ConstantTok"/>
    <w:rPr>
      <w:color w:val="8F5902"/>
      <w:shd w:color="auto" w:fill="F1F3F5" w:val="clear"/>
    </w:rPr>
  </w:style>
  <w:style w:customStyle="1" w:styleId="CharTok" w:type="character">
    <w:name w:val="CharTok"/>
    <w:rPr>
      <w:color w:val="20794D"/>
      <w:shd w:color="auto" w:fill="F1F3F5" w:val="clear"/>
    </w:rPr>
  </w:style>
  <w:style w:customStyle="1" w:styleId="SpecialCharTok" w:type="character">
    <w:name w:val="SpecialCharTok"/>
    <w:rPr>
      <w:color w:val="5E5E5E"/>
      <w:shd w:color="auto" w:fill="F1F3F5" w:val="clear"/>
    </w:rPr>
  </w:style>
  <w:style w:customStyle="1" w:styleId="StringTok" w:type="character">
    <w:name w:val="StringTok"/>
    <w:rPr>
      <w:color w:val="20794D"/>
      <w:shd w:color="auto" w:fill="F1F3F5" w:val="clear"/>
    </w:rPr>
  </w:style>
  <w:style w:customStyle="1" w:styleId="VerbatimStringTok" w:type="character">
    <w:name w:val="VerbatimStringTok"/>
    <w:rPr>
      <w:color w:val="20794D"/>
      <w:shd w:color="auto" w:fill="F1F3F5" w:val="clear"/>
    </w:rPr>
  </w:style>
  <w:style w:customStyle="1" w:styleId="SpecialStringTok" w:type="character">
    <w:name w:val="SpecialStringTok"/>
    <w:rPr>
      <w:color w:val="20794D"/>
      <w:shd w:color="auto" w:fill="F1F3F5" w:val="clear"/>
    </w:rPr>
  </w:style>
  <w:style w:customStyle="1" w:styleId="ImportTok" w:type="character">
    <w:name w:val="ImportTok"/>
    <w:rPr>
      <w:color w:val="00769E"/>
      <w:shd w:color="auto" w:fill="F1F3F5" w:val="clear"/>
    </w:rPr>
  </w:style>
  <w:style w:customStyle="1" w:styleId="CommentTok" w:type="character">
    <w:name w:val="CommentTok"/>
    <w:rPr>
      <w:color w:val="5E5E5E"/>
      <w:shd w:color="auto" w:fill="F1F3F5" w:val="clear"/>
    </w:rPr>
  </w:style>
  <w:style w:customStyle="1" w:styleId="DocumentationTok" w:type="character">
    <w:name w:val="DocumentationTok"/>
    <w:rPr>
      <w:i/>
      <w:color w:val="5E5E5E"/>
      <w:shd w:color="auto" w:fill="F1F3F5" w:val="clear"/>
    </w:rPr>
  </w:style>
  <w:style w:customStyle="1" w:styleId="AnnotationTok" w:type="character">
    <w:name w:val="AnnotationTok"/>
    <w:rPr>
      <w:color w:val="5E5E5E"/>
      <w:shd w:color="auto" w:fill="F1F3F5" w:val="clear"/>
    </w:rPr>
  </w:style>
  <w:style w:customStyle="1" w:styleId="CommentVarTok" w:type="character">
    <w:name w:val="CommentVarTok"/>
    <w:rPr>
      <w:i/>
      <w:color w:val="5E5E5E"/>
      <w:shd w:color="auto" w:fill="F1F3F5" w:val="clear"/>
    </w:rPr>
  </w:style>
  <w:style w:customStyle="1" w:styleId="OtherTok" w:type="character">
    <w:name w:val="OtherTok"/>
    <w:rPr>
      <w:color w:val="003B4F"/>
      <w:shd w:color="auto" w:fill="F1F3F5" w:val="clear"/>
    </w:rPr>
  </w:style>
  <w:style w:customStyle="1" w:styleId="FunctionTok" w:type="character">
    <w:name w:val="FunctionTok"/>
    <w:rPr>
      <w:color w:val="4758AB"/>
      <w:shd w:color="auto" w:fill="F1F3F5" w:val="clear"/>
    </w:rPr>
  </w:style>
  <w:style w:customStyle="1" w:styleId="VariableTok" w:type="character">
    <w:name w:val="VariableTok"/>
    <w:rPr>
      <w:color w:val="111111"/>
      <w:shd w:color="auto" w:fill="F1F3F5" w:val="clear"/>
    </w:rPr>
  </w:style>
  <w:style w:customStyle="1" w:styleId="ControlFlowTok" w:type="character">
    <w:name w:val="ControlFlowTok"/>
    <w:rPr>
      <w:b/>
      <w:color w:val="003B4F"/>
      <w:shd w:color="auto" w:fill="F1F3F5" w:val="clear"/>
    </w:rPr>
  </w:style>
  <w:style w:customStyle="1" w:styleId="OperatorTok" w:type="character">
    <w:name w:val="OperatorTok"/>
    <w:rPr>
      <w:color w:val="5E5E5E"/>
      <w:shd w:color="auto" w:fill="F1F3F5" w:val="clear"/>
    </w:rPr>
  </w:style>
  <w:style w:customStyle="1" w:styleId="BuiltInTok" w:type="character">
    <w:name w:val="BuiltInTok"/>
    <w:rPr>
      <w:color w:val="003B4F"/>
      <w:shd w:color="auto" w:fill="F1F3F5" w:val="clear"/>
    </w:rPr>
  </w:style>
  <w:style w:customStyle="1" w:styleId="ExtensionTok" w:type="character">
    <w:name w:val="ExtensionTok"/>
    <w:rPr>
      <w:color w:val="003B4F"/>
      <w:shd w:color="auto" w:fill="F1F3F5" w:val="clear"/>
    </w:rPr>
  </w:style>
  <w:style w:customStyle="1" w:styleId="PreprocessorTok" w:type="character">
    <w:name w:val="PreprocessorTok"/>
    <w:rPr>
      <w:color w:val="AD0000"/>
      <w:shd w:color="auto" w:fill="F1F3F5" w:val="clear"/>
    </w:rPr>
  </w:style>
  <w:style w:customStyle="1" w:styleId="AttributeTok" w:type="character">
    <w:name w:val="AttributeTok"/>
    <w:rPr>
      <w:color w:val="657422"/>
      <w:shd w:color="auto" w:fill="F1F3F5" w:val="clear"/>
    </w:rPr>
  </w:style>
  <w:style w:customStyle="1" w:styleId="RegionMarkerTok" w:type="character">
    <w:name w:val="RegionMarkerTok"/>
    <w:rPr>
      <w:color w:val="003B4F"/>
      <w:shd w:color="auto" w:fill="F1F3F5" w:val="clear"/>
    </w:rPr>
  </w:style>
  <w:style w:customStyle="1" w:styleId="InformationTok" w:type="character">
    <w:name w:val="InformationTok"/>
    <w:rPr>
      <w:color w:val="5E5E5E"/>
      <w:shd w:color="auto" w:fill="F1F3F5" w:val="clear"/>
    </w:rPr>
  </w:style>
  <w:style w:customStyle="1" w:styleId="WarningTok" w:type="character">
    <w:name w:val="WarningTok"/>
    <w:rPr>
      <w:i/>
      <w:color w:val="5E5E5E"/>
      <w:shd w:color="auto" w:fill="F1F3F5" w:val="clear"/>
    </w:rPr>
  </w:style>
  <w:style w:customStyle="1" w:styleId="AlertTok" w:type="character">
    <w:name w:val="AlertTok"/>
    <w:rPr>
      <w:color w:val="AD0000"/>
      <w:shd w:color="auto" w:fill="F1F3F5" w:val="clear"/>
    </w:rPr>
  </w:style>
  <w:style w:customStyle="1" w:styleId="ErrorTok" w:type="character">
    <w:name w:val="ErrorTok"/>
    <w:rPr>
      <w:color w:val="AD0000"/>
      <w:shd w:color="auto" w:fill="F1F3F5" w:val="clear"/>
    </w:rPr>
  </w:style>
  <w:style w:customStyle="1" w:styleId="NormalTok" w:type="character">
    <w:name w:val="NormalTok"/>
    <w:rPr>
      <w:color w:val="003B4F"/>
      <w:shd w:color="auto" w:fill="F1F3F5" w:val="clear"/>
    </w:rPr>
  </w:style>
  <w:style w:styleId="Bibliography" w:type="paragraph">
    <w:name w:val="Bibliography"/>
    <w:basedOn w:val="Normal"/>
    <w:next w:val="Normal"/>
    <w:uiPriority w:val="37"/>
    <w:unhideWhenUsed/>
    <w:qFormat/>
    <w:rsid w:val="00E068D3"/>
    <w:pPr>
      <w:spacing w:after="0"/>
      <w:ind w:hanging="720"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3.xml" Type="http://schemas.openxmlformats.org/officeDocument/2006/relationships/header" /><Relationship Id="rId11" Target="header1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hyperlink" Id="rId21" Target="http://hdl.handle.net/10791/47" TargetMode="External" /><Relationship Type="http://schemas.openxmlformats.org/officeDocument/2006/relationships/hyperlink" Id="rId44" Target="http://tinyurl.com/vp8h3q8" TargetMode="External" /><Relationship Type="http://schemas.openxmlformats.org/officeDocument/2006/relationships/hyperlink" Id="rId35" Target="https://cmadland.github.io/blog/posts/deck-otessa24/#/title-slide" TargetMode="External" /><Relationship Type="http://schemas.openxmlformats.org/officeDocument/2006/relationships/hyperlink" Id="rId36" Target="https://cmadland.github.io/decks/otessa22---assessment-and-digital-technology-in-higher-education.html#otessa22---assessment-and-digital-technology-in-higher-education" TargetMode="External" /><Relationship Type="http://schemas.openxmlformats.org/officeDocument/2006/relationships/hyperlink" Id="rId50" Target="https://cmadland.github.io/decks/twu-faculty-professional-learning.html" TargetMode="External" /><Relationship Type="http://schemas.openxmlformats.org/officeDocument/2006/relationships/hyperlink" Id="rId33" Target="https://doi.org/10.18357/otessac.2021.1.1.147" TargetMode="External" /><Relationship Type="http://schemas.openxmlformats.org/officeDocument/2006/relationships/hyperlink" Id="rId31" Target="https://doi.org/10.18357/otessac.2022.2.1.137" TargetMode="External" /><Relationship Type="http://schemas.openxmlformats.org/officeDocument/2006/relationships/hyperlink" Id="rId32" Target="https://doi.org/10.18357/otessac.2022.2.1.419" TargetMode="External" /><Relationship Type="http://schemas.openxmlformats.org/officeDocument/2006/relationships/hyperlink" Id="rId30" Target="https://doi.org/10.18357/otessac.2024.4.1.393" TargetMode="External" /><Relationship Type="http://schemas.openxmlformats.org/officeDocument/2006/relationships/hyperlink" Id="rId26" Target="https://doi.org/10.18357/otessaj.2024.4.1.57" TargetMode="External" /><Relationship Type="http://schemas.openxmlformats.org/officeDocument/2006/relationships/hyperlink" Id="rId25" Target="https://doi.org/10.18357/otessaj.2024.4.1.63" TargetMode="External" /><Relationship Type="http://schemas.openxmlformats.org/officeDocument/2006/relationships/hyperlink" Id="rId27" Target="https://doi.org/10.19173/irrodl.v17i3.2179" TargetMode="External" /><Relationship Type="http://schemas.openxmlformats.org/officeDocument/2006/relationships/hyperlink" Id="rId38" Target="https://otessa.github.io/2022/friday-may-20-2022.html#share-access-using-bookdown-to-remove-barriers-and-open-up-learning" TargetMode="External" /><Relationship Type="http://schemas.openxmlformats.org/officeDocument/2006/relationships/hyperlink" Id="rId39" Target="https://otessa.github.io/2022/tuesday-may-17-2022.html#digital-platforms-and-algorithmic-erasure-what-are-the-implications-practice-oriented" TargetMode="External" /><Relationship Type="http://schemas.openxmlformats.org/officeDocument/2006/relationships/hyperlink" Id="rId37" Target="https://otessa.github.io/2022/wedesday-may-18-2022.html#parallel-session-11.1-transitions-of-online-learning-and-teaching-pse-open" TargetMode="External" /><Relationship Type="http://schemas.openxmlformats.org/officeDocument/2006/relationships/hyperlink" Id="rId56" Target="https://otessa.org" TargetMode="External" /><Relationship Type="http://schemas.openxmlformats.org/officeDocument/2006/relationships/hyperlink" Id="rId41" Target="https://otessa.org/2021/abstracts/experiencing-a-cognitive-apprenticeship-in-the-context-of-co-designing-and-co-teaching-an-undergraduate-course/" TargetMode="External" /><Relationship Type="http://schemas.openxmlformats.org/officeDocument/2006/relationships/hyperlink" Id="rId42" Target="https://otessa.org/2021/abstracts/humanizing-assessment-in-online-higher-education/" TargetMode="External" /><Relationship Type="http://schemas.openxmlformats.org/officeDocument/2006/relationships/hyperlink" Id="rId43" Target="https://otessa.org/2021/abstracts/indigenous-digital-self-determination/" TargetMode="External" /><Relationship Type="http://schemas.openxmlformats.org/officeDocument/2006/relationships/hyperlink" Id="rId40" Target="https://otessa.org/2021/abstracts/resisting-surveillance-technology/" TargetMode="External" /><Relationship Type="http://schemas.openxmlformats.org/officeDocument/2006/relationships/hyperlink" Id="rId47" Target="https://thegradingpod.com/episodes/65-alt-grading-in-physical-education-canadian-grading-reforms-and-technology-integrated-assessment-an-interview-with-colin-madland/" TargetMode="External" /><Relationship Type="http://schemas.openxmlformats.org/officeDocument/2006/relationships/hyperlink" Id="rId48" Target="https://www.spreaker.com/episode/valerie-irvine-and-colin-madland--23026170" TargetMode="External" /><Relationship Type="http://schemas.openxmlformats.org/officeDocument/2006/relationships/hyperlink" Id="rId60" Target="https://www.tru.ca/intercultural/inventory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hdl.handle.net/10791/47" TargetMode="External" /><Relationship Type="http://schemas.openxmlformats.org/officeDocument/2006/relationships/hyperlink" Id="rId44" Target="http://tinyurl.com/vp8h3q8" TargetMode="External" /><Relationship Type="http://schemas.openxmlformats.org/officeDocument/2006/relationships/hyperlink" Id="rId35" Target="https://cmadland.github.io/blog/posts/deck-otessa24/#/title-slide" TargetMode="External" /><Relationship Type="http://schemas.openxmlformats.org/officeDocument/2006/relationships/hyperlink" Id="rId36" Target="https://cmadland.github.io/decks/otessa22---assessment-and-digital-technology-in-higher-education.html#otessa22---assessment-and-digital-technology-in-higher-education" TargetMode="External" /><Relationship Type="http://schemas.openxmlformats.org/officeDocument/2006/relationships/hyperlink" Id="rId50" Target="https://cmadland.github.io/decks/twu-faculty-professional-learning.html" TargetMode="External" /><Relationship Type="http://schemas.openxmlformats.org/officeDocument/2006/relationships/hyperlink" Id="rId33" Target="https://doi.org/10.18357/otessac.2021.1.1.147" TargetMode="External" /><Relationship Type="http://schemas.openxmlformats.org/officeDocument/2006/relationships/hyperlink" Id="rId31" Target="https://doi.org/10.18357/otessac.2022.2.1.137" TargetMode="External" /><Relationship Type="http://schemas.openxmlformats.org/officeDocument/2006/relationships/hyperlink" Id="rId32" Target="https://doi.org/10.18357/otessac.2022.2.1.419" TargetMode="External" /><Relationship Type="http://schemas.openxmlformats.org/officeDocument/2006/relationships/hyperlink" Id="rId30" Target="https://doi.org/10.18357/otessac.2024.4.1.393" TargetMode="External" /><Relationship Type="http://schemas.openxmlformats.org/officeDocument/2006/relationships/hyperlink" Id="rId26" Target="https://doi.org/10.18357/otessaj.2024.4.1.57" TargetMode="External" /><Relationship Type="http://schemas.openxmlformats.org/officeDocument/2006/relationships/hyperlink" Id="rId25" Target="https://doi.org/10.18357/otessaj.2024.4.1.63" TargetMode="External" /><Relationship Type="http://schemas.openxmlformats.org/officeDocument/2006/relationships/hyperlink" Id="rId27" Target="https://doi.org/10.19173/irrodl.v17i3.2179" TargetMode="External" /><Relationship Type="http://schemas.openxmlformats.org/officeDocument/2006/relationships/hyperlink" Id="rId38" Target="https://otessa.github.io/2022/friday-may-20-2022.html#share-access-using-bookdown-to-remove-barriers-and-open-up-learning" TargetMode="External" /><Relationship Type="http://schemas.openxmlformats.org/officeDocument/2006/relationships/hyperlink" Id="rId39" Target="https://otessa.github.io/2022/tuesday-may-17-2022.html#digital-platforms-and-algorithmic-erasure-what-are-the-implications-practice-oriented" TargetMode="External" /><Relationship Type="http://schemas.openxmlformats.org/officeDocument/2006/relationships/hyperlink" Id="rId37" Target="https://otessa.github.io/2022/wedesday-may-18-2022.html#parallel-session-11.1-transitions-of-online-learning-and-teaching-pse-open" TargetMode="External" /><Relationship Type="http://schemas.openxmlformats.org/officeDocument/2006/relationships/hyperlink" Id="rId56" Target="https://otessa.org" TargetMode="External" /><Relationship Type="http://schemas.openxmlformats.org/officeDocument/2006/relationships/hyperlink" Id="rId41" Target="https://otessa.org/2021/abstracts/experiencing-a-cognitive-apprenticeship-in-the-context-of-co-designing-and-co-teaching-an-undergraduate-course/" TargetMode="External" /><Relationship Type="http://schemas.openxmlformats.org/officeDocument/2006/relationships/hyperlink" Id="rId42" Target="https://otessa.org/2021/abstracts/humanizing-assessment-in-online-higher-education/" TargetMode="External" /><Relationship Type="http://schemas.openxmlformats.org/officeDocument/2006/relationships/hyperlink" Id="rId43" Target="https://otessa.org/2021/abstracts/indigenous-digital-self-determination/" TargetMode="External" /><Relationship Type="http://schemas.openxmlformats.org/officeDocument/2006/relationships/hyperlink" Id="rId40" Target="https://otessa.org/2021/abstracts/resisting-surveillance-technology/" TargetMode="External" /><Relationship Type="http://schemas.openxmlformats.org/officeDocument/2006/relationships/hyperlink" Id="rId47" Target="https://thegradingpod.com/episodes/65-alt-grading-in-physical-education-canadian-grading-reforms-and-technology-integrated-assessment-an-interview-with-colin-madland/" TargetMode="External" /><Relationship Type="http://schemas.openxmlformats.org/officeDocument/2006/relationships/hyperlink" Id="rId48" Target="https://www.spreaker.com/episode/valerie-irvine-and-colin-madland--23026170" TargetMode="External" /><Relationship Type="http://schemas.openxmlformats.org/officeDocument/2006/relationships/hyperlink" Id="rId60" Target="https://www.tru.ca/intercultural/inventory.html" TargetMode="External" 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hyperlink" Target="https://orcid.org/0000-0002-1761-1903" TargetMode="External"/><Relationship Id="rId1" Type="http://schemas.openxmlformats.org/officeDocument/2006/relationships/hyperlink" Target="https://cmad.land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madland/Library/Group%20Containers/UBF8T346G9.Office/User%20Content.localized/Templates.localized/uvic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uvic-template.dotx</Template>
  <TotalTime>11</TotalTime>
  <Pages>8</Pages>
  <Words>2639</Words>
  <Characters>15048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UVic letterhead</vt:lpstr>
    </vt:vector>
  </TitlesOfParts>
  <Manager/>
  <Company/>
  <LinksUpToDate>false</LinksUpToDate>
  <CharactersWithSpaces>17652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2024-11-19T12:46:04Z</dcterms:created>
  <dcterms:modified xsi:type="dcterms:W3CDTF">2024-11-19T12:46:04Z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apa.csl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