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CaptionedFigure"/>
      </w:pPr>
      <w:r>
        <w:drawing>
          <wp:inline>
            <wp:extent cx="6400800" cy="4269870"/>
            <wp:effectExtent b="0" l="0" r="0" t="0"/>
            <wp:docPr descr="Colin M. Madland, PhD(c)" title="" id="21" name="Picture"/>
            <a:graphic>
              <a:graphicData uri="http://schemas.openxmlformats.org/drawingml/2006/picture">
                <pic:pic>
                  <pic:nvPicPr>
                    <pic:cNvPr descr="assets/colin.jpg" id="22" name="Picture"/>
                    <pic:cNvPicPr>
                      <a:picLocks noChangeArrowheads="1" noChangeAspect="1"/>
                    </pic:cNvPicPr>
                  </pic:nvPicPr>
                  <pic:blipFill>
                    <a:blip r:embed="rId20"/>
                    <a:stretch>
                      <a:fillRect/>
                    </a:stretch>
                  </pic:blipFill>
                  <pic:spPr bwMode="auto">
                    <a:xfrm>
                      <a:off x="0" y="0"/>
                      <a:ext cx="6400800" cy="4269870"/>
                    </a:xfrm>
                    <a:prstGeom prst="rect">
                      <a:avLst/>
                    </a:prstGeom>
                    <a:noFill/>
                    <a:ln w="9525">
                      <a:noFill/>
                      <a:headEnd/>
                      <a:tailEnd/>
                    </a:ln>
                  </pic:spPr>
                </pic:pic>
              </a:graphicData>
            </a:graphic>
          </wp:inline>
        </w:drawing>
      </w:r>
    </w:p>
    <w:p>
      <w:pPr>
        <w:pStyle w:val="ImageCaption"/>
      </w:pPr>
      <w:r>
        <w:t xml:space="preserve">Colin M. Madland, PhD(c)</w:t>
      </w:r>
    </w:p>
    <w:p>
      <w:pPr>
        <w:pStyle w:val="BodyText"/>
      </w:pPr>
      <w:r>
        <w:t xml:space="preserve">Colin Madland is the Director of Technology Integrated Learning and Assessment at Trinity Western University in Langley, BC, Canada. He supports faculty and learners in using technology to make sense of the world around them. His professional work is currently focussed on increasing access to higher education through asynchronous course designs that prioritize flexibility and opportunities for community and connection. He is researching the</w:t>
      </w:r>
      <w:r>
        <w:t xml:space="preserve"> </w:t>
      </w:r>
      <w:hyperlink r:id="rId23">
        <w:r>
          <w:rPr>
            <w:rStyle w:val="Hyperlink"/>
          </w:rPr>
          <w:t xml:space="preserve">technology-integrated assessment framework</w:t>
        </w:r>
      </w:hyperlink>
      <w:r>
        <w:t xml:space="preserve"> </w:t>
      </w:r>
      <w:r>
        <w:t xml:space="preserve">that he and his committee proposed in his dissertation work. Colin has taught courses at the undergraduate and graduate level in technology-integrated learning, and transformational blended learning.</w:t>
      </w:r>
    </w:p>
    <w:p>
      <w:pPr>
        <w:pStyle w:val="BodyText"/>
      </w:pPr>
      <w:r>
        <w:t xml:space="preserve">Contact and further info at</w:t>
      </w:r>
      <w:r>
        <w:t xml:space="preserve"> </w:t>
      </w:r>
      <w:hyperlink r:id="rId24">
        <w:r>
          <w:rPr>
            <w:rStyle w:val="Hyperlink"/>
          </w:rPr>
          <w:t xml:space="preserve">cmad.land</w:t>
        </w:r>
      </w:hyperlink>
      <w:r>
        <w:t xml:space="preserve">.</w:t>
      </w:r>
    </w:p>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jpg" /><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
  <cp:keywords/>
  <dcterms:created xsi:type="dcterms:W3CDTF">2025-10-16T17:47:01Z</dcterms:created>
  <dcterms:modified xsi:type="dcterms:W3CDTF">2025-10-16T17:47:01Z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