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 who we are, what we do, and how we know.</w:t>
      </w:r>
    </w:p>
    <w:bookmarkStart w:id="20" w:name="who-we-are"/>
    <w:p>
      <w:pPr>
        <w:pStyle w:val="Heading2"/>
      </w:pPr>
      <w:r>
        <w:t xml:space="preserve">Who We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4" w:name="what-we-do"/>
    <w:p>
      <w:pPr>
        <w:pStyle w:val="Heading2"/>
      </w:pPr>
      <w:r>
        <w:t xml:space="preserve">What We Do</w:t>
      </w:r>
    </w:p>
    <w:p>
      <w:pPr>
        <w:pStyle w:val="FirstParagraph"/>
      </w:pPr>
      <w:r>
        <w:t xml:space="preserve">Teleological perspectives are derived from who we are and inform the actions we take to empower learners.</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22" name="Picture"/>
            <a:graphic>
              <a:graphicData uri="http://schemas.openxmlformats.org/drawingml/2006/picture">
                <pic:pic>
                  <pic:nvPicPr>
                    <pic:cNvPr descr="assets/screenshot-sample-doc.png" id="23" name="Picture"/>
                    <pic:cNvPicPr>
                      <a:picLocks noChangeArrowheads="1" noChangeAspect="1"/>
                    </pic:cNvPicPr>
                  </pic:nvPicPr>
                  <pic:blipFill>
                    <a:blip r:embed="rId21"/>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24"/>
    <w:bookmarkStart w:id="31" w:name="how-we-know"/>
    <w:p>
      <w:pPr>
        <w:pStyle w:val="Heading2"/>
      </w:pPr>
      <w:r>
        <w:t xml:space="preserve">How We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p>
      <w:pPr>
        <w:pStyle w:val="CaptionedFigure"/>
      </w:pPr>
      <w:r>
        <w:drawing>
          <wp:inline>
            <wp:extent cx="6400800" cy="2610522"/>
            <wp:effectExtent b="0" l="0" r="0" t="0"/>
            <wp:docPr descr="Screenshot of a learner-created lesson on Gender and Mental Health using Notion as the platform." title="" id="26" name="Picture"/>
            <a:graphic>
              <a:graphicData uri="http://schemas.openxmlformats.org/drawingml/2006/picture">
                <pic:pic>
                  <pic:nvPicPr>
                    <pic:cNvPr descr="assets/ilr-notion.png" id="27" name="Picture"/>
                    <pic:cNvPicPr>
                      <a:picLocks noChangeArrowheads="1" noChangeAspect="1"/>
                    </pic:cNvPicPr>
                  </pic:nvPicPr>
                  <pic:blipFill>
                    <a:blip r:embed="rId25"/>
                    <a:stretch>
                      <a:fillRect/>
                    </a:stretch>
                  </pic:blipFill>
                  <pic:spPr bwMode="auto">
                    <a:xfrm>
                      <a:off x="0" y="0"/>
                      <a:ext cx="6400800" cy="2610522"/>
                    </a:xfrm>
                    <a:prstGeom prst="rect">
                      <a:avLst/>
                    </a:prstGeom>
                    <a:noFill/>
                    <a:ln w="9525">
                      <a:noFill/>
                      <a:headEnd/>
                      <a:tailEnd/>
                    </a:ln>
                  </pic:spPr>
                </pic:pic>
              </a:graphicData>
            </a:graphic>
          </wp:inline>
        </w:drawing>
      </w:r>
    </w:p>
    <w:p>
      <w:pPr>
        <w:pStyle w:val="ImageCaption"/>
      </w:pPr>
      <w:r>
        <w:t xml:space="preserve">Screenshot of a learner-created lesson on Gender and Mental Health using Notion as the platform.</w:t>
      </w:r>
    </w:p>
    <w:p>
      <w:pPr>
        <w:pStyle w:val="BodyText"/>
      </w:pPr>
      <w:r>
        <w:t xml:space="preserve">Or they may use Google Docs to teach others about the concept of Public Goods in economics.</w:t>
      </w:r>
    </w:p>
    <w:p>
      <w:pPr>
        <w:pStyle w:val="CaptionedFigure"/>
      </w:pPr>
      <w:r>
        <w:drawing>
          <wp:inline>
            <wp:extent cx="6400800" cy="2200536"/>
            <wp:effectExtent b="0" l="0" r="0" t="0"/>
            <wp:docPr descr="Screenshot of a learner-created lesson on Public Goods using Google Docs as the platform." title="" id="29" name="Picture"/>
            <a:graphic>
              <a:graphicData uri="http://schemas.openxmlformats.org/drawingml/2006/picture">
                <pic:pic>
                  <pic:nvPicPr>
                    <pic:cNvPr descr="assets/ILR-gdocs.png" id="30" name="Picture"/>
                    <pic:cNvPicPr>
                      <a:picLocks noChangeArrowheads="1" noChangeAspect="1"/>
                    </pic:cNvPicPr>
                  </pic:nvPicPr>
                  <pic:blipFill>
                    <a:blip r:embed="rId28"/>
                    <a:stretch>
                      <a:fillRect/>
                    </a:stretch>
                  </pic:blipFill>
                  <pic:spPr bwMode="auto">
                    <a:xfrm>
                      <a:off x="0" y="0"/>
                      <a:ext cx="6400800" cy="2200536"/>
                    </a:xfrm>
                    <a:prstGeom prst="rect">
                      <a:avLst/>
                    </a:prstGeom>
                    <a:noFill/>
                    <a:ln w="9525">
                      <a:noFill/>
                      <a:headEnd/>
                      <a:tailEnd/>
                    </a:ln>
                  </pic:spPr>
                </pic:pic>
              </a:graphicData>
            </a:graphic>
          </wp:inline>
        </w:drawing>
      </w:r>
    </w:p>
    <w:p>
      <w:pPr>
        <w:pStyle w:val="ImageCaption"/>
      </w:pPr>
      <w:r>
        <w:t xml:space="preserve">Screenshot of a learner-created lesson on Public Goods using Google Docs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bookmarkEnd w:id="31"/>
    <w:bookmarkEnd w:id="32"/>
    <w:bookmarkStart w:id="45" w:name="references"/>
    <w:p>
      <w:pPr>
        <w:pStyle w:val="Heading1"/>
      </w:pPr>
      <w:r>
        <w:t xml:space="preserve">References</w:t>
      </w:r>
    </w:p>
    <w:bookmarkStart w:id="44" w:name="refs"/>
    <w:bookmarkStart w:id="33"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33"/>
    <w:bookmarkStart w:id="35"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34">
        <w:r>
          <w:rPr>
            <w:rStyle w:val="Hyperlink"/>
          </w:rPr>
          <w:t xml:space="preserve">https://doi.org/10.1080/02602938.2015.1018133</w:t>
        </w:r>
      </w:hyperlink>
    </w:p>
    <w:bookmarkEnd w:id="35"/>
    <w:bookmarkStart w:id="37"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36">
        <w:r>
          <w:rPr>
            <w:rStyle w:val="Hyperlink"/>
          </w:rPr>
          <w:t xml:space="preserve">https://doi.org/10.1080/02602938.2018.1531108</w:t>
        </w:r>
      </w:hyperlink>
    </w:p>
    <w:bookmarkEnd w:id="37"/>
    <w:bookmarkStart w:id="39"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38">
        <w:r>
          <w:rPr>
            <w:rStyle w:val="Hyperlink"/>
          </w:rPr>
          <w:t xml:space="preserve">https://doi.org/10.3102/003465430298487</w:t>
        </w:r>
      </w:hyperlink>
    </w:p>
    <w:bookmarkEnd w:id="39"/>
    <w:bookmarkStart w:id="41"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40">
        <w:r>
          <w:rPr>
            <w:rStyle w:val="Hyperlink"/>
          </w:rPr>
          <w:t xml:space="preserve">https://doi.org/10.1007/s10734-017-0220-3</w:t>
        </w:r>
      </w:hyperlink>
    </w:p>
    <w:bookmarkEnd w:id="41"/>
    <w:bookmarkStart w:id="4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42">
        <w:r>
          <w:rPr>
            <w:rStyle w:val="Hyperlink"/>
          </w:rPr>
          <w:t xml:space="preserve">https://www.researchgate.net/publication/328289320_The_Five_R%27s_for_Indigenizing_Online_Learning_A_Case_Study_of_the_First_Nations_Schools%27_Principals_Course</w:t>
        </w:r>
      </w:hyperlink>
    </w:p>
    <w:bookmarkEnd w:id="43"/>
    <w:bookmarkEnd w:id="44"/>
    <w:bookmarkEnd w:id="45"/>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2024-12-20T14:43:38Z</dcterms:created>
  <dcterms:modified xsi:type="dcterms:W3CDTF">2024-12-20T14:43:38Z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