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ontological (who we are), teleological (what we do), and epistemological (how we know) perspectives.</w:t>
      </w:r>
    </w:p>
    <w:bookmarkStart w:id="20" w:name="who-we-are"/>
    <w:p>
      <w:pPr>
        <w:pStyle w:val="Heading2"/>
      </w:pPr>
      <w:r>
        <w:t xml:space="preserve">Who We Are</w:t>
      </w:r>
    </w:p>
    <w:p>
      <w:pPr>
        <w:pStyle w:val="FirstParagraph"/>
      </w:pPr>
      <w:r>
        <w:t xml:space="preserve">Ontological perspectives are foundational and can be summarized in the statement:</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and/or wrong. The ultimate goal of education is to empower learners to fully realize their purpose and to flourish in their efforts to improve the world around them.</w:t>
      </w:r>
    </w:p>
    <w:bookmarkEnd w:id="20"/>
    <w:bookmarkStart w:id="21" w:name="what-we-do"/>
    <w:p>
      <w:pPr>
        <w:pStyle w:val="Heading2"/>
      </w:pPr>
      <w:r>
        <w:t xml:space="preserve">What We Do</w:t>
      </w:r>
    </w:p>
    <w:p>
      <w:pPr>
        <w:pStyle w:val="FirstParagraph"/>
      </w:pPr>
      <w:r>
        <w:t xml:space="preserve">Teleological perspectives are derived from who we are and inform the actions we take to empower learners.</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others.The task of assessment is a similar process of the instructor making sense of what the learner has demonstrated in their process and the products of their work.</w:t>
      </w:r>
    </w:p>
    <w:bookmarkEnd w:id="21"/>
    <w:bookmarkStart w:id="22" w:name="how-we-know"/>
    <w:p>
      <w:pPr>
        <w:pStyle w:val="Heading2"/>
      </w:pPr>
      <w:r>
        <w:t xml:space="preserve">How We Know</w:t>
      </w:r>
    </w:p>
    <w:p>
      <w:pPr>
        <w:pStyle w:val="FirstParagraph"/>
      </w:pPr>
      <w:r>
        <w:t xml:space="preserve">Epistemological perspectives are derived from who we are and what we do.</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When a learner is able to generate their own feedback on performance, they no longer need the instructor and can sustain their own learning</w:t>
      </w:r>
      <w:r>
        <w:t xml:space="preserve"> </w:t>
      </w:r>
      <w:r>
        <w:t xml:space="preserve">(Boud &amp; Soler, 2016)</w:t>
      </w:r>
      <w:r>
        <w:t xml:space="preserve">.</w:t>
      </w:r>
    </w:p>
    <w:p>
      <w:pPr>
        <w:pStyle w:val="Compact"/>
        <w:numPr>
          <w:ilvl w:val="0"/>
          <w:numId w:val="1001"/>
        </w:numPr>
      </w:pPr>
      <w:r>
        <w:t xml:space="preserve">Co-creating safe spaces for inquiry into meaningful questions and challenges</w:t>
      </w:r>
    </w:p>
    <w:p>
      <w:pPr>
        <w:pStyle w:val="SourceCode"/>
        <w:numPr>
          <w:ilvl w:val="1"/>
          <w:numId w:val="1002"/>
        </w:numPr>
      </w:pPr>
      <w:r>
        <w:rPr>
          <w:rStyle w:val="VerbatimChar"/>
        </w:rPr>
        <w:t xml:space="preserve"> Rs – respect, relevance, reciprocity, responsibility, relationsdhip</w:t>
      </w:r>
    </w:p>
    <w:p>
      <w:pPr>
        <w:pStyle w:val="SourceCode"/>
        <w:numPr>
          <w:ilvl w:val="1"/>
          <w:numId w:val="1002"/>
        </w:numPr>
      </w:pPr>
      <w:r>
        <w:rPr>
          <w:rStyle w:val="VerbatimChar"/>
        </w:rPr>
        <w:t xml:space="preserve">Inclusion</w:t>
      </w:r>
    </w:p>
    <w:p>
      <w:pPr>
        <w:pStyle w:val="SourceCode"/>
        <w:numPr>
          <w:ilvl w:val="1"/>
          <w:numId w:val="1002"/>
        </w:numPr>
      </w:pPr>
      <w:r>
        <w:rPr>
          <w:rStyle w:val="VerbatimChar"/>
        </w:rPr>
        <w:t xml:space="preserve">Relevance</w:t>
      </w:r>
    </w:p>
    <w:p>
      <w:pPr>
        <w:pStyle w:val="SourceCode"/>
        <w:numPr>
          <w:ilvl w:val="1"/>
          <w:numId w:val="1002"/>
        </w:numPr>
      </w:pPr>
      <w:r>
        <w:rPr>
          <w:rStyle w:val="VerbatimChar"/>
        </w:rPr>
        <w:t xml:space="preserve">Duty of care</w:t>
      </w:r>
    </w:p>
    <w:p>
      <w:pPr>
        <w:pStyle w:val="SourceCode"/>
        <w:numPr>
          <w:ilvl w:val="1"/>
          <w:numId w:val="1002"/>
        </w:numPr>
      </w:pPr>
      <w:r>
        <w:rPr>
          <w:rStyle w:val="VerbatimChar"/>
        </w:rPr>
        <w:t xml:space="preserve">Diversity creates the conditions for new ideas</w:t>
      </w:r>
    </w:p>
    <w:p>
      <w:pPr>
        <w:pStyle w:val="SourceCode"/>
        <w:numPr>
          <w:ilvl w:val="1"/>
          <w:numId w:val="1002"/>
        </w:numPr>
      </w:pPr>
      <w:r>
        <w:rPr>
          <w:rStyle w:val="VerbatimChar"/>
        </w:rPr>
        <w:t xml:space="preserve">relationship</w:t>
      </w:r>
    </w:p>
    <w:p>
      <w:pPr>
        <w:pStyle w:val="Compact"/>
        <w:numPr>
          <w:ilvl w:val="0"/>
          <w:numId w:val="1001"/>
        </w:numPr>
      </w:pPr>
      <w:r>
        <w:t xml:space="preserve">Fostering curiosity about the world, why it is the way it is, and what we can do to improve it</w:t>
      </w:r>
    </w:p>
    <w:p>
      <w:pPr>
        <w:pStyle w:val="SourceCode"/>
        <w:numPr>
          <w:ilvl w:val="1"/>
          <w:numId w:val="1003"/>
        </w:numPr>
      </w:pPr>
      <w:r>
        <w:rPr>
          <w:rStyle w:val="VerbatimChar"/>
        </w:rPr>
        <w:t xml:space="preserve">Relevance</w:t>
      </w:r>
    </w:p>
    <w:p>
      <w:pPr>
        <w:pStyle w:val="SourceCode"/>
        <w:numPr>
          <w:ilvl w:val="1"/>
          <w:numId w:val="1003"/>
        </w:numPr>
      </w:pPr>
      <w:r>
        <w:rPr>
          <w:rStyle w:val="VerbatimChar"/>
        </w:rPr>
        <w:t xml:space="preserve">Learner autonomy and agency</w:t>
      </w:r>
    </w:p>
    <w:p>
      <w:pPr>
        <w:pStyle w:val="Compact"/>
        <w:numPr>
          <w:ilvl w:val="0"/>
          <w:numId w:val="1001"/>
        </w:numPr>
      </w:pPr>
      <w:r>
        <w:t xml:space="preserve">Learning can be a difficult process of transformation</w:t>
      </w:r>
    </w:p>
    <w:p>
      <w:pPr>
        <w:pStyle w:val="SourceCode"/>
        <w:numPr>
          <w:ilvl w:val="1"/>
          <w:numId w:val="1004"/>
        </w:numPr>
      </w:pPr>
      <w:r>
        <w:rPr>
          <w:rStyle w:val="VerbatimChar"/>
        </w:rPr>
        <w:t xml:space="preserve">Learning happens best when learners feel like they have permission to be wrong</w:t>
      </w:r>
    </w:p>
    <w:p>
      <w:pPr>
        <w:pStyle w:val="SourceCode"/>
        <w:numPr>
          <w:ilvl w:val="1"/>
          <w:numId w:val="1004"/>
        </w:numPr>
      </w:pPr>
      <w:r>
        <w:rPr>
          <w:rStyle w:val="VerbatimChar"/>
        </w:rPr>
        <w:t xml:space="preserve">Learning requires multiple opportunities for practice to build competence</w:t>
      </w:r>
    </w:p>
    <w:p>
      <w:pPr>
        <w:pStyle w:val="SourceCode"/>
        <w:numPr>
          <w:ilvl w:val="1"/>
          <w:numId w:val="1004"/>
        </w:numPr>
      </w:pPr>
      <w:r>
        <w:rPr>
          <w:rStyle w:val="VerbatimChar"/>
        </w:rPr>
        <w:t xml:space="preserve">Shuell (1986, p. 429), “If students are to learn desired outcomes in a reasonably effective manner, then the teacher’s fundamental task is to get students to engage in learning activities that are likely to result in their achieving those outcomes. It is important to remember that what the student does is more important than what the teacher does.”</w:t>
      </w:r>
    </w:p>
    <w:p>
      <w:pPr>
        <w:pStyle w:val="Compact"/>
        <w:numPr>
          <w:ilvl w:val="0"/>
          <w:numId w:val="1001"/>
        </w:numPr>
      </w:pPr>
      <w:r>
        <w:t xml:space="preserve">Assessment strategies and practices are the curriculum</w:t>
      </w:r>
    </w:p>
    <w:p>
      <w:pPr>
        <w:pStyle w:val="SourceCode"/>
        <w:numPr>
          <w:ilvl w:val="1"/>
          <w:numId w:val="1005"/>
        </w:numPr>
      </w:pPr>
      <w:r>
        <w:rPr>
          <w:rStyle w:val="VerbatimChar"/>
        </w:rPr>
        <w:t xml:space="preserve">Assessment of/for/as learning   </w:t>
      </w:r>
    </w:p>
    <w:bookmarkEnd w:id="22"/>
    <w:bookmarkEnd w:id="23"/>
    <w:bookmarkStart w:id="36" w:name="references"/>
    <w:p>
      <w:pPr>
        <w:pStyle w:val="Heading1"/>
      </w:pPr>
      <w:r>
        <w:t xml:space="preserve">References</w:t>
      </w:r>
    </w:p>
    <w:bookmarkStart w:id="35" w:name="refs"/>
    <w:bookmarkStart w:id="24"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24"/>
    <w:bookmarkStart w:id="26"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25">
        <w:r>
          <w:rPr>
            <w:rStyle w:val="Hyperlink"/>
          </w:rPr>
          <w:t xml:space="preserve">https://doi.org/10.1080/02602938.2015.1018133</w:t>
        </w:r>
      </w:hyperlink>
    </w:p>
    <w:bookmarkEnd w:id="26"/>
    <w:bookmarkStart w:id="28"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27">
        <w:r>
          <w:rPr>
            <w:rStyle w:val="Hyperlink"/>
          </w:rPr>
          <w:t xml:space="preserve">https://doi.org/10.1080/02602938.2018.1531108</w:t>
        </w:r>
      </w:hyperlink>
    </w:p>
    <w:bookmarkEnd w:id="28"/>
    <w:bookmarkStart w:id="30"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29">
        <w:r>
          <w:rPr>
            <w:rStyle w:val="Hyperlink"/>
          </w:rPr>
          <w:t xml:space="preserve">https://doi.org/10.3102/003465430298487</w:t>
        </w:r>
      </w:hyperlink>
    </w:p>
    <w:bookmarkEnd w:id="30"/>
    <w:bookmarkStart w:id="32"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31">
        <w:r>
          <w:rPr>
            <w:rStyle w:val="Hyperlink"/>
          </w:rPr>
          <w:t xml:space="preserve">https://doi.org/10.1007/s10734-017-0220-3</w:t>
        </w:r>
      </w:hyperlink>
    </w:p>
    <w:bookmarkEnd w:id="32"/>
    <w:bookmarkStart w:id="34"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3">
        <w:r>
          <w:rPr>
            <w:rStyle w:val="Hyperlink"/>
          </w:rPr>
          <w:t xml:space="preserve">https://www.researchgate.net/publication/328289320_The_Five_R%27s_for_Indigenizing_Online_Learning_A_Case_Study_of_the_First_Nations_Schools%27_Principals_Course</w:t>
        </w:r>
      </w:hyperlink>
    </w:p>
    <w:bookmarkEnd w:id="34"/>
    <w:bookmarkEnd w:id="35"/>
    <w:bookmarkEnd w:id="36"/>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2024-12-18T15:27:48Z</dcterms:created>
  <dcterms:modified xsi:type="dcterms:W3CDTF">2024-12-18T15:27:48Z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