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w:t>
      </w:r>
      <w:r>
        <w:t xml:space="preserve"> </w:t>
      </w:r>
      <w:r>
        <w:rPr>
          <w:i/>
          <w:iCs/>
        </w:rPr>
        <w:t xml:space="preserve">who learners are</w:t>
      </w:r>
      <w:r>
        <w:t xml:space="preserve">,</w:t>
      </w:r>
      <w:r>
        <w:t xml:space="preserve"> </w:t>
      </w:r>
      <w:r>
        <w:rPr>
          <w:i/>
          <w:iCs/>
        </w:rPr>
        <w:t xml:space="preserve">what teachers do</w:t>
      </w:r>
      <w:r>
        <w:t xml:space="preserve">, and</w:t>
      </w:r>
      <w:r>
        <w:t xml:space="preserve"> </w:t>
      </w:r>
      <w:r>
        <w:rPr>
          <w:i/>
          <w:iCs/>
        </w:rPr>
        <w:t xml:space="preserve">how teachers know what learners know</w:t>
      </w:r>
      <w:r>
        <w:t xml:space="preserve">.</w:t>
      </w:r>
    </w:p>
    <w:bookmarkStart w:id="20" w:name="who-learners-are"/>
    <w:p>
      <w:pPr>
        <w:pStyle w:val="Heading2"/>
      </w:pPr>
      <w:r>
        <w:t xml:space="preserve">Who Learners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teachers-do"/>
    <w:p>
      <w:pPr>
        <w:pStyle w:val="Heading2"/>
      </w:pPr>
      <w:r>
        <w:t xml:space="preserve">What Teachers Do</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4"/>
    <w:bookmarkStart w:id="31" w:name="how-teachers-know-what-learners-know"/>
    <w:p>
      <w:pPr>
        <w:pStyle w:val="Heading2"/>
      </w:pPr>
      <w:r>
        <w:t xml:space="preserve">How Teachers Know What Learners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26" name="Picture"/>
            <a:graphic>
              <a:graphicData uri="http://schemas.openxmlformats.org/drawingml/2006/picture">
                <pic:pic>
                  <pic:nvPicPr>
                    <pic:cNvPr descr="assets/ilr-notion.png" id="27" name="Picture"/>
                    <pic:cNvPicPr>
                      <a:picLocks noChangeArrowheads="1" noChangeAspect="1"/>
                    </pic:cNvPicPr>
                  </pic:nvPicPr>
                  <pic:blipFill>
                    <a:blip r:embed="rId25"/>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they may use Google Docs to teach others about the concept of Public Goods in economics.</w:t>
      </w:r>
    </w:p>
    <w:p>
      <w:pPr>
        <w:pStyle w:val="CaptionedFigure"/>
      </w:pPr>
      <w:r>
        <w:drawing>
          <wp:inline>
            <wp:extent cx="6400800" cy="2200536"/>
            <wp:effectExtent b="0" l="0" r="0" t="0"/>
            <wp:docPr descr="Screenshot of a learner-created lesson on Public Goods using Google Docs as the platform." title="" id="29" name="Picture"/>
            <a:graphic>
              <a:graphicData uri="http://schemas.openxmlformats.org/drawingml/2006/picture">
                <pic:pic>
                  <pic:nvPicPr>
                    <pic:cNvPr descr="assets/ILR-gdocs.png" id="30" name="Picture"/>
                    <pic:cNvPicPr>
                      <a:picLocks noChangeArrowheads="1" noChangeAspect="1"/>
                    </pic:cNvPicPr>
                  </pic:nvPicPr>
                  <pic:blipFill>
                    <a:blip r:embed="rId28"/>
                    <a:stretch>
                      <a:fillRect/>
                    </a:stretch>
                  </pic:blipFill>
                  <pic:spPr bwMode="auto">
                    <a:xfrm>
                      <a:off x="0" y="0"/>
                      <a:ext cx="6400800" cy="2200536"/>
                    </a:xfrm>
                    <a:prstGeom prst="rect">
                      <a:avLst/>
                    </a:prstGeom>
                    <a:noFill/>
                    <a:ln w="9525">
                      <a:noFill/>
                      <a:headEnd/>
                      <a:tailEnd/>
                    </a:ln>
                  </pic:spPr>
                </pic:pic>
              </a:graphicData>
            </a:graphic>
          </wp:inline>
        </w:drawing>
      </w:r>
    </w:p>
    <w:p>
      <w:pPr>
        <w:pStyle w:val="ImageCaption"/>
      </w:pPr>
      <w:r>
        <w:t xml:space="preserve">Screenshot of a learner-created lesson on Public Goods using Google Docs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p>
      <w:pPr>
        <w:pStyle w:val="BodyText"/>
      </w:pPr>
      <w:r>
        <w:t xml:space="preserve">The most effective process of me coming to know what the learner knows is to schedule 10-15 minute synchronous assessment conversations with learners where they present their work. I thus have the opportunity in the moment to probe their thinking about their work and to make a determination of the authenticity of their performance.</w:t>
      </w:r>
    </w:p>
    <w:p>
      <w:pPr>
        <w:pStyle w:val="BodyText"/>
      </w:pPr>
      <w:r>
        <w:t xml:space="preserve">In summary, I believe that all learners have inherent rights and dignity, that teaching and learning is a relationship best described as a cognitive apprenticeship, and that meaningful work and conversations are the best ways to certify that learning has occured.</w:t>
      </w:r>
    </w:p>
    <w:bookmarkEnd w:id="31"/>
    <w:bookmarkEnd w:id="32"/>
    <w:bookmarkStart w:id="45" w:name="references"/>
    <w:p>
      <w:pPr>
        <w:pStyle w:val="Heading1"/>
      </w:pPr>
      <w:r>
        <w:t xml:space="preserve">References</w:t>
      </w:r>
    </w:p>
    <w:bookmarkStart w:id="44" w:name="refs"/>
    <w:bookmarkStart w:id="33"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33"/>
    <w:bookmarkStart w:id="35"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34">
        <w:r>
          <w:rPr>
            <w:rStyle w:val="Hyperlink"/>
          </w:rPr>
          <w:t xml:space="preserve">https://doi.org/10.1080/02602938.2015.1018133</w:t>
        </w:r>
      </w:hyperlink>
    </w:p>
    <w:bookmarkEnd w:id="35"/>
    <w:bookmarkStart w:id="37"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6">
        <w:r>
          <w:rPr>
            <w:rStyle w:val="Hyperlink"/>
          </w:rPr>
          <w:t xml:space="preserve">https://doi.org/10.1080/02602938.2018.1531108</w:t>
        </w:r>
      </w:hyperlink>
    </w:p>
    <w:bookmarkEnd w:id="37"/>
    <w:bookmarkStart w:id="39"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8">
        <w:r>
          <w:rPr>
            <w:rStyle w:val="Hyperlink"/>
          </w:rPr>
          <w:t xml:space="preserve">https://doi.org/10.3102/003465430298487</w:t>
        </w:r>
      </w:hyperlink>
    </w:p>
    <w:bookmarkEnd w:id="39"/>
    <w:bookmarkStart w:id="41"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0">
        <w:r>
          <w:rPr>
            <w:rStyle w:val="Hyperlink"/>
          </w:rPr>
          <w:t xml:space="preserve">https://doi.org/10.1007/s10734-017-0220-3</w:t>
        </w:r>
      </w:hyperlink>
    </w:p>
    <w:bookmarkEnd w:id="41"/>
    <w:bookmarkStart w:id="4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2">
        <w:r>
          <w:rPr>
            <w:rStyle w:val="Hyperlink"/>
          </w:rPr>
          <w:t xml:space="preserve">https://www.researchgate.net/publication/328289320_The_Five_R%27s_for_Indigenizing_Online_Learning_A_Case_Study_of_the_First_Nations_Schools%27_Principals_Course</w:t>
        </w:r>
      </w:hyperlink>
    </w:p>
    <w:bookmarkEnd w:id="43"/>
    <w:bookmarkEnd w:id="44"/>
    <w:bookmarkEnd w:id="4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2025-01-01T00:42:42Z</dcterms:created>
  <dcterms:modified xsi:type="dcterms:W3CDTF">2025-01-01T00:42:42Z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