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research-effectiveness"/>
    <w:p>
      <w:pPr>
        <w:pStyle w:val="Heading1"/>
      </w:pPr>
      <w:r>
        <w:t xml:space="preserve">RESEARCH EFFECTIVENESS</w:t>
      </w:r>
    </w:p>
    <w:bookmarkStart w:id="20" w:name="research-statement"/>
    <w:p>
      <w:pPr>
        <w:pStyle w:val="Heading2"/>
      </w:pPr>
      <w:r>
        <w:t xml:space="preserve">Research Statement</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refining and operationalizing the TIAF in the context of emerging technologies, such as genAI and artificial/virtual reality (AR/VR). In the longer term, especially considering this opportunity with Athabasca University, there is much work to be done to operationalize the refined TIAF by continuing to build a scale to be used to help individual educators, centres for teaching and learning, scholars of teaching and learning, and/or any other interested stakeholder to explore and understand the impacts of emerging technologies on assessment design and practice, and, by extension, to transform assessment practice in open, digital, and distance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w:t>
      </w:r>
      <w:r>
        <w:t xml:space="preserve">. I believe that transforming technology-integrated assessment practices is one of the most powerful levers we have in the drive to enable access to a</w:t>
      </w:r>
      <w:r>
        <w:t xml:space="preserve"> </w:t>
      </w:r>
      <w:r>
        <w:t xml:space="preserve">“</w:t>
      </w:r>
      <w:r>
        <w:t xml:space="preserve">world class university experience for every learner</w:t>
      </w:r>
      <w:r>
        <w:t xml:space="preserve">”</w:t>
      </w:r>
      <w:r>
        <w:t xml:space="preserve"> </w:t>
      </w:r>
      <w:r>
        <w:t xml:space="preserve">(Athabasca University, 2024).</w:t>
      </w:r>
    </w:p>
    <w:p>
      <w:pPr>
        <w:pStyle w:val="BodyText"/>
      </w:pPr>
      <w:r>
        <w:t xml:space="preserve">The TIAF comprises four primary constructs (assessment purpose, duty of care, technology acceptance, and measurement), each capable of supporting robust interdisciplinary investigations. Each of the four constructs are grounded in the 5 Rs of Indigenous education (respect, relevance, reciprocity, responsibility, and relationships) (Tessaro et al., 2018), making the TIAF a valuable tool for removing barriers to Indigenous learners and communities.</w:t>
      </w:r>
    </w:p>
    <w:p>
      <w:pPr>
        <w:pStyle w:val="BodyText"/>
      </w:pPr>
      <w:r>
        <w:t xml:space="preserve">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extermination in the context of education (see my proceeding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Director of Technology-integrated Learning and Assessment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 to bear on the up-front design of learning environments which are human-centred, equitable, inclusive, and accessible.</w:t>
      </w:r>
    </w:p>
    <w:p>
      <w:pPr>
        <w:pStyle w:val="BodyText"/>
      </w:pPr>
      <w:r>
        <w:t xml:space="preserve">The TIAF as a whole and each individual construct described within present rich opportunities for research on learning through transformative digital systems. This wide variety of possible approaches to investigating emerging technologies in open, digital, and distance education leads to multiple opportunities for inclusive quantitative, qualitative, and mixed research collaborations for the benefit of remote, rural, and Indigenous communities. Further, as the framework is embedded within the 5Rs of Indigenous education, there are multiple possibilities for collaborating with Indigenous scholars and</w:t>
      </w:r>
      <w:r>
        <w:t xml:space="preserve"> </w:t>
      </w:r>
      <w:r>
        <w:rPr>
          <w:i/>
          <w:iCs/>
        </w:rPr>
        <w:t xml:space="preserve">Nukskahtowin</w:t>
      </w:r>
      <w:r>
        <w:t xml:space="preserve"> </w:t>
      </w:r>
      <w:r>
        <w:t xml:space="preserve">to explore these and other questions specific to Indigenous communities as we journey together towards</w:t>
      </w:r>
      <w:r>
        <w:t xml:space="preserve"> </w:t>
      </w:r>
      <w:r>
        <w:rPr>
          <w:i/>
          <w:iCs/>
        </w:rPr>
        <w:t xml:space="preserve">kwayskahsatsowin</w:t>
      </w:r>
      <w:r>
        <w:t xml:space="preserve"> </w:t>
      </w:r>
      <w:r>
        <w:t xml:space="preserve">and renewal.</w:t>
      </w:r>
    </w:p>
    <w:bookmarkEnd w:id="20"/>
    <w:bookmarkStart w:id="22" w:name="sample-published-article"/>
    <w:p>
      <w:pPr>
        <w:pStyle w:val="Heading2"/>
      </w:pPr>
      <w:r>
        <w:t xml:space="preserve">Sample Published Article</w:t>
      </w:r>
    </w:p>
    <w:p>
      <w:pPr>
        <w:pStyle w:val="FirstParagraph"/>
      </w:pPr>
      <w:r>
        <w:t xml:space="preserve">Please see the article I published in May 2024, in the OTESSA Journal:</w:t>
      </w:r>
    </w:p>
    <w:p>
      <w:pPr>
        <w:pStyle w:val="BodyText"/>
      </w:pPr>
      <w:r>
        <w:t xml:space="preserve">Madland, C., Irvine, V., DeLuca, C., &amp; Bulut, O. (2024).</w:t>
      </w:r>
      <w:r>
        <w:t xml:space="preserve"> </w:t>
      </w:r>
      <w:hyperlink r:id="rId21">
        <w:r>
          <w:rPr>
            <w:rStyle w:val="Hyperlink"/>
          </w:rPr>
          <w:t xml:space="preserve">Developing the Technology-Integrated Assessment Framework.</w:t>
        </w:r>
      </w:hyperlink>
      <w:r>
        <w:t xml:space="preserve"> </w:t>
      </w:r>
      <w:r>
        <w:rPr>
          <w:i/>
          <w:iCs/>
        </w:rPr>
        <w:t xml:space="preserve">The Open/Technology in Education, Society, and Scholarship Association Journal, 4</w:t>
      </w:r>
      <w:r>
        <w:t xml:space="preserve">(1), 1–19.</w:t>
      </w:r>
    </w:p>
    <w:bookmarkEnd w:id="22"/>
    <w:bookmarkStart w:id="27" w:name="knowledge-dissemination"/>
    <w:p>
      <w:pPr>
        <w:pStyle w:val="Heading2"/>
      </w:pPr>
      <w:r>
        <w:t xml:space="preserve">Knowledge Dissemination</w:t>
      </w:r>
    </w:p>
    <w:p>
      <w:pPr>
        <w:pStyle w:val="FirstParagraph"/>
      </w:pPr>
      <w:r>
        <w:t xml:space="preserve">As a rule, I endeavour to publish all my research outputs under an open license and on the web. Below are two examples of these outputs. The first emerged from my PhD coursework as a visiting student at the University of British Columbia. This publication is a critical family history, an in-depth exploration of one of my ancestors’ emigration from Norway to the USA, then to northern and central Alberta, and finally to British Columbia. The framework for this publication is the history of the treatment of Indigenous peoples throughout North America that opened the way for my great-grandfather to emigrate from Norway.</w:t>
      </w:r>
    </w:p>
    <w:p>
      <w:pPr>
        <w:pStyle w:val="BodyText"/>
      </w:pPr>
      <w:r>
        <w:t xml:space="preserve">Madland, C. (2019).</w:t>
      </w:r>
      <w:r>
        <w:t xml:space="preserve"> </w:t>
      </w:r>
      <w:hyperlink r:id="rId23">
        <w:r>
          <w:rPr>
            <w:rStyle w:val="Hyperlink"/>
          </w:rPr>
          <w:t xml:space="preserve">Critical Family History</w:t>
        </w:r>
      </w:hyperlink>
      <w:r>
        <w:t xml:space="preserve"> </w:t>
      </w:r>
      <w:r>
        <w:t xml:space="preserve">[Blog]. Colin M. Madland.</w:t>
      </w:r>
    </w:p>
    <w:p>
      <w:pPr>
        <w:pStyle w:val="BodyText"/>
      </w:pPr>
      <w:r>
        <w:t xml:space="preserve">The second example of knowledge dissemination is related to a viral moment that I and a colleague experienced on Twitter (now defunct). This conference presentation and proceeding described our experiences with the facial detection algorithm on Zoom, which, when posted to Twitter, showed a related problem there.</w:t>
      </w:r>
    </w:p>
    <w:p>
      <w:pPr>
        <w:pStyle w:val="BodyText"/>
      </w:pPr>
      <w:r>
        <w:t xml:space="preserve">Madland, C., Ofosuhene, M., &amp; Adkins, J. (2022).</w:t>
      </w:r>
      <w:r>
        <w:t xml:space="preserve"> </w:t>
      </w:r>
      <w:hyperlink r:id="rId24">
        <w:r>
          <w:rPr>
            <w:rStyle w:val="Hyperlink"/>
          </w:rPr>
          <w:t xml:space="preserve">Digital Platforms and Algorithmic Erasure: What are the Implications?</w:t>
        </w:r>
      </w:hyperlink>
      <w:r>
        <w:t xml:space="preserve"> </w:t>
      </w:r>
      <w:r>
        <w:t xml:space="preserve">OTESSA Conference 2022. OTESSA 2022, Online.</w:t>
      </w:r>
    </w:p>
    <w:p>
      <w:pPr>
        <w:pStyle w:val="BodyText"/>
      </w:pPr>
      <w:r>
        <w:t xml:space="preserve">The original Tweet that set it all off</w:t>
      </w:r>
      <w:r>
        <w:t xml:space="preserve"> </w:t>
      </w:r>
      <w:hyperlink r:id="rId25">
        <w:r>
          <w:rPr>
            <w:rStyle w:val="Hyperlink"/>
          </w:rPr>
          <w:t xml:space="preserve">is available on X</w:t>
        </w:r>
      </w:hyperlink>
      <w:r>
        <w:t xml:space="preserve">, and also has been</w:t>
      </w:r>
      <w:r>
        <w:t xml:space="preserve"> </w:t>
      </w:r>
      <w:hyperlink r:id="rId26">
        <w:r>
          <w:rPr>
            <w:rStyle w:val="Hyperlink"/>
          </w:rPr>
          <w:t xml:space="preserve">ported to BlueSky</w:t>
        </w:r>
      </w:hyperlink>
      <w:r>
        <w:t xml:space="preserve">.</w:t>
      </w:r>
    </w:p>
    <w:bookmarkEnd w:id="27"/>
    <w:bookmarkStart w:id="34" w:name="references"/>
    <w:p>
      <w:pPr>
        <w:pStyle w:val="Heading2"/>
      </w:pPr>
      <w:r>
        <w:t xml:space="preserve">References</w:t>
      </w:r>
    </w:p>
    <w:bookmarkStart w:id="33" w:name="refs"/>
    <w:bookmarkStart w:id="28"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24">
        <w:r>
          <w:rPr>
            <w:rStyle w:val="Hyperlink"/>
          </w:rPr>
          <w:t xml:space="preserve">https://doi.org/10.18357/otessac.2022.2.1.137</w:t>
        </w:r>
      </w:hyperlink>
    </w:p>
    <w:bookmarkEnd w:id="28"/>
    <w:bookmarkStart w:id="30"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29">
        <w:r>
          <w:rPr>
            <w:rStyle w:val="Hyperlink"/>
          </w:rPr>
          <w:t xml:space="preserve">https://doi.org/10.18357/otessac.2021.1.1.147</w:t>
        </w:r>
      </w:hyperlink>
    </w:p>
    <w:bookmarkEnd w:id="30"/>
    <w:bookmarkStart w:id="32"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31">
        <w:r>
          <w:rPr>
            <w:rStyle w:val="Hyperlink"/>
          </w:rPr>
          <w:t xml:space="preserve">https://doi.org/10.4324/9780203507711</w:t>
        </w:r>
      </w:hyperlink>
    </w:p>
    <w:bookmarkEnd w:id="32"/>
    <w:bookmarkEnd w:id="33"/>
    <w:bookmarkEnd w:id="34"/>
    <w:bookmarkEnd w:id="35"/>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26" Target="https://bsky.app/profile/cmadtweets.bsky.social/post/3lb5lhuo35c2w" TargetMode="External" /><Relationship Type="http://schemas.openxmlformats.org/officeDocument/2006/relationships/hyperlink" Id="rId23" Target="https://cmadland.github.io/cv/timeline.html#critical-family-history" TargetMode="External" /><Relationship Type="http://schemas.openxmlformats.org/officeDocument/2006/relationships/hyperlink" Id="rId29" Target="https://doi.org/10.18357/otessac.2021.1.1.147" TargetMode="External" /><Relationship Type="http://schemas.openxmlformats.org/officeDocument/2006/relationships/hyperlink" Id="rId24" Target="https://doi.org/10.18357/otessac.2022.2.1.137" TargetMode="External" /><Relationship Type="http://schemas.openxmlformats.org/officeDocument/2006/relationships/hyperlink" Id="rId21" Target="https://doi.org/10.18357/otessaj.2024.4.1.63" TargetMode="External" /><Relationship Type="http://schemas.openxmlformats.org/officeDocument/2006/relationships/hyperlink" Id="rId31" Target="https://doi.org/10.4324/9780203507711" TargetMode="External" /><Relationship Type="http://schemas.openxmlformats.org/officeDocument/2006/relationships/hyperlink" Id="rId25" Target="https://x.com/colinmadland/status/1307111816250748933" TargetMode="External" /></Relationships>
</file>

<file path=word/_rels/footnotes.xml.rels><?xml version="1.0" encoding="UTF-8"?><Relationships xmlns="http://schemas.openxmlformats.org/package/2006/relationships"><Relationship Type="http://schemas.openxmlformats.org/officeDocument/2006/relationships/hyperlink" Id="rId26" Target="https://bsky.app/profile/cmadtweets.bsky.social/post/3lb5lhuo35c2w" TargetMode="External" /><Relationship Type="http://schemas.openxmlformats.org/officeDocument/2006/relationships/hyperlink" Id="rId23" Target="https://cmadland.github.io/cv/timeline.html#critical-family-history" TargetMode="External" /><Relationship Type="http://schemas.openxmlformats.org/officeDocument/2006/relationships/hyperlink" Id="rId29" Target="https://doi.org/10.18357/otessac.2021.1.1.147" TargetMode="External" /><Relationship Type="http://schemas.openxmlformats.org/officeDocument/2006/relationships/hyperlink" Id="rId24" Target="https://doi.org/10.18357/otessac.2022.2.1.137" TargetMode="External" /><Relationship Type="http://schemas.openxmlformats.org/officeDocument/2006/relationships/hyperlink" Id="rId21" Target="https://doi.org/10.18357/otessaj.2024.4.1.63" TargetMode="External" /><Relationship Type="http://schemas.openxmlformats.org/officeDocument/2006/relationships/hyperlink" Id="rId31" Target="https://doi.org/10.4324/9780203507711" TargetMode="External" /><Relationship Type="http://schemas.openxmlformats.org/officeDocument/2006/relationships/hyperlink" Id="rId25" Target="https://x.com/colinmadland/status/1307111816250748933"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2025-01-01T00:42:40Z</dcterms:created>
  <dcterms:modified xsi:type="dcterms:W3CDTF">2025-01-01T00:42:40Z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