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teaching-dossier"/>
    <w:p>
      <w:pPr>
        <w:pStyle w:val="Heading1"/>
      </w:pPr>
      <w:r>
        <w:t xml:space="preserve">TEACHING DOSSIER</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Rows: 18 Columns: 5</w:t>
      </w:r>
      <w:r>
        <w:br/>
      </w:r>
      <w:r>
        <w:rPr>
          <w:rStyle w:val="VerbatimChar"/>
        </w:rPr>
        <w:t xml:space="preserve">── Column specification ────────────────────────────────────────────────────────</w:t>
      </w:r>
      <w:r>
        <w:br/>
      </w:r>
      <w:r>
        <w:rPr>
          <w:rStyle w:val="VerbatimChar"/>
        </w:rPr>
        <w:t xml:space="preserve">Delimiter: ","</w:t>
      </w:r>
      <w:r>
        <w:br/>
      </w:r>
      <w:r>
        <w:rPr>
          <w:rStyle w:val="VerbatimChar"/>
        </w:rPr>
        <w:t xml:space="preserve">chr (2): Term, Course</w:t>
      </w:r>
      <w:r>
        <w:br/>
      </w:r>
      <w:r>
        <w:rPr>
          <w:rStyle w:val="VerbatimChar"/>
        </w:rPr>
        <w:t xml:space="preserve">dbl (3): Class Size, Responses, % Teaching Rating Good or Outstanding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 I also co-designed and taught Coaching for Transformational Blended Learning and have been contracted to revise Theory and Practice of Adult Education, courses in the Graduate Certificate in Adult Learning: Coaching and Facilitation at TWU.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enrolled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bookmarkStart w:id="20" w:name="teaching-effectiveness"/>
    <w:p>
      <w:pPr>
        <w:pStyle w:val="Heading2"/>
      </w:pPr>
      <w:r>
        <w:t xml:space="preserve">TEACHING EFFECTIVENESS</w:t>
      </w:r>
    </w:p>
    <w:p>
      <w:pPr>
        <w:pStyle w:val="FirstParagraph"/>
      </w:pPr>
      <w:r>
        <w:t xml:space="preserve">The following is a table summarizing courses I have taught, including a synopsis of learner ratings of their experience with me as their instructor. Note that several courses did not meet the threshold for reporting ratings as there were too few submissions of learner experience surveys.</w:t>
      </w:r>
    </w:p>
    <w:tbl>
      <w:tblPr>
        <w:tblStyle w:val="Table"/>
        <w:tblW w:type="pct" w:w="5000"/>
        <w:tblLayout w:type="fixed"/>
        <w:tblLook w:firstRow="1" w:lastRow="0" w:firstColumn="0" w:lastColumn="0" w:noHBand="0" w:noVBand="0" w:val="0020"/>
      </w:tblPr>
      <w:tblGrid>
        <w:gridCol w:w="802"/>
        <w:gridCol w:w="1203"/>
        <w:gridCol w:w="1102"/>
        <w:gridCol w:w="1002"/>
        <w:gridCol w:w="3809"/>
      </w:tblGrid>
      <w:tr>
        <w:trPr>
          <w:tblHeader w:val="on"/>
        </w:trPr>
        <w:tc>
          <w:tcPr/>
          <w:p>
            <w:pPr>
              <w:pStyle w:val="Compact"/>
              <w:jc w:val="left"/>
            </w:pPr>
            <w:r>
              <w:t xml:space="preserve">Term</w:t>
            </w:r>
          </w:p>
        </w:tc>
        <w:tc>
          <w:tcPr/>
          <w:p>
            <w:pPr>
              <w:pStyle w:val="Compact"/>
              <w:jc w:val="left"/>
            </w:pPr>
            <w:r>
              <w:t xml:space="preserve">Course</w:t>
            </w:r>
          </w:p>
        </w:tc>
        <w:tc>
          <w:tcPr/>
          <w:p>
            <w:pPr>
              <w:pStyle w:val="Compact"/>
              <w:jc w:val="right"/>
            </w:pPr>
            <w:r>
              <w:t xml:space="preserve">Class Size</w:t>
            </w:r>
          </w:p>
        </w:tc>
        <w:tc>
          <w:tcPr/>
          <w:p>
            <w:pPr>
              <w:pStyle w:val="Compact"/>
              <w:jc w:val="right"/>
            </w:pPr>
            <w:r>
              <w:t xml:space="preserve">Responses</w:t>
            </w:r>
          </w:p>
        </w:tc>
        <w:tc>
          <w:tcPr/>
          <w:p>
            <w:pPr>
              <w:pStyle w:val="Compact"/>
              <w:jc w:val="right"/>
            </w:pPr>
            <w:r>
              <w:t xml:space="preserve">% Teaching Rating Good or Outstanding</w:t>
            </w:r>
          </w:p>
        </w:tc>
      </w:tr>
      <w:tr>
        <w:tc>
          <w:tcPr/>
          <w:p>
            <w:pPr>
              <w:pStyle w:val="Compact"/>
              <w:jc w:val="left"/>
            </w:pPr>
            <w:r>
              <w:t xml:space="preserve">FA 2024</w:t>
            </w:r>
          </w:p>
        </w:tc>
        <w:tc>
          <w:tcPr/>
          <w:p>
            <w:pPr>
              <w:pStyle w:val="Compact"/>
              <w:jc w:val="left"/>
            </w:pPr>
            <w:r>
              <w:t xml:space="preserve">LDRS463/663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2024</w:t>
            </w:r>
          </w:p>
        </w:tc>
        <w:tc>
          <w:tcPr/>
          <w:p>
            <w:pPr>
              <w:pStyle w:val="Compact"/>
              <w:jc w:val="left"/>
            </w:pPr>
            <w:r>
              <w:t xml:space="preserve">LDRS663</w:t>
            </w:r>
          </w:p>
        </w:tc>
        <w:tc>
          <w:tcPr/>
          <w:p>
            <w:pPr>
              <w:pStyle w:val="Compact"/>
              <w:jc w:val="right"/>
            </w:pPr>
            <w:r>
              <w:t xml:space="preserve">4</w:t>
            </w:r>
          </w:p>
        </w:tc>
        <w:tc>
          <w:tcPr/>
          <w:p>
            <w:pPr>
              <w:pStyle w:val="Compact"/>
              <w:jc w:val="right"/>
            </w:pPr>
            <w:r>
              <w:t xml:space="preserve">3</w:t>
            </w:r>
          </w:p>
        </w:tc>
        <w:tc>
          <w:tcPr/>
          <w:p>
            <w:pPr>
              <w:pStyle w:val="Compact"/>
              <w:jc w:val="right"/>
            </w:pPr>
            <w:r>
              <w:t xml:space="preserve">67</w:t>
            </w:r>
          </w:p>
        </w:tc>
      </w:tr>
      <w:tr>
        <w:tc>
          <w:tcPr/>
          <w:p>
            <w:pPr>
              <w:pStyle w:val="Compact"/>
              <w:jc w:val="left"/>
            </w:pPr>
            <w:r>
              <w:t xml:space="preserve">FA 2023</w:t>
            </w:r>
          </w:p>
        </w:tc>
        <w:tc>
          <w:tcPr/>
          <w:p>
            <w:pPr>
              <w:pStyle w:val="Compact"/>
              <w:jc w:val="left"/>
            </w:pPr>
            <w:r>
              <w:t xml:space="preserve">LDRS663</w:t>
            </w:r>
          </w:p>
        </w:tc>
        <w:tc>
          <w:tcPr/>
          <w:p>
            <w:pPr>
              <w:pStyle w:val="Compact"/>
              <w:jc w:val="right"/>
            </w:pPr>
            <w:r>
              <w:t xml:space="preserve">6</w:t>
            </w:r>
          </w:p>
        </w:tc>
        <w:tc>
          <w:tcPr/>
          <w:p>
            <w:pPr>
              <w:pStyle w:val="Compact"/>
              <w:jc w:val="right"/>
            </w:pPr>
            <w:r>
              <w:t xml:space="preserve">1</w:t>
            </w:r>
          </w:p>
        </w:tc>
        <w:tc>
          <w:tcPr/>
          <w:p>
            <w:pPr>
              <w:pStyle w:val="Compact"/>
              <w:jc w:val="right"/>
            </w:pPr>
            <w:r>
              <w:t xml:space="preserve">100</w:t>
            </w:r>
          </w:p>
        </w:tc>
      </w:tr>
      <w:tr>
        <w:tc>
          <w:tcPr/>
          <w:p>
            <w:pPr>
              <w:pStyle w:val="Compact"/>
              <w:jc w:val="left"/>
            </w:pPr>
            <w:r>
              <w:t xml:space="preserve">SP 2023</w:t>
            </w:r>
          </w:p>
        </w:tc>
        <w:tc>
          <w:tcPr/>
          <w:p>
            <w:pPr>
              <w:pStyle w:val="Compact"/>
              <w:jc w:val="left"/>
            </w:pPr>
            <w:r>
              <w:t xml:space="preserve">LDRS663</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2022</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SP 2022</w:t>
            </w:r>
          </w:p>
        </w:tc>
        <w:tc>
          <w:tcPr/>
          <w:p>
            <w:pPr>
              <w:pStyle w:val="Compact"/>
              <w:jc w:val="left"/>
            </w:pPr>
            <w:r>
              <w:t xml:space="preserve">EDCI338</w:t>
            </w:r>
          </w:p>
        </w:tc>
        <w:tc>
          <w:tcPr/>
          <w:p>
            <w:pPr>
              <w:pStyle w:val="Compact"/>
              <w:jc w:val="right"/>
            </w:pPr>
            <w:r>
              <w:t xml:space="preserve">39</w:t>
            </w:r>
          </w:p>
        </w:tc>
        <w:tc>
          <w:tcPr/>
          <w:p>
            <w:pPr>
              <w:pStyle w:val="Compact"/>
              <w:jc w:val="right"/>
            </w:pPr>
            <w:r>
              <w:t xml:space="preserve">4</w:t>
            </w:r>
          </w:p>
        </w:tc>
        <w:tc>
          <w:tcPr/>
          <w:p>
            <w:pPr>
              <w:pStyle w:val="Compact"/>
              <w:jc w:val="right"/>
            </w:pPr>
            <w:r>
              <w:t xml:space="preserve">75</w:t>
            </w:r>
          </w:p>
        </w:tc>
      </w:tr>
      <w:tr>
        <w:tc>
          <w:tcPr/>
          <w:p>
            <w:pPr>
              <w:pStyle w:val="Compact"/>
              <w:jc w:val="left"/>
            </w:pPr>
            <w:r>
              <w:t xml:space="preserve">FA 2021</w:t>
            </w:r>
          </w:p>
        </w:tc>
        <w:tc>
          <w:tcPr/>
          <w:p>
            <w:pPr>
              <w:pStyle w:val="Compact"/>
              <w:jc w:val="left"/>
            </w:pPr>
            <w:r>
              <w:t xml:space="preserve">EDCI335</w:t>
            </w:r>
          </w:p>
        </w:tc>
        <w:tc>
          <w:tcPr/>
          <w:p>
            <w:pPr>
              <w:pStyle w:val="Compact"/>
              <w:jc w:val="right"/>
            </w:pPr>
            <w:r>
              <w:t xml:space="preserve">41</w:t>
            </w:r>
          </w:p>
        </w:tc>
        <w:tc>
          <w:tcPr/>
          <w:p>
            <w:pPr>
              <w:pStyle w:val="Compact"/>
              <w:jc w:val="right"/>
            </w:pPr>
            <w:r>
              <w:t xml:space="preserve">6</w:t>
            </w:r>
          </w:p>
        </w:tc>
        <w:tc>
          <w:tcPr/>
          <w:p>
            <w:pPr>
              <w:pStyle w:val="Compact"/>
              <w:jc w:val="right"/>
            </w:pPr>
            <w:r>
              <w:t xml:space="preserve">100</w:t>
            </w:r>
          </w:p>
        </w:tc>
      </w:tr>
      <w:tr>
        <w:tc>
          <w:tcPr/>
          <w:p>
            <w:pPr>
              <w:pStyle w:val="Compact"/>
              <w:jc w:val="left"/>
            </w:pPr>
            <w:r>
              <w:t xml:space="preserve">FA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2021</w:t>
            </w:r>
          </w:p>
        </w:tc>
        <w:tc>
          <w:tcPr/>
          <w:p>
            <w:pPr>
              <w:pStyle w:val="Compact"/>
              <w:jc w:val="left"/>
            </w:pPr>
            <w:r>
              <w:t xml:space="preserve">EDCI335</w:t>
            </w:r>
          </w:p>
        </w:tc>
        <w:tc>
          <w:tcPr/>
          <w:p>
            <w:pPr>
              <w:pStyle w:val="Compact"/>
              <w:jc w:val="right"/>
            </w:pPr>
            <w:r>
              <w:t xml:space="preserve">40</w:t>
            </w:r>
          </w:p>
        </w:tc>
        <w:tc>
          <w:tcPr/>
          <w:p>
            <w:pPr>
              <w:pStyle w:val="Compact"/>
              <w:jc w:val="right"/>
            </w:pPr>
            <w:r>
              <w:t xml:space="preserve">9</w:t>
            </w:r>
          </w:p>
        </w:tc>
        <w:tc>
          <w:tcPr/>
          <w:p>
            <w:pPr>
              <w:pStyle w:val="Compact"/>
              <w:jc w:val="right"/>
            </w:pPr>
            <w:r>
              <w:t xml:space="preserve">100</w:t>
            </w:r>
          </w:p>
        </w:tc>
      </w:tr>
      <w:tr>
        <w:tc>
          <w:tcPr/>
          <w:p>
            <w:pPr>
              <w:pStyle w:val="Compact"/>
              <w:jc w:val="left"/>
            </w:pPr>
            <w:r>
              <w:t xml:space="preserve">SP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FA 2020</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2020</w:t>
            </w:r>
          </w:p>
        </w:tc>
        <w:tc>
          <w:tcPr/>
          <w:p>
            <w:pPr>
              <w:pStyle w:val="Compact"/>
              <w:jc w:val="left"/>
            </w:pPr>
            <w:r>
              <w:t xml:space="preserve">LDRS663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2020</w:t>
            </w:r>
          </w:p>
        </w:tc>
        <w:tc>
          <w:tcPr/>
          <w:p>
            <w:pPr>
              <w:pStyle w:val="Compact"/>
              <w:jc w:val="left"/>
            </w:pPr>
            <w:r>
              <w:t xml:space="preserve">EDCI339</w:t>
            </w:r>
          </w:p>
        </w:tc>
        <w:tc>
          <w:tcPr/>
          <w:p>
            <w:pPr>
              <w:pStyle w:val="Compact"/>
              <w:jc w:val="right"/>
            </w:pPr>
            <w:r>
              <w:t xml:space="preserve">59</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2020</w:t>
            </w:r>
          </w:p>
        </w:tc>
        <w:tc>
          <w:tcPr/>
          <w:p>
            <w:pPr>
              <w:pStyle w:val="Compact"/>
              <w:jc w:val="left"/>
            </w:pPr>
            <w:r>
              <w:t xml:space="preserve">EDCI335</w:t>
            </w:r>
          </w:p>
        </w:tc>
        <w:tc>
          <w:tcPr/>
          <w:p>
            <w:pPr>
              <w:pStyle w:val="Compact"/>
              <w:jc w:val="right"/>
            </w:pPr>
            <w:r>
              <w:t xml:space="preserve">56</w:t>
            </w:r>
          </w:p>
        </w:tc>
        <w:tc>
          <w:tcPr/>
          <w:p>
            <w:pPr>
              <w:pStyle w:val="Compact"/>
              <w:jc w:val="right"/>
            </w:pPr>
            <w:r>
              <w:t xml:space="preserve">3</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LDRS663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2019</w:t>
            </w:r>
          </w:p>
        </w:tc>
        <w:tc>
          <w:tcPr/>
          <w:p>
            <w:pPr>
              <w:pStyle w:val="Compact"/>
              <w:jc w:val="left"/>
            </w:pPr>
            <w:r>
              <w:t xml:space="preserve">EDCI339</w:t>
            </w:r>
          </w:p>
        </w:tc>
        <w:tc>
          <w:tcPr/>
          <w:p>
            <w:pPr>
              <w:pStyle w:val="Compact"/>
              <w:jc w:val="right"/>
            </w:pPr>
            <w:r>
              <w:t xml:space="preserve">39</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EDCI335</w:t>
            </w:r>
          </w:p>
        </w:tc>
        <w:tc>
          <w:tcPr/>
          <w:p>
            <w:pPr>
              <w:pStyle w:val="Compact"/>
              <w:jc w:val="right"/>
            </w:pPr>
            <w:r>
              <w:t xml:space="preserve">37</w:t>
            </w:r>
          </w:p>
        </w:tc>
        <w:tc>
          <w:tcPr/>
          <w:p>
            <w:pPr>
              <w:pStyle w:val="Compact"/>
              <w:jc w:val="right"/>
            </w:pPr>
            <w:r>
              <w:t xml:space="preserve">8</w:t>
            </w:r>
          </w:p>
        </w:tc>
        <w:tc>
          <w:tcPr/>
          <w:p>
            <w:pPr>
              <w:pStyle w:val="Compact"/>
              <w:jc w:val="right"/>
            </w:pPr>
            <w:r>
              <w:t xml:space="preserve">75</w:t>
            </w:r>
          </w:p>
        </w:tc>
      </w:tr>
    </w:tbl>
    <w:bookmarkEnd w:id="20"/>
    <w:bookmarkStart w:id="21" w:name="efforts-to-improve-teaching"/>
    <w:p>
      <w:pPr>
        <w:pStyle w:val="Heading2"/>
      </w:pPr>
      <w:r>
        <w:t xml:space="preserve">Efforts to Improve Teaching</w:t>
      </w:r>
    </w:p>
    <w:p>
      <w:pPr>
        <w:pStyle w:val="FirstParagraph"/>
      </w:pPr>
      <w:r>
        <w:t xml:space="preserve">Early in my higher education teaching career, there was a pattern of learners not being satisfied with my feedback practices. As I grew as an instructor in online environment, I began implementing more relational assessment and feedback practices as outlined in my teaching philosophy statement. One change that I have consistently implemented since those early efforts is being more intentional and explicit about the connections between the intended learning outcomes in the course and the assessment tasks required of learners. I have found that when learners are more aware of those connections, there is greater willingness to engage in the acivities that lead to success in learning. Further, when there are clear connections between intended outcomes and assessment activities, I can be explicit about any areas that may require further work and help learners bridge any gaps between their ability and the intended outcomes. The final area of growth in my teaching has been the implementation of assessment conversations which provide opportunity for a more relational approach to assessment. Learners have told me that this approach, while different from their previous experience, has allowed them to be more comfortable in exploring ideas tentatively rather than hoping that they produce the</w:t>
      </w:r>
      <w:r>
        <w:t xml:space="preserve"> </w:t>
      </w:r>
      <w:r>
        <w:t xml:space="preserve">‘</w:t>
      </w:r>
      <w:r>
        <w:t xml:space="preserve">correct</w:t>
      </w:r>
      <w:r>
        <w:t xml:space="preserve">’</w:t>
      </w:r>
      <w:r>
        <w:t xml:space="preserve"> </w:t>
      </w:r>
      <w:r>
        <w:t xml:space="preserve">answer. These approaches and strategies were informed by my dissertation work on the Technology-integrated Assessment Framework.</w:t>
      </w:r>
    </w:p>
    <w:bookmarkEnd w:id="21"/>
    <w:bookmarkStart w:id="23" w:name="artifact-of-teaching-initiatives"/>
    <w:p>
      <w:pPr>
        <w:pStyle w:val="Heading2"/>
      </w:pPr>
      <w:r>
        <w:t xml:space="preserve">Artifact of Teaching Initiatives</w:t>
      </w:r>
    </w:p>
    <w:p>
      <w:pPr>
        <w:pStyle w:val="FirstParagraph"/>
      </w:pPr>
      <w:r>
        <w:t xml:space="preserve">In the January 2022, I trialled an online course structure built on GitHub for learner contributions and WordPress for learner reflections, which allowed me to track more closely the work that learners were doing and who was contributing to cooperative projects. While there was a longer period of time required to ensure that all learners were comfortable using the platforms, it proved to be useful as an exploration of how openness can be realized in online learning environments. The end result of the course was a co-created website with leaerner contributions clearly visible and my interatctions in the asynchronous environment recorded.</w:t>
      </w:r>
      <w:r>
        <w:t xml:space="preserve"> </w:t>
      </w:r>
      <w:hyperlink r:id="rId22">
        <w:r>
          <w:rPr>
            <w:rStyle w:val="Hyperlink"/>
          </w:rPr>
          <w:t xml:space="preserve">Please feel free to explore the site. Note that it is unchanged since the end of the course.</w:t>
        </w:r>
      </w:hyperlink>
      <w:r>
        <w:t xml:space="preserve">.</w:t>
      </w:r>
    </w:p>
    <w:bookmarkEnd w:id="23"/>
    <w:bookmarkStart w:id="26" w:name="references"/>
    <w:p>
      <w:pPr>
        <w:pStyle w:val="Heading2"/>
      </w:pPr>
      <w:r>
        <w:t xml:space="preserve">References</w:t>
      </w:r>
    </w:p>
    <w:bookmarkStart w:id="25" w:name="refs"/>
    <w:bookmarkStart w:id="24"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24"/>
    <w:bookmarkEnd w:id="25"/>
    <w:bookmarkEnd w:id="26"/>
    <w:bookmarkEnd w:id="27"/>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2" Target="https://cmadland.github.io/edci338-202201" TargetMode="External" /></Relationships>
</file>

<file path=word/_rels/footnotes.xml.rels><?xml version="1.0" encoding="UTF-8"?><Relationships xmlns="http://schemas.openxmlformats.org/package/2006/relationships"><Relationship Type="http://schemas.openxmlformats.org/officeDocument/2006/relationships/hyperlink" Id="rId22" Target="https://cmadland.github.io/edci338-202201"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2025-01-01T00:42:45Z</dcterms:created>
  <dcterms:modified xsi:type="dcterms:W3CDTF">2025-01-01T00:42:45Z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