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t xml:space="preserve">The following are key references used in this course.</w:t>
      </w:r>
    </w:p>
    <w:p>
      <w:pPr>
        <w:pStyle w:val="BodyText"/>
      </w:pPr>
      <w:r>
        <w:rPr>
          <w:bCs/>
          <w:b/>
        </w:rPr>
        <w:t xml:space="preserve">Unit 5</w:t>
      </w:r>
    </w:p>
    <w:p>
      <w:pPr>
        <w:pStyle w:val="BodyText"/>
      </w:pPr>
      <w:r>
        <w:t xml:space="preserve">Wenger, E. (2014)</w:t>
      </w:r>
      <w:r>
        <w:t xml:space="preserve"> </w:t>
      </w:r>
      <w:hyperlink r:id="rId20">
        <w:r>
          <w:rPr>
            <w:rStyle w:val="Hyperlink"/>
          </w:rPr>
          <w:t xml:space="preserve">Communities of practice: a brief introduction</w:t>
        </w:r>
      </w:hyperlink>
      <w:r>
        <w:t xml:space="preserve">, accessed 10 October, 2023</w:t>
      </w:r>
    </w:p>
    <w:p>
      <w:pPr>
        <w:pStyle w:val="BodyText"/>
      </w:pPr>
      <w:hyperlink r:id="rId21">
        <w:r>
          <w:rPr>
            <w:rStyle w:val="Hyperlink"/>
          </w:rPr>
          <w:t xml:space="preserve">Teaching in a Digital Age – Second Edition</w:t>
        </w:r>
      </w:hyperlink>
      <w:r>
        <w:t xml:space="preserve"> </w:t>
      </w:r>
      <w:r>
        <w:t xml:space="preserve">by A.W. (Tony) Bates is used under a CC BY-NC 4.0 Licence.</w:t>
      </w:r>
    </w:p>
    <w:p>
      <w:pPr>
        <w:pStyle w:val="BodyText"/>
      </w:pPr>
      <w:r>
        <w:t xml:space="preserve">[Creating Communities of Practice](https://www.communityofpractice.ca/background/what-is-a-community-of-practice/] from ERLC, a member of Alberta Regional Professional Development Consortia (ARPDC). Used under a CC BY-NC-SA 4.0 Licence.</w:t>
      </w:r>
    </w:p>
    <w:p>
      <w:pPr>
        <w:pStyle w:val="BodyText"/>
      </w:pPr>
      <w:r>
        <w:t xml:space="preserve">Floridi, L. (Ed.). (2015).</w:t>
      </w:r>
      <w:r>
        <w:t xml:space="preserve"> </w:t>
      </w:r>
      <w:hyperlink r:id="rId22">
        <w:r>
          <w:rPr>
            <w:rStyle w:val="Hyperlink"/>
          </w:rPr>
          <w:t xml:space="preserve">The Onlife Manifesto – Being Human in a Hyperconnected Era</w:t>
        </w:r>
      </w:hyperlink>
      <w:r>
        <w:t xml:space="preserve">. Springer.</w:t>
      </w:r>
    </w:p>
    <w:p>
      <w:pPr>
        <w:pStyle w:val="BodyText"/>
      </w:pPr>
      <w:r>
        <w:rPr>
          <w:bCs/>
          <w:b/>
        </w:rPr>
        <w:t xml:space="preserve">Unit 6</w:t>
      </w:r>
    </w:p>
    <w:p>
      <w:pPr>
        <w:pStyle w:val="BodyText"/>
      </w:pPr>
      <w:r>
        <w:t xml:space="preserve">Eaton, S. E., &amp; Kumar, R. (Eds.). (2023).</w:t>
      </w:r>
      <w:r>
        <w:t xml:space="preserve"> </w:t>
      </w:r>
      <w:r>
        <w:rPr>
          <w:iCs/>
          <w:i/>
        </w:rPr>
        <w:t xml:space="preserve">Academic Integrity Lessons: Practical Ideas for Teaching, Learning, and Assessment</w:t>
      </w:r>
      <w:r>
        <w:t xml:space="preserve">. University of Calgary. Calgary, Canada.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link.springer.com/book/10.1007/978-3-319-04093-6" TargetMode="External" /><Relationship Type="http://schemas.openxmlformats.org/officeDocument/2006/relationships/hyperlink" Id="rId21" Target="https://pressbooks.bccampus.ca/teachinginadigitalagev2/" TargetMode="External" /><Relationship Type="http://schemas.openxmlformats.org/officeDocument/2006/relationships/hyperlink" Id="rId20" Target="https://www.wenger-trayner.com/introduction-to-communities-of-practic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link.springer.com/book/10.1007/978-3-319-04093-6" TargetMode="External" /><Relationship Type="http://schemas.openxmlformats.org/officeDocument/2006/relationships/hyperlink" Id="rId21" Target="https://pressbooks.bccampus.ca/teachinginadigitalagev2/" TargetMode="External" /><Relationship Type="http://schemas.openxmlformats.org/officeDocument/2006/relationships/hyperlink" Id="rId20" Target="https://www.wenger-trayner.com/introduction-to-communities-of-practic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2024-04-18T21:43:37Z</dcterms:created>
  <dcterms:modified xsi:type="dcterms:W3CDTF">2024-04-18T21:43:37Z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