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delay an action</w:t>
      </w:r>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If an opponent attacks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Zap is the exception to this rule. Unlike block and dodge, your zap defense actually gets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similar to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is point blank and there is no penalty for targets at this range. However, each range band beyond point blank gives a -1 accuracy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Default="00A233AB" w:rsidP="008D5466">
      <w:pPr>
        <w:pStyle w:val="Standard"/>
        <w:rPr>
          <w:rFonts w:ascii="Abadi" w:hAnsi="Abadi"/>
          <w:sz w:val="20"/>
          <w:szCs w:val="20"/>
        </w:rPr>
      </w:pPr>
    </w:p>
    <w:p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rsidR="00FA4779" w:rsidRDefault="00FA4779" w:rsidP="00FA4779">
      <w:pPr>
        <w:pStyle w:val="Standard"/>
        <w:rPr>
          <w:rFonts w:ascii="Abadi" w:hAnsi="Abadi"/>
          <w:sz w:val="20"/>
          <w:szCs w:val="20"/>
        </w:rPr>
      </w:pPr>
      <w:r>
        <w:rPr>
          <w:rFonts w:ascii="Abadi" w:hAnsi="Abadi"/>
          <w:sz w:val="20"/>
          <w:szCs w:val="20"/>
        </w:rPr>
        <w:t xml:space="preserve">Some attacks will indicate that they are </w:t>
      </w:r>
      <w:r>
        <w:rPr>
          <w:rFonts w:ascii="Abadi" w:hAnsi="Abadi"/>
          <w:b/>
          <w:i/>
          <w:sz w:val="20"/>
          <w:szCs w:val="20"/>
        </w:rPr>
        <w:t>Touch Attacks</w:t>
      </w:r>
      <w:r>
        <w:rPr>
          <w:rFonts w:ascii="Abadi" w:hAnsi="Abadi"/>
          <w:sz w:val="20"/>
          <w:szCs w:val="20"/>
        </w:rPr>
        <w:t>. Touch attacks are resolved like a normal Strike, but they cannot be Blocked normally. Because blocking the attack would imply that the attacker has made contact with the defender in some way, touch attacks can only be Dodged.</w:t>
      </w:r>
    </w:p>
    <w:p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rsidR="00FA4779" w:rsidRPr="00FA4779" w:rsidRDefault="00FA4779" w:rsidP="00FA4779">
      <w:pPr>
        <w:pStyle w:val="Standard"/>
        <w:rPr>
          <w:rFonts w:ascii="Abadi" w:hAnsi="Abadi"/>
          <w:sz w:val="20"/>
          <w:szCs w:val="20"/>
        </w:rPr>
      </w:pPr>
      <w:r>
        <w:rPr>
          <w:rFonts w:ascii="Abadi" w:hAnsi="Abadi"/>
          <w:sz w:val="20"/>
          <w:szCs w:val="20"/>
        </w:rPr>
        <w:lastRenderedPageBreak/>
        <w:t>Weapons and shields are a little harder to adjudicate, and it probably depends on the power… In general, blocking with a weapon or a shield is not permitted. (NOTE: I will think about this more.)</w:t>
      </w:r>
    </w:p>
    <w:p w:rsidR="00FA4779" w:rsidRPr="008D5466" w:rsidRDefault="00FA4779"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Each damage die has the property of Knock. By default, damage dice all have Knock(2), but certain powers modify this value.</w:t>
      </w:r>
    </w:p>
    <w:p w:rsidR="00E10B20" w:rsidRDefault="00E10B20" w:rsidP="00750AE7">
      <w:pPr>
        <w:pStyle w:val="Standard"/>
        <w:rPr>
          <w:rFonts w:ascii="Abadi" w:hAnsi="Abadi"/>
          <w:sz w:val="20"/>
          <w:szCs w:val="20"/>
        </w:rPr>
      </w:pPr>
      <w:r>
        <w:rPr>
          <w:rFonts w:ascii="Abadi" w:hAnsi="Abadi"/>
          <w:sz w:val="20"/>
          <w:szCs w:val="20"/>
        </w:rPr>
        <w:t>Knock(2)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If a single attack does ¼ or more of your hit points, you take a random impact effect based on the roll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r>
              <w:rPr>
                <w:rFonts w:ascii="Abadi" w:hAnsi="Abadi"/>
                <w:sz w:val="20"/>
                <w:szCs w:val="20"/>
              </w:rPr>
              <w:t>Winded(</w:t>
            </w:r>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r>
              <w:rPr>
                <w:rFonts w:ascii="Abadi" w:hAnsi="Abadi"/>
                <w:sz w:val="20"/>
                <w:szCs w:val="20"/>
              </w:rPr>
              <w:t>Bleed(1)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r>
              <w:rPr>
                <w:rFonts w:ascii="Abadi" w:hAnsi="Abadi"/>
                <w:sz w:val="20"/>
                <w:szCs w:val="20"/>
              </w:rPr>
              <w:t>Slow(</w:t>
            </w:r>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lastRenderedPageBreak/>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r>
              <w:rPr>
                <w:rFonts w:ascii="Abadi" w:hAnsi="Abadi"/>
                <w:sz w:val="20"/>
                <w:szCs w:val="20"/>
              </w:rPr>
              <w:t>Impair(1)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r>
              <w:rPr>
                <w:rFonts w:ascii="Abadi" w:hAnsi="Abadi"/>
                <w:sz w:val="20"/>
                <w:szCs w:val="20"/>
              </w:rPr>
              <w:t>Impair(2)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If there is no one with the ability to revive you, then you are defeated and at the mercy of your foes. However, if someone has the ability to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Thus, a 1 hex radius power affects a single hex. A 2 radius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lastRenderedPageBreak/>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 xml:space="preserve">Some effects have initial saving throws that allow their targets to avoid the effect entirely. These are listed as one or more stats. The DL for saving throws is 18 unless the power has been enhanced with Save DL +2. If </w:t>
      </w:r>
      <w:r>
        <w:rPr>
          <w:rFonts w:ascii="Abadi" w:hAnsi="Abadi"/>
          <w:sz w:val="20"/>
          <w:szCs w:val="20"/>
        </w:rPr>
        <w:lastRenderedPageBreak/>
        <w:t>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lastRenderedPageBreak/>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in the area of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Desolid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rsidTr="008F3EED">
        <w:tc>
          <w:tcPr>
            <w:tcW w:w="0" w:type="auto"/>
          </w:tcPr>
          <w:p w:rsidR="0078030D" w:rsidRDefault="0078030D" w:rsidP="008F3EED">
            <w:pPr>
              <w:rPr>
                <w:rFonts w:ascii="Abadi" w:hAnsi="Abadi"/>
                <w:sz w:val="20"/>
              </w:rPr>
            </w:pPr>
            <w:r>
              <w:rPr>
                <w:rFonts w:ascii="Abadi" w:hAnsi="Abadi"/>
                <w:sz w:val="20"/>
              </w:rPr>
              <w:t>Frozen</w:t>
            </w:r>
          </w:p>
        </w:tc>
        <w:tc>
          <w:tcPr>
            <w:tcW w:w="0" w:type="auto"/>
          </w:tcPr>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behaves similar to Stun.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believe you are taking action,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rsidTr="008F3EED">
        <w:tc>
          <w:tcPr>
            <w:tcW w:w="0" w:type="auto"/>
          </w:tcPr>
          <w:p w:rsidR="00730C52" w:rsidRDefault="00730C52" w:rsidP="008F3EED">
            <w:pPr>
              <w:rPr>
                <w:rFonts w:ascii="Abadi" w:hAnsi="Abadi"/>
                <w:sz w:val="20"/>
              </w:rPr>
            </w:pPr>
            <w:r>
              <w:rPr>
                <w:rFonts w:ascii="Abadi" w:hAnsi="Abadi"/>
                <w:sz w:val="20"/>
              </w:rPr>
              <w:lastRenderedPageBreak/>
              <w:t>Locked</w:t>
            </w:r>
          </w:p>
        </w:tc>
        <w:tc>
          <w:tcPr>
            <w:tcW w:w="0" w:type="auto"/>
          </w:tcPr>
          <w:p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attack other targets, but take -2 accuracy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rsidTr="008F3EED">
        <w:tc>
          <w:tcPr>
            <w:tcW w:w="0" w:type="auto"/>
          </w:tcPr>
          <w:p w:rsidR="00064E26" w:rsidRDefault="00064E26" w:rsidP="008F3EED">
            <w:pPr>
              <w:rPr>
                <w:rFonts w:ascii="Abadi" w:hAnsi="Abadi"/>
                <w:sz w:val="20"/>
              </w:rPr>
            </w:pPr>
            <w:r>
              <w:rPr>
                <w:rFonts w:ascii="Abadi" w:hAnsi="Abadi"/>
                <w:sz w:val="20"/>
              </w:rPr>
              <w:t>Wounded(x)</w:t>
            </w:r>
          </w:p>
        </w:tc>
        <w:tc>
          <w:tcPr>
            <w:tcW w:w="0" w:type="auto"/>
          </w:tcPr>
          <w:p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bookmarkStart w:id="0" w:name="_GoBack"/>
            <w:bookmarkEnd w:id="0"/>
          </w:p>
        </w:tc>
      </w:tr>
    </w:tbl>
    <w:p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64E26"/>
    <w:rsid w:val="00085087"/>
    <w:rsid w:val="000D375F"/>
    <w:rsid w:val="00135B7B"/>
    <w:rsid w:val="001553E7"/>
    <w:rsid w:val="001608A2"/>
    <w:rsid w:val="001C3A3C"/>
    <w:rsid w:val="00210C80"/>
    <w:rsid w:val="002507C9"/>
    <w:rsid w:val="002A5325"/>
    <w:rsid w:val="003744BA"/>
    <w:rsid w:val="00453E4D"/>
    <w:rsid w:val="00456330"/>
    <w:rsid w:val="00490FBC"/>
    <w:rsid w:val="00495766"/>
    <w:rsid w:val="00503E45"/>
    <w:rsid w:val="00521593"/>
    <w:rsid w:val="00576559"/>
    <w:rsid w:val="005A4EE3"/>
    <w:rsid w:val="005C1995"/>
    <w:rsid w:val="005C4B5B"/>
    <w:rsid w:val="005D0357"/>
    <w:rsid w:val="005D36A1"/>
    <w:rsid w:val="0060207A"/>
    <w:rsid w:val="0061467F"/>
    <w:rsid w:val="00730C52"/>
    <w:rsid w:val="007318B4"/>
    <w:rsid w:val="00734014"/>
    <w:rsid w:val="00750AE7"/>
    <w:rsid w:val="007560A7"/>
    <w:rsid w:val="0076718E"/>
    <w:rsid w:val="0078030D"/>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7D32"/>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27</cp:revision>
  <dcterms:created xsi:type="dcterms:W3CDTF">2019-07-19T18:36:00Z</dcterms:created>
  <dcterms:modified xsi:type="dcterms:W3CDTF">2019-08-22T14:22:00Z</dcterms:modified>
</cp:coreProperties>
</file>