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404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814048" w:rsidRPr="00394265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814048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4048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814048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814048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814048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814048" w:rsidRPr="008F377E" w:rsidRDefault="00814048" w:rsidP="0081404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814048" w:rsidRPr="00E67C06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CF0CB6" w:rsidRDefault="00CF0CB6" w:rsidP="00CF0CB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0CB6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0CB6" w:rsidRPr="0013276F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0CB6" w:rsidRPr="00D75EB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2"/>
      <w:tr w:rsidR="00CF0CB6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0CB6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CF0CB6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F0CB6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CF0CB6" w:rsidRPr="008F377E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CF0CB6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CF0CB6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CF0CB6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4500B4"/>
    <w:rsid w:val="00450E24"/>
    <w:rsid w:val="00457EAA"/>
    <w:rsid w:val="00460DFB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2019-08-17T21:48:00Z</dcterms:modified>
</cp:coreProperties>
</file>