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482E3AD3" w:rsidR="00C6592E" w:rsidRPr="00C6592E" w:rsidRDefault="00C6592E" w:rsidP="00C6592E">
            <w:pPr>
              <w:jc w:val="both"/>
              <w:rPr>
                <w:rFonts w:ascii="Abadi" w:hAnsi="Abadi"/>
                <w:sz w:val="18"/>
                <w:szCs w:val="18"/>
              </w:rPr>
            </w:pPr>
            <w:r>
              <w:rPr>
                <w:rFonts w:ascii="Abadi" w:hAnsi="Abadi"/>
                <w:sz w:val="18"/>
                <w:szCs w:val="18"/>
              </w:rPr>
              <w:t>This power sends out a visible 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lastRenderedPageBreak/>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538AAB4B" w:rsidR="00C351C7" w:rsidRPr="00D06ED8" w:rsidRDefault="00C351C7" w:rsidP="00C351C7">
            <w:pPr>
              <w:jc w:val="both"/>
              <w:rPr>
                <w:rFonts w:ascii="Abadi" w:hAnsi="Abadi"/>
                <w:sz w:val="18"/>
                <w:szCs w:val="18"/>
              </w:rPr>
            </w:pPr>
            <w:r w:rsidRPr="00D06ED8">
              <w:rPr>
                <w:rFonts w:ascii="Abadi" w:hAnsi="Abadi"/>
                <w:sz w:val="18"/>
                <w:szCs w:val="18"/>
              </w:rPr>
              <w:t>If this power is active, you may use your Block combat skill to dodge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75B2D20D" w14:textId="7123B124" w:rsidR="000215C7" w:rsidRP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lastRenderedPageBreak/>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w:t>
            </w:r>
            <w:r>
              <w:rPr>
                <w:rFonts w:ascii="Abadi" w:hAnsi="Abadi"/>
                <w:sz w:val="18"/>
                <w:szCs w:val="18"/>
              </w:rPr>
              <w:t>jump</w:t>
            </w:r>
            <w:r>
              <w:rPr>
                <w:rFonts w:ascii="Abadi" w:hAnsi="Abadi"/>
                <w:sz w:val="18"/>
                <w:szCs w:val="18"/>
              </w:rPr>
              <w:t xml:space="preserve"> the listed distance in a combat round, or a </w:t>
            </w:r>
            <w:r>
              <w:rPr>
                <w:rFonts w:ascii="Abadi" w:hAnsi="Abadi"/>
                <w:b/>
                <w:bCs/>
                <w:i/>
                <w:iCs/>
                <w:sz w:val="18"/>
                <w:szCs w:val="18"/>
              </w:rPr>
              <w:t>Half Move</w:t>
            </w:r>
            <w:r>
              <w:rPr>
                <w:rFonts w:ascii="Abadi" w:hAnsi="Abadi"/>
                <w:sz w:val="18"/>
                <w:szCs w:val="18"/>
              </w:rPr>
              <w:t xml:space="preserve"> to </w:t>
            </w:r>
            <w:r>
              <w:rPr>
                <w:rFonts w:ascii="Abadi" w:hAnsi="Abadi"/>
                <w:sz w:val="18"/>
                <w:szCs w:val="18"/>
              </w:rPr>
              <w:t>jump</w:t>
            </w:r>
            <w:r>
              <w:rPr>
                <w:rFonts w:ascii="Abadi" w:hAnsi="Abadi"/>
                <w:sz w:val="18"/>
                <w:szCs w:val="18"/>
              </w:rPr>
              <w:t xml:space="preserve"> half the listed distance (rounded up). </w:t>
            </w:r>
            <w:r>
              <w:rPr>
                <w:rFonts w:ascii="Abadi" w:hAnsi="Abadi"/>
                <w:sz w:val="18"/>
                <w:szCs w:val="18"/>
              </w:rPr>
              <w:t>Jump</w:t>
            </w:r>
            <w:r>
              <w:rPr>
                <w:rFonts w:ascii="Abadi" w:hAnsi="Abadi"/>
                <w:sz w:val="18"/>
                <w:szCs w:val="18"/>
              </w:rPr>
              <w:t xml:space="preserve"> effects do not stack, only your highest </w:t>
            </w:r>
            <w:r>
              <w:rPr>
                <w:rFonts w:ascii="Abadi" w:hAnsi="Abadi"/>
                <w:sz w:val="18"/>
                <w:szCs w:val="18"/>
              </w:rPr>
              <w:t>Jump</w:t>
            </w:r>
            <w:r>
              <w:rPr>
                <w:rFonts w:ascii="Abadi" w:hAnsi="Abadi"/>
                <w:sz w:val="18"/>
                <w:szCs w:val="18"/>
              </w:rPr>
              <w:t xml:space="preserve">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lastRenderedPageBreak/>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lastRenderedPageBreak/>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lastRenderedPageBreak/>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lastRenderedPageBreak/>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870A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E24F3"/>
    <w:rsid w:val="000E3672"/>
    <w:rsid w:val="000F5BEB"/>
    <w:rsid w:val="00140241"/>
    <w:rsid w:val="001665BC"/>
    <w:rsid w:val="00173DDA"/>
    <w:rsid w:val="0020153D"/>
    <w:rsid w:val="002159E1"/>
    <w:rsid w:val="002578F8"/>
    <w:rsid w:val="00290463"/>
    <w:rsid w:val="00293B33"/>
    <w:rsid w:val="002B5C80"/>
    <w:rsid w:val="002C18C6"/>
    <w:rsid w:val="002E73CC"/>
    <w:rsid w:val="003427EA"/>
    <w:rsid w:val="0034529A"/>
    <w:rsid w:val="003B0885"/>
    <w:rsid w:val="003B3FDD"/>
    <w:rsid w:val="003B4361"/>
    <w:rsid w:val="003B57C1"/>
    <w:rsid w:val="003F6955"/>
    <w:rsid w:val="00405CBB"/>
    <w:rsid w:val="004262F3"/>
    <w:rsid w:val="004576F0"/>
    <w:rsid w:val="00491767"/>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42B91"/>
    <w:rsid w:val="00993DB9"/>
    <w:rsid w:val="009B6A49"/>
    <w:rsid w:val="009C7E3C"/>
    <w:rsid w:val="009D0031"/>
    <w:rsid w:val="009F015C"/>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C3EFB"/>
    <w:rsid w:val="00BE7402"/>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77DD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20</cp:revision>
  <dcterms:created xsi:type="dcterms:W3CDTF">2022-05-30T01:54:00Z</dcterms:created>
  <dcterms:modified xsi:type="dcterms:W3CDTF">2022-05-31T18:44:00Z</dcterms:modified>
</cp:coreProperties>
</file>