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737360" cy="675361"/>
            <wp:docPr id="1" name="Picture 1"/>
            <wp:cNvGraphicFramePr>
              <a:graphicFrameLocks noChangeAspect="1"/>
            </wp:cNvGraphicFramePr>
            <a:graphic>
              <a:graphicData uri="http://schemas.openxmlformats.org/drawingml/2006/picture">
                <pic:pic>
                  <pic:nvPicPr>
                    <pic:cNvPr id="0" name="logo-horizontal-trans.png"/>
                    <pic:cNvPicPr/>
                  </pic:nvPicPr>
                  <pic:blipFill>
                    <a:blip r:embed="rId9"/>
                    <a:stretch>
                      <a:fillRect/>
                    </a:stretch>
                  </pic:blipFill>
                  <pic:spPr>
                    <a:xfrm>
                      <a:off x="0" y="0"/>
                      <a:ext cx="1737360" cy="675361"/>
                    </a:xfrm>
                    <a:prstGeom prst="rect"/>
                  </pic:spPr>
                </pic:pic>
              </a:graphicData>
            </a:graphic>
          </wp:inline>
        </w:drawing>
      </w:r>
    </w:p>
    <w:p>
      <w:pPr>
        <w:spacing w:after="160"/>
        <w:pBdr>
          <w:bottom w:val="single" w:sz="8" w:space="1" w:color="0A1128"/>
        </w:pBdr>
      </w:pPr>
    </w:p>
    <w:p>
      <w:pPr>
        <w:spacing w:before="40" w:after="40"/>
      </w:pPr>
      <w:r>
        <w:rPr>
          <w:b/>
          <w:color w:val="0A1128"/>
          <w:sz w:val="40"/>
        </w:rPr>
        <w:t>Articles of Association</w:t>
      </w:r>
    </w:p>
    <w:p>
      <w:pPr>
        <w:spacing w:after="80"/>
      </w:pPr>
      <w:r>
        <w:rPr>
          <w:b w:val="0"/>
          <w:color w:val="4B5566"/>
          <w:sz w:val="24"/>
        </w:rPr>
        <w:t>of NH Digital Future PAC</w:t>
      </w:r>
    </w:p>
    <w:p>
      <w:pPr>
        <w:spacing w:after="240"/>
      </w:pPr>
      <w:r>
        <w:rPr>
          <w:b w:val="0"/>
          <w:color w:val="4B5566"/>
          <w:sz w:val="20"/>
        </w:rPr>
        <w:t>Adopted April 29, 2026</w:t>
      </w:r>
    </w:p>
    <w:p>
      <w:pPr>
        <w:spacing w:after="240"/>
      </w:pPr>
      <w:r>
        <w:rPr>
          <w:b w:val="0"/>
          <w:sz w:val="22"/>
        </w:rPr>
        <w:t>These Articles of Association set forth the internal governing rules of NH Digital Future PAC (the "Committee"), an unincorporated political committee organized under New Hampshire RSA 664. These Articles operate together with the Committee's Memorandum of Association and supersede any prior internal rules.</w:t>
      </w:r>
    </w:p>
    <w:p>
      <w:pPr>
        <w:spacing w:before="160" w:after="40"/>
      </w:pPr>
      <w:r>
        <w:rPr>
          <w:b/>
          <w:color w:val="0A1128"/>
          <w:sz w:val="24"/>
        </w:rPr>
        <w:t>Article I — Name and Office</w:t>
      </w:r>
    </w:p>
    <w:p>
      <w:pPr>
        <w:spacing w:after="80"/>
      </w:pPr>
      <w:r>
        <w:rPr>
          <w:b w:val="0"/>
          <w:sz w:val="22"/>
        </w:rPr>
        <w:t>The name of the Committee is NH Digital Future PAC. The principal office of the Committee is at 248 Carley Road, Peterborough, New Hampshire 03458, and may be relocated by action of the Chair upon notice filed with the New Hampshire Secretary of State.</w:t>
      </w:r>
    </w:p>
    <w:p>
      <w:pPr>
        <w:spacing w:before="160" w:after="40"/>
      </w:pPr>
      <w:r>
        <w:rPr>
          <w:b/>
          <w:color w:val="0A1128"/>
          <w:sz w:val="24"/>
        </w:rPr>
        <w:t>Article II — Purposes</w:t>
      </w:r>
    </w:p>
    <w:p>
      <w:pPr>
        <w:spacing w:after="80"/>
      </w:pPr>
      <w:r>
        <w:rPr>
          <w:b w:val="0"/>
          <w:sz w:val="22"/>
        </w:rPr>
        <w:t>The Committee is organized to support candidates for public office in New Hampshire — regardless of political party — who support sound policy on digital property, blockchain, financial privacy, and the right of New Hampshire residents to build and use emerging technology, and to engage in related lawful political activity. The full statement of purpose is set forth in the Committee's Memorandum of Association.</w:t>
      </w:r>
    </w:p>
    <w:p>
      <w:pPr>
        <w:spacing w:before="160" w:after="40"/>
      </w:pPr>
      <w:r>
        <w:rPr>
          <w:b/>
          <w:color w:val="0A1128"/>
          <w:sz w:val="24"/>
        </w:rPr>
        <w:t>Article III — Members</w:t>
      </w:r>
    </w:p>
    <w:p>
      <w:pPr>
        <w:spacing w:after="80"/>
      </w:pPr>
      <w:r>
        <w:rPr>
          <w:b w:val="0"/>
          <w:sz w:val="22"/>
        </w:rPr>
        <w:t>The Committee has no members. Donors, supporters, volunteers, and endorsed candidates are not members of the Committee and do not, by reason of their support, acquire any voting or governance rights with respect to the Committee.</w:t>
      </w:r>
    </w:p>
    <w:p>
      <w:pPr>
        <w:spacing w:before="160" w:after="40"/>
      </w:pPr>
      <w:r>
        <w:rPr>
          <w:b/>
          <w:color w:val="0A1128"/>
          <w:sz w:val="24"/>
        </w:rPr>
        <w:t>Article IV — Officers</w:t>
      </w:r>
    </w:p>
    <w:p>
      <w:pPr>
        <w:spacing w:after="80"/>
      </w:pPr>
      <w:r>
        <w:rPr>
          <w:b w:val="0"/>
          <w:sz w:val="22"/>
        </w:rPr>
        <w:t>The officers of the Committee shall be a Chair and a Treasurer. The same individual may serve in both offices unless separation is required by law. Officers serve until they resign, are removed, or their successor takes office. The initial Chair and Treasurer is Christopher Maidment.</w:t>
      </w:r>
    </w:p>
    <w:p>
      <w:pPr>
        <w:spacing w:before="160" w:after="40"/>
      </w:pPr>
      <w:r>
        <w:rPr>
          <w:b/>
          <w:color w:val="0A1128"/>
          <w:sz w:val="24"/>
        </w:rPr>
        <w:t>Article V — Authority of the Chair</w:t>
      </w:r>
    </w:p>
    <w:p>
      <w:pPr>
        <w:spacing w:after="80"/>
      </w:pPr>
      <w:r>
        <w:rPr>
          <w:b w:val="0"/>
          <w:sz w:val="22"/>
        </w:rPr>
        <w:t>The Chair is the chief officer of the Committee and has full authority to act on its behalf, including without limitation the authority to: (a) accept and refuse contributions; (b) make contributions to candidates and political committees; (c) authorize expenditures; (d) open, operate, and close financial and merchant accounts in the Committee's name; (e) sign contracts and instruments; (f) hire and compensate staff, vendors, counsel, and advisors; (g) endorse candidates; (h) speak publicly on behalf of the Committee; and (i) appoint and remove other officers. The Chair may delegate any of these powers in writing.</w:t>
      </w:r>
    </w:p>
    <w:p>
      <w:pPr>
        <w:spacing w:before="160" w:after="40"/>
      </w:pPr>
      <w:r>
        <w:rPr>
          <w:b/>
          <w:color w:val="0A1128"/>
          <w:sz w:val="24"/>
        </w:rPr>
        <w:t>Article VI — Authority of the Treasurer</w:t>
      </w:r>
    </w:p>
    <w:p>
      <w:pPr>
        <w:spacing w:after="80"/>
      </w:pPr>
      <w:r>
        <w:rPr>
          <w:b w:val="0"/>
          <w:sz w:val="22"/>
        </w:rPr>
        <w:t>The Treasurer is responsible for the Committee's financial recordkeeping and for the timely filing of reports required by New Hampshire RSA 664 and applicable federal law. The Treasurer may co-sign disbursements and shall countersign any check or transfer above a threshold set by the Chair from time to time. If the offices of Chair and Treasurer are held by the same individual, the dual-signature requirement is satisfied by that individual's signature alone.</w:t>
      </w:r>
    </w:p>
    <w:p>
      <w:pPr>
        <w:spacing w:before="160" w:after="40"/>
      </w:pPr>
      <w:r>
        <w:rPr>
          <w:b/>
          <w:color w:val="0A1128"/>
          <w:sz w:val="24"/>
        </w:rPr>
        <w:t>Article VII — Decision-making</w:t>
      </w:r>
    </w:p>
    <w:p>
      <w:pPr>
        <w:spacing w:after="80"/>
      </w:pPr>
      <w:r>
        <w:rPr>
          <w:b w:val="0"/>
          <w:sz w:val="22"/>
        </w:rPr>
        <w:t>Decisions of the Committee are made by the Chair. The Chair may, but is not required to, consult an advisory body of supporters or counsel. No vote, quorum, or written consent of any other person is required for any action taken by the Chair within the scope of the authority set forth in these Articles.</w:t>
      </w:r>
    </w:p>
    <w:p>
      <w:pPr>
        <w:spacing w:before="160" w:after="40"/>
      </w:pPr>
      <w:r>
        <w:rPr>
          <w:b/>
          <w:color w:val="0A1128"/>
          <w:sz w:val="24"/>
        </w:rPr>
        <w:t>Article VIII — Banking and payment processing</w:t>
      </w:r>
    </w:p>
    <w:p>
      <w:pPr>
        <w:spacing w:after="80"/>
      </w:pPr>
      <w:r>
        <w:rPr>
          <w:b w:val="0"/>
          <w:sz w:val="22"/>
        </w:rPr>
        <w:t>The Committee shall maintain at least one operating bank account in its legal name. As of the date of these Articles the Committee maintains a business checking account at TD Bank, N.A. (Concord, New Hampshire). The Committee may also maintain merchant processing accounts (including Stripe, BitPay, or other lawful processors) for the acceptance of card and digital-asset contributions. The Chair is the authorized signer and agent for all such accounts.</w:t>
      </w:r>
    </w:p>
    <w:p>
      <w:pPr>
        <w:spacing w:before="160" w:after="40"/>
      </w:pPr>
      <w:r>
        <w:rPr>
          <w:b/>
          <w:color w:val="0A1128"/>
          <w:sz w:val="24"/>
        </w:rPr>
        <w:t>Article IX — Contributions</w:t>
      </w:r>
    </w:p>
    <w:p>
      <w:pPr>
        <w:spacing w:after="80"/>
      </w:pPr>
      <w:r>
        <w:rPr>
          <w:b w:val="0"/>
          <w:sz w:val="22"/>
        </w:rPr>
        <w:t>The Committee accepts contributions in U.S. dollars and in Bitcoin. Contributions in digital assets shall be valued at the spot rate at the time of receipt and reported the same way as cash contributions. The Committee shall not knowingly accept: (a) contributions from foreign nationals; (b) contributions from corporate treasuries earmarked for specific candidates or specific ballot questions; (c) anonymous contributions above the threshold set by RSA 664; or (d) any contribution prohibited by applicable law. Improper contributions shall be returned to the donor or transferred to the United States Treasury as required by law.</w:t>
      </w:r>
    </w:p>
    <w:p>
      <w:pPr>
        <w:spacing w:before="160" w:after="40"/>
      </w:pPr>
      <w:r>
        <w:rPr>
          <w:b/>
          <w:color w:val="0A1128"/>
          <w:sz w:val="24"/>
        </w:rPr>
        <w:t>Article X — Books, records, and reports</w:t>
      </w:r>
    </w:p>
    <w:p>
      <w:pPr>
        <w:spacing w:after="80"/>
      </w:pPr>
      <w:r>
        <w:rPr>
          <w:b w:val="0"/>
          <w:sz w:val="22"/>
        </w:rPr>
        <w:t>The Committee shall maintain accurate books and records of all contributions and expenditures sufficient to comply with RSA 664 and Section 527 of the Internal Revenue Code. The Committee shall file with the New Hampshire Secretary of State all reports required by law and shall make any additional disclosures required by federal tax law. The fiscal year of the Committee is the calendar year.</w:t>
      </w:r>
    </w:p>
    <w:p>
      <w:pPr>
        <w:spacing w:before="160" w:after="40"/>
      </w:pPr>
      <w:r>
        <w:rPr>
          <w:b/>
          <w:color w:val="0A1128"/>
          <w:sz w:val="24"/>
        </w:rPr>
        <w:t>Article XI — Compliance</w:t>
      </w:r>
    </w:p>
    <w:p>
      <w:pPr>
        <w:spacing w:after="80"/>
      </w:pPr>
      <w:r>
        <w:rPr>
          <w:b w:val="0"/>
          <w:sz w:val="22"/>
        </w:rPr>
        <w:t>The Committee shall comply with all applicable provisions of New Hampshire RSA 664 and Section 527 of the Internal Revenue Code, including registration, recordkeeping, disclosure, and reporting requirements. No officer or agent of the Committee may waive any such requirement.</w:t>
      </w:r>
    </w:p>
    <w:p>
      <w:pPr>
        <w:spacing w:before="160" w:after="40"/>
      </w:pPr>
      <w:r>
        <w:rPr>
          <w:b/>
          <w:color w:val="0A1128"/>
          <w:sz w:val="24"/>
        </w:rPr>
        <w:t>Article XII — Conflicts of interest</w:t>
      </w:r>
    </w:p>
    <w:p>
      <w:pPr>
        <w:spacing w:after="80"/>
      </w:pPr>
      <w:r>
        <w:rPr>
          <w:b w:val="0"/>
          <w:sz w:val="22"/>
        </w:rPr>
        <w:t>Officers shall not use their position to obtain personal benefit beyond reasonable compensation for services actually rendered. Any contract or arrangement between the Committee and an officer (or an entity in which an officer has a material interest) shall be on arm's-length terms and shall be disclosed in the Committee's books and records.</w:t>
      </w:r>
    </w:p>
    <w:p>
      <w:pPr>
        <w:spacing w:before="160" w:after="40"/>
      </w:pPr>
      <w:r>
        <w:rPr>
          <w:b/>
          <w:color w:val="0A1128"/>
          <w:sz w:val="24"/>
        </w:rPr>
        <w:t>Article XIII — Indemnification</w:t>
      </w:r>
    </w:p>
    <w:p>
      <w:pPr>
        <w:spacing w:after="80"/>
      </w:pPr>
      <w:r>
        <w:rPr>
          <w:b w:val="0"/>
          <w:sz w:val="22"/>
        </w:rPr>
        <w:t>To the fullest extent permitted by law, the Committee shall indemnify any officer or agent of the Committee against expenses actually and reasonably incurred in connection with any action, suit, or proceeding to which such person is made a party by reason of being an officer or agent of the Committee, except in matters as to which such person is finally adjudged to have acted with willful misconduct or in violation of law.</w:t>
      </w:r>
    </w:p>
    <w:p>
      <w:pPr>
        <w:spacing w:before="160" w:after="40"/>
      </w:pPr>
      <w:r>
        <w:rPr>
          <w:b/>
          <w:color w:val="0A1128"/>
          <w:sz w:val="24"/>
        </w:rPr>
        <w:t>Article XIV — Amendments</w:t>
      </w:r>
    </w:p>
    <w:p>
      <w:pPr>
        <w:spacing w:after="80"/>
      </w:pPr>
      <w:r>
        <w:rPr>
          <w:b w:val="0"/>
          <w:sz w:val="22"/>
        </w:rPr>
        <w:t>These Articles may be amended at any time by written instrument signed by the Chair. Amendments take effect on the date stated in the instrument.</w:t>
      </w:r>
    </w:p>
    <w:p>
      <w:pPr>
        <w:spacing w:before="160" w:after="40"/>
      </w:pPr>
      <w:r>
        <w:rPr>
          <w:b/>
          <w:color w:val="0A1128"/>
          <w:sz w:val="24"/>
        </w:rPr>
        <w:t>Article XV — Dissolution</w:t>
      </w:r>
    </w:p>
    <w:p>
      <w:pPr>
        <w:spacing w:after="80"/>
      </w:pPr>
      <w:r>
        <w:rPr>
          <w:b w:val="0"/>
          <w:sz w:val="22"/>
        </w:rPr>
        <w:t>The Committee may be dissolved by written instrument signed by the Chair. Upon dissolution, after payment of or provision for all liabilities of the Committee, any remaining assets shall be distributed in accordance with applicable law to one or more political committees, candidates, or other lawful organizations consistent with the purposes of the Committee, as the Chair shall determine.</w:t>
      </w:r>
    </w:p>
    <w:p>
      <w:pPr>
        <w:spacing w:after="360"/>
      </w:pPr>
      <w:r>
        <w:rPr>
          <w:b w:val="0"/>
          <w:sz w:val="8"/>
        </w:rPr>
        <w:t xml:space="preserve"> </w:t>
      </w:r>
    </w:p>
    <w:p>
      <w:pPr>
        <w:spacing w:after="840"/>
      </w:pPr>
      <w:r>
        <w:rPr>
          <w:b w:val="0"/>
          <w:sz w:val="22"/>
        </w:rPr>
        <w:t>Adopted by the Chair of NH Digital Future PAC:</w:t>
      </w:r>
    </w:p>
    <w:p>
      <w:pPr>
        <w:spacing w:after="40"/>
        <w:pBdr>
          <w:top w:val="single" w:sz="6" w:space="1" w:color="0A1128"/>
        </w:pBdr>
      </w:pPr>
      <w:r>
        <w:rPr>
          <w:b/>
          <w:color w:val="0A1128"/>
          <w:sz w:val="22"/>
        </w:rPr>
        <w:t>Christopher Maidment, Chair</w:t>
      </w:r>
    </w:p>
    <w:p>
      <w:r>
        <w:rPr>
          <w:color w:val="4B5566"/>
          <w:sz w:val="20"/>
        </w:rPr>
        <w:t>NH Digital Future PAC  ·  April 29, 2026</w:t>
      </w:r>
    </w:p>
    <w:sectPr w:rsidR="00FC693F" w:rsidRPr="0006063C" w:rsidSect="00034616">
      <w:footerReference w:type="default" r:id="rId10"/>
      <w:pgSz w:w="12240" w:h="15840"/>
      <w:pgMar w:top="864"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6"/>
        <w:sz w:val="16"/>
      </w:rPr>
      <w:t>Paid for by NH Digital Future PAC, 248 Carley Road, Peterborough, NH 03458. Chris Maidment, Chair. Not authorized by any candidate or candidate's committee. Contributions are not tax deductible.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