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drawing>
          <wp:inline xmlns:a="http://schemas.openxmlformats.org/drawingml/2006/main" xmlns:pic="http://schemas.openxmlformats.org/drawingml/2006/picture">
            <wp:extent cx="1828800" cy="710906"/>
            <wp:docPr id="1" name="Picture 1"/>
            <wp:cNvGraphicFramePr>
              <a:graphicFrameLocks noChangeAspect="1"/>
            </wp:cNvGraphicFramePr>
            <a:graphic>
              <a:graphicData uri="http://schemas.openxmlformats.org/drawingml/2006/picture">
                <pic:pic>
                  <pic:nvPicPr>
                    <pic:cNvPr id="0" name="logo-horizontal-trans.png"/>
                    <pic:cNvPicPr/>
                  </pic:nvPicPr>
                  <pic:blipFill>
                    <a:blip r:embed="rId9"/>
                    <a:stretch>
                      <a:fillRect/>
                    </a:stretch>
                  </pic:blipFill>
                  <pic:spPr>
                    <a:xfrm>
                      <a:off x="0" y="0"/>
                      <a:ext cx="1828800" cy="710906"/>
                    </a:xfrm>
                    <a:prstGeom prst="rect"/>
                  </pic:spPr>
                </pic:pic>
              </a:graphicData>
            </a:graphic>
          </wp:inline>
        </w:drawing>
      </w:r>
    </w:p>
    <w:p>
      <w:pPr>
        <w:spacing w:after="160"/>
        <w:pBdr>
          <w:bottom w:val="single" w:sz="8" w:space="1" w:color="0A1128"/>
        </w:pBdr>
      </w:pPr>
    </w:p>
    <w:p>
      <w:pPr>
        <w:spacing w:after="160"/>
      </w:pPr>
      <w:r>
        <w:rPr>
          <w:b w:val="0"/>
          <w:color w:val="4B5566"/>
          <w:sz w:val="20"/>
        </w:rPr>
        <w:t>April 29, 2026</w:t>
      </w:r>
    </w:p>
    <w:p>
      <w:pPr>
        <w:spacing w:after="120"/>
      </w:pPr>
      <w:r>
        <w:rPr>
          <w:b/>
          <w:sz w:val="22"/>
        </w:rPr>
        <w:t>To Whom It May Concern:</w:t>
      </w:r>
    </w:p>
    <w:p>
      <w:pPr>
        <w:spacing w:after="120"/>
      </w:pPr>
      <w:r>
        <w:rPr>
          <w:b w:val="0"/>
          <w:sz w:val="20"/>
        </w:rPr>
        <w:t>Thank you for taking a moment with this letter. Digital Future NH PAC is a newly registered, non-partisan New Hampshire political action committee. We raise money, endorse New Hampshire candidates, and contribute to candidates who defend digital property, financial privacy, and the right of New Hampshire residents to build and use new technology.</w:t>
      </w:r>
    </w:p>
    <w:p>
      <w:pPr>
        <w:spacing w:after="120"/>
      </w:pPr>
      <w:r>
        <w:rPr>
          <w:b w:val="0"/>
          <w:sz w:val="20"/>
        </w:rPr>
        <w:t>We are organized under New Hampshire RSA 664 and report contributions to the New Hampshire Secretary of State at the thresholds the law requires. We accept contributions in U.S. dollars and in Bitcoin, with crypto contributions valued at the spot rate at time of receipt and reported the same way as cash.</w:t>
      </w:r>
    </w:p>
    <w:p>
      <w:pPr>
        <w:spacing w:before="80" w:after="40"/>
      </w:pPr>
      <w:r>
        <w:rPr>
          <w:b/>
          <w:color w:val="0A1128"/>
          <w:sz w:val="22"/>
        </w:rPr>
        <w:t>What we are working on</w:t>
      </w:r>
    </w:p>
    <w:p>
      <w:pPr>
        <w:spacing w:after="120"/>
      </w:pPr>
      <w:r>
        <w:rPr>
          <w:b w:val="0"/>
          <w:sz w:val="20"/>
        </w:rPr>
        <w:t>New Hampshire is already the strongest state in the country on digital-asset policy. It was the first state to enact a Strategic Bitcoin Reserve law (HB 302, 2025, Chapter 4) and the first to grant decentralized autonomous organizations legal personhood through a permissionless-blockchain registry (RSA 301-B:14, effective July 2025). Our job is to help keep that ground — by endorsing and contributing to candidates from any party who will defend self-custody, oppose central bank digital currencies, protect the right to mine and run nodes, and recognize smart contracts under state contract law.</w:t>
      </w:r>
    </w:p>
    <w:p>
      <w:pPr>
        <w:spacing w:before="80" w:after="40"/>
      </w:pPr>
      <w:r>
        <w:rPr>
          <w:b/>
          <w:color w:val="0A1128"/>
          <w:sz w:val="22"/>
        </w:rPr>
        <w:t>PAC information</w:t>
      </w:r>
    </w:p>
    <w:tbl>
      <w:tblPr>
        <w:tblW w:type="auto" w:w="0"/>
        <w:tblLayout w:type="fixed"/>
        <w:tblLook w:firstColumn="1" w:firstRow="1" w:lastColumn="0" w:lastRow="0" w:noHBand="0" w:noVBand="1" w:val="04A0"/>
      </w:tblPr>
      <w:tblGrid>
        <w:gridCol w:w="2880"/>
        <w:gridCol w:w="6768"/>
      </w:tblGrid>
      <w:tr>
        <w:tc>
          <w:tcPr>
            <w:tcW w:type="dxa" w:w="2880"/>
          </w:tcPr>
          <w:p>
            <w:pPr>
              <w:spacing w:after="0"/>
            </w:pPr>
            <w:r>
              <w:rPr>
                <w:b/>
                <w:color w:val="0A1128"/>
                <w:sz w:val="19"/>
              </w:rPr>
              <w:t>Committee name</w:t>
            </w:r>
          </w:p>
        </w:tc>
        <w:tc>
          <w:tcPr>
            <w:tcW w:type="dxa" w:w="6768"/>
          </w:tcPr>
          <w:p>
            <w:pPr>
              <w:spacing w:after="0"/>
            </w:pPr>
            <w:r>
              <w:rPr>
                <w:color w:val="0A1128"/>
                <w:sz w:val="19"/>
              </w:rPr>
              <w:t>Digital Future NH PAC</w:t>
            </w:r>
          </w:p>
        </w:tc>
      </w:tr>
      <w:tr>
        <w:tc>
          <w:tcPr>
            <w:tcW w:type="dxa" w:w="2880"/>
          </w:tcPr>
          <w:p>
            <w:pPr>
              <w:spacing w:after="0"/>
            </w:pPr>
            <w:r>
              <w:rPr>
                <w:b/>
                <w:color w:val="0A1128"/>
                <w:sz w:val="19"/>
              </w:rPr>
              <w:t>State of registration</w:t>
            </w:r>
          </w:p>
        </w:tc>
        <w:tc>
          <w:tcPr>
            <w:tcW w:type="dxa" w:w="6768"/>
          </w:tcPr>
          <w:p>
            <w:pPr>
              <w:spacing w:after="0"/>
            </w:pPr>
            <w:r>
              <w:rPr>
                <w:color w:val="0A1128"/>
                <w:sz w:val="19"/>
              </w:rPr>
              <w:t>New Hampshire (RSA 664)</w:t>
            </w:r>
          </w:p>
        </w:tc>
      </w:tr>
      <w:tr>
        <w:tc>
          <w:tcPr>
            <w:tcW w:type="dxa" w:w="2880"/>
          </w:tcPr>
          <w:p>
            <w:pPr>
              <w:spacing w:after="0"/>
            </w:pPr>
            <w:r>
              <w:rPr>
                <w:b/>
                <w:color w:val="0A1128"/>
                <w:sz w:val="19"/>
              </w:rPr>
              <w:t>EIN</w:t>
            </w:r>
          </w:p>
        </w:tc>
        <w:tc>
          <w:tcPr>
            <w:tcW w:type="dxa" w:w="6768"/>
          </w:tcPr>
          <w:p>
            <w:pPr>
              <w:spacing w:after="0"/>
            </w:pPr>
            <w:r>
              <w:rPr>
                <w:color w:val="0A1128"/>
                <w:sz w:val="19"/>
              </w:rPr>
              <w:t>42-2221221</w:t>
            </w:r>
          </w:p>
        </w:tc>
      </w:tr>
      <w:tr>
        <w:tc>
          <w:tcPr>
            <w:tcW w:type="dxa" w:w="2880"/>
          </w:tcPr>
          <w:p>
            <w:pPr>
              <w:spacing w:after="0"/>
            </w:pPr>
            <w:r>
              <w:rPr>
                <w:b/>
                <w:color w:val="0A1128"/>
                <w:sz w:val="19"/>
              </w:rPr>
              <w:t>Mailing address</w:t>
            </w:r>
          </w:p>
        </w:tc>
        <w:tc>
          <w:tcPr>
            <w:tcW w:type="dxa" w:w="6768"/>
          </w:tcPr>
          <w:p>
            <w:pPr>
              <w:spacing w:after="0"/>
            </w:pPr>
            <w:r>
              <w:rPr>
                <w:color w:val="0A1128"/>
                <w:sz w:val="19"/>
              </w:rPr>
              <w:t>248 Carley Road, Peterborough, NH 03458</w:t>
            </w:r>
          </w:p>
        </w:tc>
      </w:tr>
      <w:tr>
        <w:tc>
          <w:tcPr>
            <w:tcW w:type="dxa" w:w="2880"/>
          </w:tcPr>
          <w:p>
            <w:pPr>
              <w:spacing w:after="0"/>
            </w:pPr>
            <w:r>
              <w:rPr>
                <w:b/>
                <w:color w:val="0A1128"/>
                <w:sz w:val="19"/>
              </w:rPr>
              <w:t>Chair</w:t>
            </w:r>
          </w:p>
        </w:tc>
        <w:tc>
          <w:tcPr>
            <w:tcW w:type="dxa" w:w="6768"/>
          </w:tcPr>
          <w:p>
            <w:pPr>
              <w:spacing w:after="0"/>
            </w:pPr>
            <w:r>
              <w:rPr>
                <w:color w:val="0A1128"/>
                <w:sz w:val="19"/>
              </w:rPr>
              <w:t>Christopher Maidment</w:t>
            </w:r>
          </w:p>
        </w:tc>
      </w:tr>
      <w:tr>
        <w:tc>
          <w:tcPr>
            <w:tcW w:type="dxa" w:w="2880"/>
          </w:tcPr>
          <w:p>
            <w:pPr>
              <w:spacing w:after="0"/>
            </w:pPr>
            <w:r>
              <w:rPr>
                <w:b/>
                <w:color w:val="0A1128"/>
                <w:sz w:val="19"/>
              </w:rPr>
              <w:t>Phone</w:t>
            </w:r>
          </w:p>
        </w:tc>
        <w:tc>
          <w:tcPr>
            <w:tcW w:type="dxa" w:w="6768"/>
          </w:tcPr>
          <w:p>
            <w:pPr>
              <w:spacing w:after="0"/>
            </w:pPr>
            <w:r>
              <w:rPr>
                <w:color w:val="0A1128"/>
                <w:sz w:val="19"/>
              </w:rPr>
              <w:t>540-598-1130 (m)</w:t>
            </w:r>
          </w:p>
        </w:tc>
      </w:tr>
      <w:tr>
        <w:tc>
          <w:tcPr>
            <w:tcW w:type="dxa" w:w="2880"/>
          </w:tcPr>
          <w:p>
            <w:pPr>
              <w:spacing w:after="0"/>
            </w:pPr>
            <w:r>
              <w:rPr>
                <w:b/>
                <w:color w:val="0A1128"/>
                <w:sz w:val="19"/>
              </w:rPr>
              <w:t>Email</w:t>
            </w:r>
          </w:p>
        </w:tc>
        <w:tc>
          <w:tcPr>
            <w:tcW w:type="dxa" w:w="6768"/>
          </w:tcPr>
          <w:p>
            <w:pPr>
              <w:spacing w:after="0"/>
            </w:pPr>
            <w:r>
              <w:rPr>
                <w:color w:val="0A1128"/>
                <w:sz w:val="19"/>
              </w:rPr>
              <w:t>info@digitalfuturenh.com</w:t>
            </w:r>
          </w:p>
        </w:tc>
      </w:tr>
      <w:tr>
        <w:tc>
          <w:tcPr>
            <w:tcW w:type="dxa" w:w="2880"/>
          </w:tcPr>
          <w:p>
            <w:pPr>
              <w:spacing w:after="0"/>
            </w:pPr>
            <w:r>
              <w:rPr>
                <w:b/>
                <w:color w:val="0A1128"/>
                <w:sz w:val="19"/>
              </w:rPr>
              <w:t>Website</w:t>
            </w:r>
          </w:p>
        </w:tc>
        <w:tc>
          <w:tcPr>
            <w:tcW w:type="dxa" w:w="6768"/>
          </w:tcPr>
          <w:p>
            <w:pPr>
              <w:spacing w:after="0"/>
            </w:pPr>
            <w:r>
              <w:rPr>
                <w:color w:val="0A1128"/>
                <w:sz w:val="19"/>
              </w:rPr>
              <w:t>digitalfuturenh.com</w:t>
            </w:r>
          </w:p>
        </w:tc>
      </w:tr>
    </w:tbl>
    <w:p>
      <w:pPr>
        <w:spacing w:after="80"/>
      </w:pPr>
      <w:r>
        <w:rPr>
          <w:b w:val="0"/>
          <w:sz w:val="20"/>
        </w:rPr>
        <w:t>If you need anything further to open or maintain a relationship with the PAC — W-9, Secretary of State filing confirmation, EIN letter, or a treasurer signature card — please reach out and we will turn it around the same day.</w:t>
      </w:r>
    </w:p>
    <w:p>
      <w:pPr>
        <w:spacing w:after="600"/>
      </w:pPr>
      <w:r>
        <w:rPr>
          <w:b w:val="0"/>
          <w:sz w:val="20"/>
        </w:rPr>
        <w:t>Sincerely,</w:t>
      </w:r>
    </w:p>
    <w:p>
      <w:pPr>
        <w:spacing w:after="20"/>
        <w:pBdr>
          <w:top w:val="single" w:sz="6" w:space="1" w:color="0A1128"/>
        </w:pBdr>
      </w:pPr>
      <w:r>
        <w:rPr>
          <w:b/>
          <w:color w:val="0A1128"/>
          <w:sz w:val="20"/>
        </w:rPr>
        <w:t>Christopher Maidment</w:t>
      </w:r>
    </w:p>
    <w:p>
      <w:pPr>
        <w:spacing w:after="0"/>
      </w:pPr>
      <w:r>
        <w:rPr>
          <w:color w:val="4B5566"/>
          <w:sz w:val="19"/>
        </w:rPr>
        <w:t>Chair, Digital Future NH PAC</w:t>
      </w:r>
    </w:p>
    <w:sectPr w:rsidR="00FC693F" w:rsidRPr="0006063C" w:rsidSect="00034616">
      <w:footerReference w:type="default" r:id="rId10"/>
      <w:pgSz w:w="12240" w:h="15840"/>
      <w:pgMar w:top="720" w:right="1224" w:bottom="72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6"/>
        <w:sz w:val="16"/>
      </w:rPr>
      <w:t>Paid for by NH Digital Future PAC, 248 Carley Road, Peterborough, NH 03458. Chris Maidment, Chair. Not authorized by any candidate or candidate's committee. Contributions are not tax deductible.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