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27CB3A92"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 Population</w:t>
      </w:r>
    </w:p>
    <w:p w14:paraId="3A92B6A0" w14:textId="77777777" w:rsidR="00EB4ED9" w:rsidRDefault="00EB4ED9" w:rsidP="00EB4ED9">
      <w:pPr>
        <w:rPr>
          <w:rFonts w:ascii="Times New Roman" w:hAnsi="Times New Roman" w:cs="Times New Roman"/>
          <w:i/>
          <w:iCs/>
        </w:rPr>
      </w:pPr>
    </w:p>
    <w:p w14:paraId="7D92A968" w14:textId="776072BF"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implements a series of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49512AC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w:t>
      </w:r>
      <w:r w:rsidR="00334684">
        <w:rPr>
          <w:rFonts w:ascii="Times New Roman" w:hAnsi="Times New Roman" w:cs="Times New Roman"/>
        </w:rPr>
        <w:lastRenderedPageBreak/>
        <w:t xml:space="preserve">cancer history on the Medical Conditions Questionnaire (MCQ). </w:t>
      </w:r>
      <w:r w:rsidR="00221EC2">
        <w:rPr>
          <w:rFonts w:ascii="Times New Roman" w:hAnsi="Times New Roman" w:cs="Times New Roman"/>
        </w:rPr>
        <w:t xml:space="preserve">We note that individuals with only a diagnosis of non-melanoma skin cancer and no other cancer were coded as not having a significant history of cancer given that prognosis and benign course of these malignancies that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075BAD64"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(FPED) </w:t>
      </w:r>
      <w:r w:rsidR="00E06C48" w:rsidRPr="00E06C48">
        <w:rPr>
          <w:rFonts w:ascii="Times New Roman" w:hAnsi="Times New Roman" w:cs="Times New Roman"/>
        </w:rPr>
        <w:lastRenderedPageBreak/>
        <w:t>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5E4F8D">
        <w:rPr>
          <w:rFonts w:ascii="Times New Roman" w:hAnsi="Times New Roman" w:cs="Times New Roman"/>
        </w:rPr>
        <w:t>proxy</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F0BE391"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 and diabetes mellitus (ICD-10 codes E10-E14)—in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1DC6C36F"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 to 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 xml:space="preserve">not </w:t>
      </w:r>
      <w:r w:rsidRPr="000143D6">
        <w:rPr>
          <w:rFonts w:ascii="Times New Roman" w:hAnsi="Times New Roman" w:cs="Times New Roman"/>
          <w:i/>
          <w:iCs/>
        </w:rPr>
        <w:lastRenderedPageBreak/>
        <w:t>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 xml:space="preserve">which was computed as the difference between current age at the time of the survey and age at the first diagnosis of cancer and was then </w:t>
      </w:r>
      <w:r w:rsidR="000C32C1" w:rsidRPr="000C32C1">
        <w:rPr>
          <w:rFonts w:ascii="Times New Roman" w:hAnsi="Times New Roman" w:cs="Times New Roman"/>
        </w:rPr>
        <w:t>categorized (&lt;</w:t>
      </w:r>
      <w:r w:rsidR="000C32C1">
        <w:rPr>
          <w:rFonts w:ascii="Times New Roman" w:hAnsi="Times New Roman" w:cs="Times New Roman"/>
        </w:rPr>
        <w:t xml:space="preserve"> </w:t>
      </w:r>
      <w:r w:rsidR="000C32C1" w:rsidRPr="00BF574C">
        <w:rPr>
          <w:rFonts w:ascii="Times New Roman" w:hAnsi="Times New Roman" w:cs="Times New Roman"/>
          <w:i/>
          <w:iCs/>
        </w:rPr>
        <w:t>2 years</w:t>
      </w:r>
      <w:r w:rsidR="000C32C1" w:rsidRPr="000C32C1">
        <w:rPr>
          <w:rFonts w:ascii="Times New Roman" w:hAnsi="Times New Roman" w:cs="Times New Roman"/>
        </w:rPr>
        <w:t>, ≥</w:t>
      </w:r>
      <w:r w:rsidR="000C32C1">
        <w:rPr>
          <w:rFonts w:ascii="Times New Roman" w:hAnsi="Times New Roman" w:cs="Times New Roman"/>
        </w:rPr>
        <w:t xml:space="preserve"> </w:t>
      </w:r>
      <w:r w:rsidR="000C32C1" w:rsidRPr="00BF574C">
        <w:rPr>
          <w:rFonts w:ascii="Times New Roman" w:hAnsi="Times New Roman" w:cs="Times New Roman"/>
          <w:i/>
          <w:iCs/>
        </w:rPr>
        <w:t>2</w:t>
      </w:r>
      <w:r w:rsidR="000C32C1" w:rsidRPr="000C32C1">
        <w:rPr>
          <w:rFonts w:ascii="Times New Roman" w:hAnsi="Times New Roman" w:cs="Times New Roman"/>
        </w:rPr>
        <w:t xml:space="preserve"> </w:t>
      </w:r>
      <w:r w:rsidR="000C32C1" w:rsidRPr="00BF574C">
        <w:rPr>
          <w:rFonts w:ascii="Times New Roman" w:hAnsi="Times New Roman" w:cs="Times New Roman"/>
          <w:i/>
          <w:iCs/>
        </w:rPr>
        <w:t>and &lt; 6 years</w:t>
      </w:r>
      <w:r w:rsidR="000C32C1" w:rsidRPr="000C32C1">
        <w:rPr>
          <w:rFonts w:ascii="Times New Roman" w:hAnsi="Times New Roman" w:cs="Times New Roman"/>
        </w:rPr>
        <w:t>, and ≥</w:t>
      </w:r>
      <w:r w:rsidR="000C32C1">
        <w:rPr>
          <w:rFonts w:ascii="Times New Roman" w:hAnsi="Times New Roman" w:cs="Times New Roman"/>
        </w:rPr>
        <w:t xml:space="preserve"> </w:t>
      </w:r>
      <w:r w:rsidR="000C32C1" w:rsidRPr="00BF574C">
        <w:rPr>
          <w:rFonts w:ascii="Times New Roman" w:hAnsi="Times New Roman" w:cs="Times New Roman"/>
          <w:i/>
          <w:iCs/>
        </w:rPr>
        <w:t>6 years</w:t>
      </w:r>
      <w:r w:rsidR="000C32C1">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654AD286"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Descriptive statistics were generated for the explanatory, response, and covariate variables described above. We also examined the correlations between the extracted diet quality measures and the 26 food groups used in the extraction process to evaluate the extent of how food groups contributed to each of those measures.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to assess the robustness of our results. First, we specified the explanatory variables using dummy variables that corresponded to the quintile of adherence that a subject belonged to (Eq. 1)</w:t>
      </w:r>
    </w:p>
    <w:p w14:paraId="448800D1" w14:textId="1C3DC647" w:rsidR="00AB3643" w:rsidRPr="00AB3643" w:rsidRDefault="00AB3643" w:rsidP="00A14902">
      <w:pPr>
        <w:spacing w:line="360" w:lineRule="auto"/>
        <w:rPr>
          <w:rFonts w:ascii="Times New Roman" w:hAnsi="Times New Roman" w:cs="Times New Roman"/>
        </w:rPr>
      </w:pPr>
      <m:oMathPara>
        <m:oMath>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m:rPr>
              <m:sty m:val="p"/>
            </m:rPr>
            <w:rPr>
              <w:rFonts w:ascii="Cambria Math" w:hAnsi="Cambria Math" w:cs="Times New Roman"/>
            </w:rPr>
            <m:t>exp⁡</m:t>
          </m:r>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 xml:space="preserve">+ </m:t>
          </m:r>
        </m:oMath>
      </m:oMathPara>
    </w:p>
    <w:sectPr w:rsidR="00AB3643" w:rsidRPr="00AB3643" w:rsidSect="0068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143D6"/>
    <w:rsid w:val="00084064"/>
    <w:rsid w:val="000C32C1"/>
    <w:rsid w:val="00120671"/>
    <w:rsid w:val="001B0695"/>
    <w:rsid w:val="00221EC2"/>
    <w:rsid w:val="0026524B"/>
    <w:rsid w:val="0027484B"/>
    <w:rsid w:val="0028265E"/>
    <w:rsid w:val="002E7DAC"/>
    <w:rsid w:val="00334684"/>
    <w:rsid w:val="00454C2F"/>
    <w:rsid w:val="0047048D"/>
    <w:rsid w:val="0048700E"/>
    <w:rsid w:val="004C776A"/>
    <w:rsid w:val="005E4F8D"/>
    <w:rsid w:val="00683F64"/>
    <w:rsid w:val="00687A69"/>
    <w:rsid w:val="006956C7"/>
    <w:rsid w:val="00756082"/>
    <w:rsid w:val="007709E0"/>
    <w:rsid w:val="008065AF"/>
    <w:rsid w:val="008118A7"/>
    <w:rsid w:val="008343E2"/>
    <w:rsid w:val="00853C24"/>
    <w:rsid w:val="008C4819"/>
    <w:rsid w:val="00953990"/>
    <w:rsid w:val="00A14902"/>
    <w:rsid w:val="00A24ABE"/>
    <w:rsid w:val="00AB3643"/>
    <w:rsid w:val="00AD45B2"/>
    <w:rsid w:val="00B42F81"/>
    <w:rsid w:val="00B91187"/>
    <w:rsid w:val="00BF574C"/>
    <w:rsid w:val="00BF5784"/>
    <w:rsid w:val="00C6784D"/>
    <w:rsid w:val="00CD1B64"/>
    <w:rsid w:val="00D742AA"/>
    <w:rsid w:val="00D9696B"/>
    <w:rsid w:val="00E06C48"/>
    <w:rsid w:val="00E12DE6"/>
    <w:rsid w:val="00E171A4"/>
    <w:rsid w:val="00E4546C"/>
    <w:rsid w:val="00EA5E74"/>
    <w:rsid w:val="00EA7805"/>
    <w:rsid w:val="00EB4ED9"/>
    <w:rsid w:val="00EC0B3F"/>
    <w:rsid w:val="00F04F26"/>
    <w:rsid w:val="00F678B8"/>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7282</Words>
  <Characters>41511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43</cp:revision>
  <dcterms:created xsi:type="dcterms:W3CDTF">2023-02-23T18:04:00Z</dcterms:created>
  <dcterms:modified xsi:type="dcterms:W3CDTF">2023-02-26T18:30:00Z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id="M4fe6ADU"/&gt;&lt;style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