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03D5EC5"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EF6E11"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w:t>
      </w:r>
      <w:r w:rsidR="00E959F2">
        <w:rPr>
          <w:rFonts w:ascii="Times New Roman" w:hAnsi="Times New Roman" w:cs="Times New Roman"/>
        </w:rPr>
        <w:t>ary patterns</w:t>
      </w:r>
      <w:r w:rsidR="00AB3643">
        <w:rPr>
          <w:rFonts w:ascii="Times New Roman" w:hAnsi="Times New Roman" w:cs="Times New Roman"/>
        </w:rPr>
        <w:t xml:space="preserve">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839F2BA"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set at the quintiles of the diet index scores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lastRenderedPageBreak/>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xml:space="preserve">= 0.63) </w:t>
      </w:r>
      <w:r w:rsidR="00D03E1F">
        <w:rPr>
          <w:rFonts w:ascii="Times New Roman" w:hAnsi="Times New Roman" w:cs="Times New Roman"/>
        </w:rPr>
        <w:lastRenderedPageBreak/>
        <w:t>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28F9370B"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w:t>
      </w:r>
      <w:r w:rsidR="0045132D">
        <w:rPr>
          <w:rFonts w:ascii="Times New Roman" w:hAnsi="Times New Roman" w:cs="Times New Roman"/>
        </w:rPr>
        <w:lastRenderedPageBreak/>
        <w:t xml:space="preserve">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t>
      </w:r>
      <w:r w:rsidR="001B1D50">
        <w:rPr>
          <w:rFonts w:ascii="Times New Roman" w:eastAsiaTheme="minorEastAsia" w:hAnsi="Times New Roman" w:cs="Times New Roman"/>
        </w:rPr>
        <w:lastRenderedPageBreak/>
        <w:t xml:space="preserve">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3731CD71" w:rsidR="00D9498C" w:rsidRDefault="00D9498C" w:rsidP="00D9498C">
      <w:pPr>
        <w:spacing w:line="360" w:lineRule="auto"/>
        <w:ind w:firstLine="720"/>
        <w:rPr>
          <w:rFonts w:ascii="Times New Roman" w:hAnsi="Times New Roman" w:cs="Times New Roman"/>
        </w:rPr>
      </w:pPr>
    </w:p>
    <w:p w14:paraId="5135B2F5" w14:textId="0F1852E3" w:rsidR="00D9498C" w:rsidRDefault="00D9498C" w:rsidP="00D9498C">
      <w:pPr>
        <w:spacing w:line="360" w:lineRule="auto"/>
        <w:ind w:firstLine="720"/>
        <w:rPr>
          <w:rFonts w:ascii="Times New Roman" w:hAnsi="Times New Roman" w:cs="Times New Roman"/>
        </w:rPr>
      </w:pPr>
    </w:p>
    <w:p w14:paraId="0F0FABE6" w14:textId="0CA334B5" w:rsidR="00D9498C" w:rsidRDefault="00391B8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A33B3B">
                <wp:simplePos x="0" y="0"/>
                <wp:positionH relativeFrom="column">
                  <wp:posOffset>-1588769</wp:posOffset>
                </wp:positionH>
                <wp:positionV relativeFrom="paragraph">
                  <wp:posOffset>340360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25.1pt;margin-top:26.8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9b8VDe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333CA00C"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37D4CAC5" w:rsidR="004D0389" w:rsidRDefault="00391B83"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620251D">
                <wp:simplePos x="0" y="0"/>
                <wp:positionH relativeFrom="column">
                  <wp:posOffset>-1667193</wp:posOffset>
                </wp:positionH>
                <wp:positionV relativeFrom="paragraph">
                  <wp:posOffset>292419</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3pt;margin-top:23.0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BpxU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4F72623C" w:rsidR="00D9498C" w:rsidRDefault="003C6043" w:rsidP="00D9498C">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1B1A652B">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A39CDAE"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A39CDAE"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v:textbox>
                <w10:wrap type="square"/>
              </v:shape>
            </w:pict>
          </mc:Fallback>
        </mc:AlternateContent>
      </w:r>
      <w:r>
        <w:rPr>
          <w:rFonts w:ascii="Times New Roman" w:hAnsi="Times New Roman" w:cs="Times New Roman"/>
          <w:noProof/>
        </w:rPr>
        <w:drawing>
          <wp:anchor distT="0" distB="0" distL="114300" distR="114300" simplePos="0" relativeHeight="251672576" behindDoc="0" locked="0" layoutInCell="1" allowOverlap="1" wp14:anchorId="7ED12889" wp14:editId="4AF10757">
            <wp:simplePos x="0" y="0"/>
            <wp:positionH relativeFrom="column">
              <wp:posOffset>-14117</wp:posOffset>
            </wp:positionH>
            <wp:positionV relativeFrom="paragraph">
              <wp:posOffset>49</wp:posOffset>
            </wp:positionV>
            <wp:extent cx="5943600" cy="4902200"/>
            <wp:effectExtent l="0" t="0" r="0" b="0"/>
            <wp:wrapSquare wrapText="bothSides"/>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738F8CE3"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inversely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implementing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lastRenderedPageBreak/>
        <w:fldChar w:fldCharType="begin"/>
      </w:r>
      <w:r>
        <w:rPr>
          <w:rFonts w:ascii="Times New Roman" w:hAnsi="Times New Roman" w:cs="Times New Roman"/>
        </w:rPr>
        <w:instrText xml:space="preserve"> ADDIN ZOTERO_ITEM CSL_CITATION {"citationID":"82EndsuG","properties":{"formattedCitation":"[5]","plainCitation":"[5]","noteIndex":0},"citationItems":[{"id":2018,"uris":["http://zotero.org/users/local/S8X13ARX/items/CEMPR32Z"],"itemData":{"id":2018,"type":"article-journal","abstract":"(1)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As a follow-up analysis, the results we present 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implications </w:t>
      </w:r>
      <w:r w:rsidR="00C04DAD">
        <w:rPr>
          <w:rFonts w:ascii="Times New Roman" w:hAnsi="Times New Roman" w:cs="Times New Roman"/>
        </w:rPr>
        <w:t>on</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after performing a sensitivity analysis.</w:t>
      </w:r>
    </w:p>
    <w:p w14:paraId="6A71BE36" w14:textId="77777777"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Pr>
          <w:rFonts w:ascii="Times New Roman" w:hAnsi="Times New Roman" w:cs="Times New Roman"/>
        </w:rPr>
        <w:t xml:space="preserve">. Several lines of evidence tie food insecurity to an increased comorbidity burden and increased risk of mortality. </w:t>
      </w:r>
      <w:r w:rsidR="00BC7E26">
        <w:rPr>
          <w:rFonts w:ascii="Times New Roman" w:hAnsi="Times New Roman" w:cs="Times New Roman"/>
        </w:rPr>
        <w:t>Food insecurity and food insufficiency are independently associated with chronic disease burden</w:t>
      </w:r>
      <w:r w:rsidR="00397057">
        <w:rPr>
          <w:rFonts w:ascii="Times New Roman" w:hAnsi="Times New Roman" w:cs="Times New Roman"/>
        </w:rPr>
        <w:t xml:space="preserve"> </w:t>
      </w:r>
      <w:r w:rsidR="00BC7E26">
        <w:rPr>
          <w:rFonts w:ascii="Times New Roman" w:hAnsi="Times New Roman" w:cs="Times New Roman"/>
        </w:rPr>
        <w:t xml:space="preserve">including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397057">
        <w:rPr>
          <w:rFonts w:ascii="Times New Roman" w:hAnsi="Times New Roman" w:cs="Times New Roman"/>
        </w:rPr>
        <w:instrText xml:space="preserve"> ADDIN ZOTERO_ITEM CSL_CITATION {"citationID":"BaTWryJM","properties":{"formattedCitation":"[28\\uc0\\u8211{}31]","plainCitation":"[28–31]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397057" w:rsidRPr="00397057">
        <w:rPr>
          <w:rFonts w:ascii="Times New Roman" w:hAnsi="Times New Roman" w:cs="Times New Roman"/>
        </w:rPr>
        <w:t>[28–31]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397057">
        <w:rPr>
          <w:rFonts w:ascii="Times New Roman" w:hAnsi="Times New Roman" w:cs="Times New Roman"/>
        </w:rPr>
        <w:fldChar w:fldCharType="begin"/>
      </w:r>
      <w:r w:rsidR="00397057">
        <w:rPr>
          <w:rFonts w:ascii="Times New Roman" w:hAnsi="Times New Roman" w:cs="Times New Roman"/>
        </w:rPr>
        <w:instrText xml:space="preserve"> ADDIN ZOTERO_ITEM CSL_CITATION {"citationID":"WD9TLYnc","properties":{"formattedCitation":"[12,29,32]","plainCitation":"[12,29,32]","noteIndex":0},"citationItems":[{"id":1373,"uris":["http://zotero.org/users/local/S8X13ARX/items/F9TXRSSS"],"itemData":{"id":1373,"type":"article-journal","container-title":"The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00397057">
        <w:rPr>
          <w:rFonts w:ascii="Times New Roman" w:hAnsi="Times New Roman" w:cs="Times New Roman"/>
        </w:rPr>
        <w:fldChar w:fldCharType="separate"/>
      </w:r>
      <w:r w:rsidR="00397057">
        <w:rPr>
          <w:rFonts w:ascii="Times New Roman" w:hAnsi="Times New Roman" w:cs="Times New Roman"/>
          <w:noProof/>
        </w:rPr>
        <w:t>[12,29,32]</w:t>
      </w:r>
      <w:r w:rsidR="00397057">
        <w:rPr>
          <w:rFonts w:ascii="Times New Roman" w:hAnsi="Times New Roman" w:cs="Times New Roman"/>
        </w:rPr>
        <w:fldChar w:fldCharType="end"/>
      </w:r>
      <w:r w:rsidR="00397057">
        <w:rPr>
          <w:rFonts w:ascii="Times New Roman" w:hAnsi="Times New Roman" w:cs="Times New Roman"/>
        </w:rPr>
        <w:t xml:space="preserve">. </w:t>
      </w:r>
      <w:r>
        <w:rPr>
          <w:rFonts w:ascii="Times New Roman" w:hAnsi="Times New Roman" w:cs="Times New Roman"/>
        </w:rPr>
        <w:t xml:space="preserve">Two 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397057">
        <w:rPr>
          <w:rFonts w:ascii="Times New Roman" w:hAnsi="Times New Roman" w:cs="Times New Roman"/>
        </w:rPr>
        <w:instrText xml:space="preserve"> ADDIN ZOTERO_ITEM CSL_CITATION {"citationID":"saJwk4sj","properties":{"formattedCitation":"[27,33]","plainCitation":"[27,33]","noteIndex":0},"citationItems":[{"id":2205,"uris":["http://zotero.org/users/local/S8X13ARX/items/4ELLAR2T"],"itemData":{"id":2205,"type":"article-journal","abstract":"Food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Pr>
          <w:rFonts w:ascii="Times New Roman" w:hAnsi="Times New Roman" w:cs="Times New Roman"/>
        </w:rPr>
        <w:fldChar w:fldCharType="separate"/>
      </w:r>
      <w:r w:rsidR="00397057">
        <w:rPr>
          <w:rFonts w:ascii="Times New Roman" w:hAnsi="Times New Roman" w:cs="Times New Roman"/>
          <w:noProof/>
        </w:rPr>
        <w:t>[27,33]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p>
    <w:p w14:paraId="219BB489" w14:textId="736BA5E9" w:rsidR="00146E52" w:rsidRPr="000A41FF" w:rsidRDefault="00397057" w:rsidP="000A41FF">
      <w:pPr>
        <w:spacing w:line="360" w:lineRule="auto"/>
        <w:ind w:firstLine="720"/>
        <w:rPr>
          <w:rFonts w:ascii="Times New Roman" w:hAnsi="Times New Roman" w:cs="Times New Roman"/>
        </w:rPr>
      </w:pPr>
      <w:r>
        <w:rPr>
          <w:rFonts w:ascii="Times New Roman" w:hAnsi="Times New Roman" w:cs="Times New Roman"/>
        </w:rPr>
        <w:t>In addition to health outcomes, it is understood that food insecurity negatively impacts nutrient intake</w:t>
      </w:r>
      <w:r w:rsidR="000A41FF">
        <w:rPr>
          <w:rFonts w:ascii="Times New Roman" w:hAnsi="Times New Roman" w:cs="Times New Roman"/>
        </w:rPr>
        <w:t xml:space="preserve"> and diet quality</w:t>
      </w:r>
      <w:r>
        <w:rPr>
          <w:rFonts w:ascii="Times New Roman" w:hAnsi="Times New Roman" w:cs="Times New Roman"/>
        </w:rPr>
        <w:t xml:space="preserve">. </w:t>
      </w:r>
      <w:r w:rsidR="000A41FF">
        <w:rPr>
          <w:rFonts w:ascii="Times New Roman" w:hAnsi="Times New Roman" w:cs="Times New Roman"/>
        </w:rPr>
        <w:t xml:space="preserve">In the general public, food insecurity was shown to be adversely associated with diet quality, as measured by HEI-2015 scores </w:t>
      </w:r>
      <w:r w:rsidR="000A41FF">
        <w:rPr>
          <w:rFonts w:ascii="Times New Roman" w:hAnsi="Times New Roman" w:cs="Times New Roman"/>
        </w:rPr>
        <w:fldChar w:fldCharType="begin"/>
      </w:r>
      <w:r w:rsidR="000A41FF">
        <w:rPr>
          <w:rFonts w:ascii="Times New Roman" w:hAnsi="Times New Roman" w:cs="Times New Roman"/>
        </w:rPr>
        <w:instrText xml:space="preserve"> ADDIN ZOTERO_ITEM CSL_CITATION {"citationID":"773BPXyq","properties":{"formattedCitation":"[34]","plainCitation":"[34]","noteIndex":0},"citationItems":[{"id":2104,"uris":["http://zotero.org/users/local/S8X13ARX/items/942SIIVI"],"itemData":{"id":2104,"type":"article-journal","container-title":"Journal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0A41FF">
        <w:rPr>
          <w:rFonts w:ascii="Times New Roman" w:hAnsi="Times New Roman" w:cs="Times New Roman"/>
        </w:rPr>
        <w:fldChar w:fldCharType="separate"/>
      </w:r>
      <w:r w:rsidR="000A41FF">
        <w:rPr>
          <w:rFonts w:ascii="Times New Roman" w:hAnsi="Times New Roman" w:cs="Times New Roman"/>
          <w:noProof/>
        </w:rPr>
        <w:t>[34]</w:t>
      </w:r>
      <w:r w:rsidR="000A41FF">
        <w:rPr>
          <w:rFonts w:ascii="Times New Roman" w:hAnsi="Times New Roman" w:cs="Times New Roman"/>
        </w:rPr>
        <w:fldChar w:fldCharType="end"/>
      </w:r>
      <w:r w:rsidR="000A41FF">
        <w:rPr>
          <w:rFonts w:ascii="Times New Roman" w:hAnsi="Times New Roman" w:cs="Times New Roman"/>
        </w:rPr>
        <w:t xml:space="preserve">. The findings we present are consistent with this previous body of evidence. They are, however, novel in that instead of measuring adherence to a set of </w:t>
      </w:r>
      <w:r w:rsidR="000A41FF">
        <w:rPr>
          <w:rFonts w:ascii="Times New Roman" w:hAnsi="Times New Roman" w:cs="Times New Roman"/>
          <w:i/>
          <w:iCs/>
        </w:rPr>
        <w:t xml:space="preserve">a priori </w:t>
      </w:r>
      <w:r w:rsidR="000A41FF">
        <w:rPr>
          <w:rFonts w:ascii="Times New Roman" w:hAnsi="Times New Roman" w:cs="Times New Roman"/>
        </w:rPr>
        <w:t xml:space="preserve">indices, we characterized the dietary patterns of U.S. food insecure cancer survivors using </w:t>
      </w:r>
      <w:r w:rsidR="000A41FF">
        <w:rPr>
          <w:rFonts w:ascii="Times New Roman" w:hAnsi="Times New Roman" w:cs="Times New Roman"/>
          <w:i/>
          <w:iCs/>
        </w:rPr>
        <w:t xml:space="preserve">a posteriori </w:t>
      </w:r>
      <w:r w:rsidR="000A41FF">
        <w:rPr>
          <w:rFonts w:ascii="Times New Roman" w:hAnsi="Times New Roman" w:cs="Times New Roman"/>
        </w:rPr>
        <w:t xml:space="preserve">approaches to summarize the dietary patterns in this population. </w:t>
      </w:r>
    </w:p>
    <w:p w14:paraId="651CE77C" w14:textId="782EDC81" w:rsidR="00C04DAD" w:rsidRDefault="00146E52" w:rsidP="00146E52">
      <w:pPr>
        <w:spacing w:line="360" w:lineRule="auto"/>
        <w:ind w:firstLine="720"/>
        <w:rPr>
          <w:rFonts w:ascii="Times New Roman" w:hAnsi="Times New Roman" w:cs="Times New Roman"/>
        </w:rPr>
      </w:pPr>
      <w:r>
        <w:rPr>
          <w:rFonts w:ascii="Times New Roman" w:hAnsi="Times New Roman" w:cs="Times New Roman"/>
        </w:rPr>
        <w:t xml:space="preserve">A generally accepted framework of food insecurity and the negative health consequence it elicits involves stress as a mediating factor. Seligman and Schillinger provide a detailed on stress in the food insecurity context </w:t>
      </w:r>
      <w:r>
        <w:rPr>
          <w:rFonts w:ascii="Times New Roman" w:hAnsi="Times New Roman" w:cs="Times New Roman"/>
        </w:rPr>
        <w:fldChar w:fldCharType="begin"/>
      </w:r>
      <w:r w:rsidR="00397057">
        <w:rPr>
          <w:rFonts w:ascii="Times New Roman" w:hAnsi="Times New Roman" w:cs="Times New Roman"/>
        </w:rPr>
        <w:instrText xml:space="preserve"> ADDIN ZOTERO_ITEM CSL_CITATION {"citationID":"czOdRXiM","properties":{"formattedCitation":"[30]","plainCitation":"[30]","noteIndex":0},"citationItems":[{"id":2192,"uris":["http://zotero.org/users/local/S8X13ARX/items/IKF89UC2"],"itemData":{"id":2192,"type":"article-journal","container-title":"New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K."},{"family":"Schillinger","given":"Dean"}],"issued":{"date-parts":[["2010",7]]}}}],"schema":"https://github.com/citation-style-language/schema/raw/master/csl-citation.json"} </w:instrText>
      </w:r>
      <w:r>
        <w:rPr>
          <w:rFonts w:ascii="Times New Roman" w:hAnsi="Times New Roman" w:cs="Times New Roman"/>
        </w:rPr>
        <w:fldChar w:fldCharType="separate"/>
      </w:r>
      <w:r w:rsidR="00397057">
        <w:rPr>
          <w:rFonts w:ascii="Times New Roman" w:hAnsi="Times New Roman" w:cs="Times New Roman"/>
          <w:noProof/>
        </w:rPr>
        <w:t>[30]</w:t>
      </w:r>
      <w:r>
        <w:rPr>
          <w:rFonts w:ascii="Times New Roman" w:hAnsi="Times New Roman" w:cs="Times New Roman"/>
        </w:rPr>
        <w:fldChar w:fldCharType="end"/>
      </w:r>
      <w:r>
        <w:rPr>
          <w:rFonts w:ascii="Times New Roman" w:hAnsi="Times New Roman" w:cs="Times New Roman"/>
        </w:rPr>
        <w:t xml:space="preserve">. Our findings add to this body of knowledge by </w:t>
      </w:r>
      <w:r>
        <w:rPr>
          <w:rFonts w:ascii="Times New Roman" w:hAnsi="Times New Roman" w:cs="Times New Roman"/>
        </w:rPr>
        <w:lastRenderedPageBreak/>
        <w:t xml:space="preserve">highlighting how the diet quality of food insecure cancer survivors, independent of food insecurity status, may negatively predict survival amongst cancer survivors. </w:t>
      </w:r>
    </w:p>
    <w:p w14:paraId="306A3FBE" w14:textId="771C388F" w:rsidR="00884078" w:rsidRPr="00E92C71" w:rsidRDefault="00884078" w:rsidP="00D9498C">
      <w:pPr>
        <w:spacing w:line="360" w:lineRule="auto"/>
        <w:rPr>
          <w:rFonts w:ascii="Times New Roman" w:hAnsi="Times New Roman" w:cs="Times New Roman"/>
        </w:rPr>
      </w:pPr>
      <w:r>
        <w:rPr>
          <w:rFonts w:ascii="Times New Roman" w:hAnsi="Times New Roman" w:cs="Times New Roman"/>
        </w:rPr>
        <w:tab/>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4382F847" w:rsidR="00D4402D" w:rsidRPr="00AB3643" w:rsidRDefault="00D4402D" w:rsidP="005C42F5">
      <w:pPr>
        <w:spacing w:line="360" w:lineRule="auto"/>
        <w:ind w:firstLine="720"/>
        <w:rPr>
          <w:rFonts w:ascii="Times New Roman" w:hAnsi="Times New Roman" w:cs="Times New Roman"/>
        </w:rPr>
      </w:pPr>
    </w:p>
    <w:sectPr w:rsidR="00D4402D"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91EC0"/>
    <w:rsid w:val="000A41FF"/>
    <w:rsid w:val="000C32C1"/>
    <w:rsid w:val="000E4846"/>
    <w:rsid w:val="000F3BBC"/>
    <w:rsid w:val="001067FC"/>
    <w:rsid w:val="00120671"/>
    <w:rsid w:val="00146E52"/>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91D99"/>
    <w:rsid w:val="00293FB1"/>
    <w:rsid w:val="002E7DAC"/>
    <w:rsid w:val="00332B47"/>
    <w:rsid w:val="00332B65"/>
    <w:rsid w:val="00334684"/>
    <w:rsid w:val="00391B83"/>
    <w:rsid w:val="00397057"/>
    <w:rsid w:val="003C5F3C"/>
    <w:rsid w:val="003C6043"/>
    <w:rsid w:val="003D6DB0"/>
    <w:rsid w:val="003E41E2"/>
    <w:rsid w:val="003E7C7C"/>
    <w:rsid w:val="00427185"/>
    <w:rsid w:val="004348ED"/>
    <w:rsid w:val="0043686E"/>
    <w:rsid w:val="0045132D"/>
    <w:rsid w:val="00454C2F"/>
    <w:rsid w:val="00465A62"/>
    <w:rsid w:val="0047048D"/>
    <w:rsid w:val="00485F4A"/>
    <w:rsid w:val="0048700E"/>
    <w:rsid w:val="004C776A"/>
    <w:rsid w:val="004D0389"/>
    <w:rsid w:val="004F7DF7"/>
    <w:rsid w:val="00520585"/>
    <w:rsid w:val="00551EFA"/>
    <w:rsid w:val="005538C5"/>
    <w:rsid w:val="00562288"/>
    <w:rsid w:val="005C42F5"/>
    <w:rsid w:val="005C5D3B"/>
    <w:rsid w:val="005E4F8D"/>
    <w:rsid w:val="00620A46"/>
    <w:rsid w:val="00660C86"/>
    <w:rsid w:val="00664EA4"/>
    <w:rsid w:val="00683F64"/>
    <w:rsid w:val="00687A69"/>
    <w:rsid w:val="006956C7"/>
    <w:rsid w:val="006C6BFE"/>
    <w:rsid w:val="007440DF"/>
    <w:rsid w:val="00745280"/>
    <w:rsid w:val="00756082"/>
    <w:rsid w:val="007709E0"/>
    <w:rsid w:val="00795EB1"/>
    <w:rsid w:val="007D4CF5"/>
    <w:rsid w:val="007E11D7"/>
    <w:rsid w:val="007F5F72"/>
    <w:rsid w:val="008065AF"/>
    <w:rsid w:val="008118A7"/>
    <w:rsid w:val="008173C1"/>
    <w:rsid w:val="008343E2"/>
    <w:rsid w:val="00853C24"/>
    <w:rsid w:val="00866AD8"/>
    <w:rsid w:val="00870AB6"/>
    <w:rsid w:val="00872372"/>
    <w:rsid w:val="00881DC5"/>
    <w:rsid w:val="00884078"/>
    <w:rsid w:val="008A5234"/>
    <w:rsid w:val="008C4819"/>
    <w:rsid w:val="00935DEF"/>
    <w:rsid w:val="00936BFB"/>
    <w:rsid w:val="00942279"/>
    <w:rsid w:val="00953990"/>
    <w:rsid w:val="009550C4"/>
    <w:rsid w:val="009B1AC6"/>
    <w:rsid w:val="009B4C78"/>
    <w:rsid w:val="009E154B"/>
    <w:rsid w:val="009F43E5"/>
    <w:rsid w:val="00A131D8"/>
    <w:rsid w:val="00A14902"/>
    <w:rsid w:val="00A24ABE"/>
    <w:rsid w:val="00A27AAA"/>
    <w:rsid w:val="00A43238"/>
    <w:rsid w:val="00AB3643"/>
    <w:rsid w:val="00AC0547"/>
    <w:rsid w:val="00AD45B2"/>
    <w:rsid w:val="00AF604F"/>
    <w:rsid w:val="00B17524"/>
    <w:rsid w:val="00B42F81"/>
    <w:rsid w:val="00B51CDF"/>
    <w:rsid w:val="00B603B5"/>
    <w:rsid w:val="00B91187"/>
    <w:rsid w:val="00BC0F75"/>
    <w:rsid w:val="00BC63A5"/>
    <w:rsid w:val="00BC7E26"/>
    <w:rsid w:val="00BF574C"/>
    <w:rsid w:val="00BF5784"/>
    <w:rsid w:val="00C01DD8"/>
    <w:rsid w:val="00C04DAD"/>
    <w:rsid w:val="00C05E3E"/>
    <w:rsid w:val="00C47A75"/>
    <w:rsid w:val="00C64346"/>
    <w:rsid w:val="00C6784D"/>
    <w:rsid w:val="00C7631E"/>
    <w:rsid w:val="00C770E5"/>
    <w:rsid w:val="00CC62DA"/>
    <w:rsid w:val="00CD1B64"/>
    <w:rsid w:val="00D00CD3"/>
    <w:rsid w:val="00D03E1F"/>
    <w:rsid w:val="00D25ED6"/>
    <w:rsid w:val="00D4402D"/>
    <w:rsid w:val="00D742AA"/>
    <w:rsid w:val="00D753EF"/>
    <w:rsid w:val="00D9372E"/>
    <w:rsid w:val="00D9498C"/>
    <w:rsid w:val="00D9696B"/>
    <w:rsid w:val="00DB444E"/>
    <w:rsid w:val="00E04103"/>
    <w:rsid w:val="00E06C48"/>
    <w:rsid w:val="00E12DE6"/>
    <w:rsid w:val="00E171A4"/>
    <w:rsid w:val="00E21C9A"/>
    <w:rsid w:val="00E24881"/>
    <w:rsid w:val="00E4546C"/>
    <w:rsid w:val="00E92C71"/>
    <w:rsid w:val="00E959F2"/>
    <w:rsid w:val="00EA5E74"/>
    <w:rsid w:val="00EA7805"/>
    <w:rsid w:val="00EB4ED9"/>
    <w:rsid w:val="00EC0B3F"/>
    <w:rsid w:val="00EE7685"/>
    <w:rsid w:val="00F02363"/>
    <w:rsid w:val="00F04F26"/>
    <w:rsid w:val="00F22ED6"/>
    <w:rsid w:val="00F32E50"/>
    <w:rsid w:val="00F678B8"/>
    <w:rsid w:val="00FA340B"/>
    <w:rsid w:val="00FB536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14363</Words>
  <Characters>81870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9</cp:revision>
  <dcterms:created xsi:type="dcterms:W3CDTF">2023-03-09T22:51:00Z</dcterms:created>
  <dcterms:modified xsi:type="dcterms:W3CDTF">2023-03-10T17:06:00Z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