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975937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49512AC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w:t>
      </w:r>
      <w:r w:rsidR="00221EC2">
        <w:rPr>
          <w:rFonts w:ascii="Times New Roman" w:hAnsi="Times New Roman" w:cs="Times New Roman"/>
        </w:rPr>
        <w:lastRenderedPageBreak/>
        <w:t xml:space="preserve">only a diagnosis of non-melanoma skin cancer and no other cancer were coded as not having a significant history of cancer given that prognosis and benign course of these malignancies that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DF8CC13"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w:t>
      </w:r>
      <w:r w:rsidR="00E06C48">
        <w:rPr>
          <w:rFonts w:ascii="Times New Roman" w:hAnsi="Times New Roman" w:cs="Times New Roman"/>
        </w:rPr>
        <w:lastRenderedPageBreak/>
        <w:t xml:space="preserve">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6F19B560"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9BB849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w:t>
      </w:r>
      <w:r w:rsidR="000143D6">
        <w:rPr>
          <w:rFonts w:ascii="Times New Roman" w:hAnsi="Times New Roman" w:cs="Times New Roman"/>
        </w:rPr>
        <w:lastRenderedPageBreak/>
        <w:t>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0646033F"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Descriptive statistics were generated for the explanatory, response, and covariate variables described above. We also examined the correlations between the extracted diet quality measures and the 26 food groups used in the extraction process to evaluate the extent of how food groups contributed to each of those measures.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1EBC3653"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2</m:t>
          </m:r>
          <m:r>
            <w:rPr>
              <w:rFonts w:ascii="Cambria Math" w:hAnsi="Cambria Math" w:cs="Times New Roman"/>
            </w:rPr>
            <m:t>)</m:t>
          </m:r>
        </m:oMath>
      </m:oMathPara>
    </w:p>
    <w:p w14:paraId="7CFA27BD" w14:textId="1D6D139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m:t>
          </m:r>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m:t>
          </m:r>
          <m:r>
            <m:rPr>
              <m:sty m:val="bi"/>
            </m:rP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m:t>
                  </m:r>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3</m:t>
          </m:r>
          <m:r>
            <w:rPr>
              <w:rFonts w:ascii="Cambria Math" w:hAnsi="Cambria Math" w:cs="Times New Roman"/>
            </w:rPr>
            <m:t>)</m:t>
          </m:r>
          <m:r>
            <w:rPr>
              <w:rFonts w:ascii="Cambria Math" w:hAnsi="Cambria Math" w:cs="Times New Roman"/>
            </w:rPr>
            <m:t xml:space="preserve">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w:lastRenderedPageBreak/>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4</m:t>
          </m:r>
          <m:r>
            <w:rPr>
              <w:rFonts w:ascii="Cambria Math" w:hAnsi="Cambria Math" w:cs="Times New Roman"/>
            </w:rPr>
            <m:t>)</m:t>
          </m:r>
          <m:r>
            <w:rPr>
              <w:rFonts w:ascii="Cambria Math" w:hAnsi="Cambria Math" w:cs="Times New Roman"/>
            </w:rPr>
            <m:t xml:space="preserve"> </m:t>
          </m:r>
        </m:oMath>
      </m:oMathPara>
    </w:p>
    <w:p w14:paraId="410DEC18" w14:textId="65D43661"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r>
          <w:rPr>
            <w:rFonts w:ascii="Cambria Math" w:eastAsiaTheme="minorEastAsia" w:hAnsi="Cambria Math" w:cs="Times New Roman"/>
          </w:rPr>
          <m:t xml:space="preserve"> </m:t>
        </m:r>
      </m:oMath>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the </w:t>
      </w:r>
      <m:oMath>
        <m:r>
          <w:rPr>
            <w:rFonts w:ascii="Cambria Math" w:eastAsiaTheme="minorEastAsia" w:hAnsi="Cambria Math" w:cs="Times New Roman"/>
          </w:rPr>
          <m:t>K</m:t>
        </m:r>
        <m:r>
          <w:rPr>
            <w:rFonts w:ascii="Cambria Math" w:eastAsiaTheme="minorEastAsia" w:hAnsi="Cambria Math" w:cs="Times New Roman"/>
          </w:rPr>
          <m:t>=5</m:t>
        </m:r>
      </m:oMath>
      <w:r w:rsidR="00C05E3E">
        <w:rPr>
          <w:rFonts w:ascii="Times New Roman" w:eastAsiaTheme="minorEastAsia" w:hAnsi="Times New Roman" w:cs="Times New Roman"/>
        </w:rPr>
        <w:t xml:space="preserve"> quintiles. </w:t>
      </w:r>
      <w:r w:rsidR="002262B7">
        <w:rPr>
          <w:rFonts w:ascii="Times New Roman" w:eastAsiaTheme="minorEastAsia" w:hAnsi="Times New Roman" w:cs="Times New Roman"/>
        </w:rPr>
        <w:t xml:space="preserve">In equation 2 we conduct a trend test by assigning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w:t>
      </w:r>
      <w:r w:rsidR="002262B7">
        <w:rPr>
          <w:rFonts w:ascii="Times New Roman" w:eastAsiaTheme="minorEastAsia" w:hAnsi="Times New Roman" w:cs="Times New Roman"/>
        </w:rPr>
        <w:t xml:space="preserve">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functions (not shown here) for a natural cubic spline.</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935DEF">
        <w:rPr>
          <w:rFonts w:ascii="Times New Roman" w:eastAsiaTheme="minorEastAsia" w:hAnsi="Times New Roman" w:cs="Times New Roman"/>
        </w:rPr>
        <w:instrText xml:space="preserve"> ADDIN ZOTERO_ITEM CSL_CITATION {"citationID":"CKzgviSM","properties":{"formattedCitation":"[25,26]","plainCitation":"[25,26]","noteIndex":0},"citationItems":[{"id":1975,"uris":["http://zotero.org/users/local/S8X13ARX/items/L9BVZ5BN"],"itemData":{"id":1975,"type":"article-journal","container-title":"Annals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935DEF">
        <w:rPr>
          <w:rFonts w:ascii="Times New Roman" w:eastAsiaTheme="minorEastAsia" w:hAnsi="Times New Roman" w:cs="Times New Roman"/>
          <w:noProof/>
        </w:rPr>
        <w:t>[25,26]</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race, sex, age,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Pr>
          <w:rFonts w:ascii="Times New Roman" w:hAnsi="Times New Roman" w:cs="Times New Roman"/>
        </w:rPr>
        <w:t>,</w:t>
      </w:r>
      <w:r w:rsidR="00332B65" w:rsidRPr="00332B65">
        <w:rPr>
          <w:rFonts w:ascii="Times New Roman" w:hAnsi="Times New Roman" w:cs="Times New Roman"/>
        </w:rPr>
        <w:t xml:space="preserve"> </w:t>
      </w:r>
      <w:r w:rsidR="00332B65">
        <w:rPr>
          <w:rFonts w:ascii="Times New Roman" w:hAnsi="Times New Roman" w:cs="Times New Roman"/>
        </w:rPr>
        <w:t>education status,</w:t>
      </w:r>
      <w:r w:rsidR="00332B65">
        <w:rPr>
          <w:rFonts w:ascii="Times New Roman" w:hAnsi="Times New Roman" w:cs="Times New Roman"/>
        </w:rPr>
        <w:t xml:space="preserve"> health insurance status, alcohol intake, smoking status, calories (using the multivariate density method described by Willet et al.), 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3E7C7C">
        <w:rPr>
          <w:rFonts w:ascii="Times New Roman" w:hAnsi="Times New Roman" w:cs="Times New Roman"/>
        </w:rPr>
        <w:instrText xml:space="preserve"> ADDIN ZOTERO_ITEM CSL_CITATION {"citationID":"UlJr0M1T","properties":{"formattedCitation":"[11]","plainCitation":"[11]","noteIndex":0},"citationItems":[{"id":835,"uris":["http://zotero.org/users/local/S8X13ARX/items/HK3ZM8V9"],"itemData":{"id":835,"type":"article-journal","container-title":"The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3E7C7C">
        <w:rPr>
          <w:rFonts w:ascii="Times New Roman" w:hAnsi="Times New Roman" w:cs="Times New Roman"/>
        </w:rPr>
        <w:fldChar w:fldCharType="separate"/>
      </w:r>
      <w:r w:rsidR="003E7C7C">
        <w:rPr>
          <w:rFonts w:ascii="Times New Roman" w:hAnsi="Times New Roman" w:cs="Times New Roman"/>
          <w:noProof/>
        </w:rPr>
        <w:t>[11]</w:t>
      </w:r>
      <w:r w:rsidR="003E7C7C">
        <w:rPr>
          <w:rFonts w:ascii="Times New Roman" w:hAnsi="Times New Roman" w:cs="Times New Roman"/>
        </w:rPr>
        <w:fldChar w:fldCharType="end"/>
      </w:r>
      <w:r w:rsidR="00332B65">
        <w:rPr>
          <w:rFonts w:ascii="Times New Roman" w:hAnsi="Times New Roman" w:cs="Times New Roman"/>
        </w:rPr>
        <w:t xml:space="preserv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w:t>
      </w:r>
      <w:r w:rsidR="00620A46">
        <w:rPr>
          <w:rFonts w:ascii="Times New Roman" w:hAnsi="Times New Roman" w:cs="Times New Roman"/>
        </w:rPr>
        <w:t xml:space="preserve"> and because p</w:t>
      </w:r>
      <w:r w:rsidR="00620A46">
        <w:rPr>
          <w:rFonts w:ascii="Times New Roman" w:hAnsi="Times New Roman" w:cs="Times New Roman"/>
        </w:rPr>
        <w:t>revious evidence suggests that food insecurity status may be associated with mortality</w:t>
      </w:r>
      <w:r w:rsidR="00332B65">
        <w:rPr>
          <w:rFonts w:ascii="Times New Roman" w:hAnsi="Times New Roman" w:cs="Times New Roman"/>
        </w:rPr>
        <w:t>, we included these as covariates</w:t>
      </w:r>
      <w:r w:rsidR="00E21C9A">
        <w:rPr>
          <w:rFonts w:ascii="Times New Roman" w:hAnsi="Times New Roman" w:cs="Times New Roman"/>
        </w:rPr>
        <w:t xml:space="preserve"> given the potential for confounding</w:t>
      </w:r>
      <w:r w:rsidR="00620A46">
        <w:rPr>
          <w:rFonts w:ascii="Times New Roman" w:hAnsi="Times New Roman" w:cs="Times New Roman"/>
        </w:rPr>
        <w:t xml:space="preserve"> </w:t>
      </w:r>
      <w:r w:rsidR="00620A46">
        <w:rPr>
          <w:rFonts w:ascii="Times New Roman" w:hAnsi="Times New Roman" w:cs="Times New Roman"/>
        </w:rPr>
        <w:fldChar w:fldCharType="begin"/>
      </w:r>
      <w:r w:rsidR="00620A46">
        <w:rPr>
          <w:rFonts w:ascii="Times New Roman" w:hAnsi="Times New Roman" w:cs="Times New Roman"/>
        </w:rPr>
        <w:instrText xml:space="preserve"> ADDIN ZOTERO_ITEM CSL_CITATION {"citationID":"QEvCqFs6","properties":{"formattedCitation":"[27]","plainCitation":"[27]","noteIndex":0},"citationItems":[{"id":2205,"uris":["http://zotero.org/users/local/S8X13ARX/items/4ELLAR2T"],"itemData":{"id":2205,"type":"article-journal","abstract":"Food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620A46">
        <w:rPr>
          <w:rFonts w:ascii="Times New Roman" w:hAnsi="Times New Roman" w:cs="Times New Roman"/>
        </w:rPr>
        <w:fldChar w:fldCharType="separate"/>
      </w:r>
      <w:r w:rsidR="00620A46">
        <w:rPr>
          <w:rFonts w:ascii="Times New Roman" w:hAnsi="Times New Roman" w:cs="Times New Roman"/>
          <w:noProof/>
        </w:rPr>
        <w:t>[27]</w:t>
      </w:r>
      <w:r w:rsidR="00620A46">
        <w:rPr>
          <w:rFonts w:ascii="Times New Roman" w:hAnsi="Times New Roman" w:cs="Times New Roman"/>
        </w:rPr>
        <w:fldChar w:fldCharType="end"/>
      </w:r>
      <w:r w:rsidR="00620A46">
        <w:rPr>
          <w:rFonts w:ascii="Times New Roman" w:hAnsi="Times New Roman" w:cs="Times New Roman"/>
        </w:rPr>
        <w:t xml:space="preserve">. </w:t>
      </w:r>
      <w:commentRangeStart w:id="1"/>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w:t>
      </w:r>
      <w:r w:rsidR="00E21C9A">
        <w:rPr>
          <w:rFonts w:ascii="Times New Roman" w:hAnsi="Times New Roman" w:cs="Times New Roman"/>
        </w:rPr>
        <w:t>biased</w:t>
      </w:r>
      <w:r w:rsidR="00E21C9A">
        <w:rPr>
          <w:rFonts w:ascii="Times New Roman" w:hAnsi="Times New Roman" w:cs="Times New Roman"/>
        </w:rPr>
        <w:t xml:space="preserve"> survival estimates</w:t>
      </w:r>
      <w:r w:rsidR="00E21C9A">
        <w:rPr>
          <w:rFonts w:ascii="Times New Roman" w:hAnsi="Times New Roman" w:cs="Times New Roman"/>
        </w:rPr>
        <w:t xml:space="preserve">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1"/>
      <w:r w:rsidR="005538C5">
        <w:rPr>
          <w:rStyle w:val="CommentReference"/>
        </w:rPr>
        <w:commentReference w:id="1"/>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lastRenderedPageBreak/>
        <w:t>Results</w:t>
      </w:r>
    </w:p>
    <w:p w14:paraId="12B7EEB3" w14:textId="6F0DF840"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and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AF604F">
        <w:rPr>
          <w:rFonts w:ascii="Times New Roman" w:hAnsi="Times New Roman" w:cs="Times New Roman"/>
        </w:rPr>
        <w:t>d</w:t>
      </w:r>
      <w:r w:rsidR="00332B47">
        <w:rPr>
          <w:rFonts w:ascii="Times New Roman" w:hAnsi="Times New Roman" w:cs="Times New Roman"/>
        </w:rPr>
        <w:t xml:space="preserve"> a lower educational status, live</w:t>
      </w:r>
      <w:r w:rsidR="00AF604F">
        <w:rPr>
          <w:rFonts w:ascii="Times New Roman" w:hAnsi="Times New Roman" w:cs="Times New Roman"/>
        </w:rPr>
        <w:t>d</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332B47">
        <w:rPr>
          <w:rFonts w:ascii="Times New Roman" w:hAnsi="Times New Roman" w:cs="Times New Roman"/>
        </w:rPr>
        <w:t>and have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w:t>
            </w:r>
            <w:r w:rsidRPr="00190925">
              <w:rPr>
                <w:rFonts w:ascii="Times New Roman" w:hAnsi="Times New Roman" w:cs="Times New Roman"/>
                <w:b/>
                <w:bCs/>
                <w:sz w:val="20"/>
                <w:szCs w:val="20"/>
              </w:rPr>
              <w:t>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58A08A20"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the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(FI) pattern was characterized by negative correlations with fruits, vegetables, nuts, and whole grains, a high correlation with added sugars, and a weak-to-moderate positive correlation with meat consumption. The Age pattern was positively correlated with milk consumption, fruit, and whole grains while negatively correlated with cheese intake and to a lesser extent, poultry intake.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0.81). The pattern of correlation coefficients for the household size pattern was also similar to those from the FI and SNAP patterns and shared a moderate correlation with the FI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w:t>
      </w:r>
      <w:r w:rsidR="00BC63A5">
        <w:rPr>
          <w:rFonts w:ascii="Times New Roman" w:hAnsi="Times New Roman" w:cs="Times New Roman"/>
        </w:rPr>
        <w:lastRenderedPageBreak/>
        <w:t>general, appeared to reflect “prudent” patterns, that emphasized the vegetable categories while de-emphasizing added sugars. Prudent pattern #2 had additional nuance, compared to Prudent pattern #1, such as a moderate negative correlation with solid fats and a positive correlation with yogurt and the fruit categories.</w:t>
      </w:r>
      <w:r w:rsidR="00163E9B">
        <w:rPr>
          <w:rFonts w:ascii="Times New Roman" w:hAnsi="Times New Roman" w:cs="Times New Roman"/>
        </w:rPr>
        <w:t xml:space="preserve"> These latter two patterns were also negatively correlated with the FI, SNAP, and Household size patterns in our sample.</w:t>
      </w:r>
      <w:r w:rsidR="00AF604F">
        <w:rPr>
          <w:rFonts w:ascii="Times New Roman" w:hAnsi="Times New Roman" w:cs="Times New Roman"/>
        </w:rPr>
        <w:t xml:space="preserve"> </w:t>
      </w:r>
      <w:r w:rsidR="00AF604F">
        <w:rPr>
          <w:rFonts w:ascii="Times New Roman" w:hAnsi="Times New Roman" w:cs="Times New Roman"/>
        </w:rPr>
        <w:t>In Table 3 we present means and standard deviations of the dietary patterns</w:t>
      </w:r>
      <w:r w:rsidR="00AF604F">
        <w:rPr>
          <w:rFonts w:ascii="Times New Roman" w:hAnsi="Times New Roman" w:cs="Times New Roman"/>
        </w:rPr>
        <w:t xml:space="preserve"> </w:t>
      </w:r>
      <w:r w:rsidR="00AF604F">
        <w:rPr>
          <w:rFonts w:ascii="Times New Roman" w:hAnsi="Times New Roman" w:cs="Times New Roman"/>
        </w:rPr>
        <w:t>stratified</w:t>
      </w:r>
      <w:r w:rsidR="00AF604F">
        <w:rPr>
          <w:rFonts w:ascii="Times New Roman" w:hAnsi="Times New Roman" w:cs="Times New Roman"/>
        </w:rPr>
        <w:t xml:space="preserve"> on food security status</w:t>
      </w:r>
      <w:r w:rsidR="00AF604F">
        <w:rPr>
          <w:rFonts w:ascii="Times New Roman" w:hAnsi="Times New Roman" w:cs="Times New Roman"/>
        </w:rPr>
        <w:t>. On average, food insecure subjects had a significantly higher scores on the food insecurity and SNAP patterns with a smaller effect size noted for the household size pattern. Moreover, food insecure subjects had significantly lower scores on the Age, Prudent #1, and Prudent #2 patterns compared to food secure subject.</w:t>
      </w:r>
      <w:r w:rsidR="00AF604F">
        <w:rPr>
          <w:rFonts w:ascii="Times New Roman" w:hAnsi="Times New Roman" w:cs="Times New Roman"/>
        </w:rPr>
        <w:t xml:space="preserve"> Of note, the largest effect size was for </w:t>
      </w:r>
      <w:r w:rsidR="00AF604F">
        <w:rPr>
          <w:rFonts w:ascii="Times New Roman" w:hAnsi="Times New Roman" w:cs="Times New Roman"/>
        </w:rPr>
        <w:t>Prudent #2</w:t>
      </w:r>
      <w:r w:rsidR="00AF604F">
        <w:rPr>
          <w:rFonts w:ascii="Times New Roman" w:hAnsi="Times New Roman" w:cs="Times New Roman"/>
        </w:rPr>
        <w:t xml:space="preserve"> followed by the Age pattern.</w:t>
      </w: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lastRenderedPageBreak/>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w:t>
            </w:r>
            <w:commentRangeStart w:id="2"/>
            <w:r w:rsidRPr="00B603B5">
              <w:rPr>
                <w:rFonts w:ascii="Times New Roman" w:hAnsi="Times New Roman" w:cs="Times New Roman"/>
                <w:sz w:val="20"/>
                <w:szCs w:val="20"/>
                <w:lang w:bidi="en-US"/>
              </w:rPr>
              <w:t>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xml:space="preserve">) ≥ |0.30| </w:t>
            </w:r>
            <w:commentRangeEnd w:id="2"/>
            <w:r w:rsidRPr="00B603B5">
              <w:rPr>
                <w:rFonts w:ascii="Times New Roman" w:hAnsi="Times New Roman" w:cs="Times New Roman"/>
                <w:sz w:val="20"/>
                <w:szCs w:val="20"/>
              </w:rPr>
              <w:commentReference w:id="2"/>
            </w:r>
            <w:r w:rsidRPr="00B603B5">
              <w:rPr>
                <w:rFonts w:ascii="Times New Roman" w:hAnsi="Times New Roman" w:cs="Times New Roman"/>
                <w:sz w:val="20"/>
                <w:szCs w:val="20"/>
                <w:lang w:bidi="en-US"/>
              </w:rPr>
              <w:t>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77777777"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 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481CEBFC" w:rsidR="00AF604F" w:rsidRDefault="00AF604F" w:rsidP="005C42F5">
      <w:pPr>
        <w:spacing w:line="360" w:lineRule="auto"/>
        <w:ind w:firstLine="720"/>
        <w:rPr>
          <w:rFonts w:ascii="Times New Roman"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 xml:space="preserve">significant associations between the extracted dietary patterns and mortality. </w:t>
      </w:r>
      <w:r w:rsidR="0045132D">
        <w:rPr>
          <w:rFonts w:ascii="Times New Roman" w:hAnsi="Times New Roman" w:cs="Times New Roman"/>
        </w:rPr>
        <w:t xml:space="preserve">These results are presented in Tables 4 and 5.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food insecurity pattern was </w:t>
      </w:r>
      <w:r w:rsidR="00872372">
        <w:rPr>
          <w:rFonts w:ascii="Times New Roman" w:hAnsi="Times New Roman" w:cs="Times New Roman"/>
        </w:rPr>
        <w:lastRenderedPageBreak/>
        <w:t xml:space="preserve">associated with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45132D">
        <w:rPr>
          <w:rFonts w:ascii="Times New Roman" w:hAnsi="Times New Roman" w:cs="Times New Roman"/>
        </w:rPr>
        <w:t xml:space="preserve">Among food insecure cancer survivors, the parameter estimates were </w:t>
      </w:r>
      <w:r w:rsidR="004348ED">
        <w:rPr>
          <w:rFonts w:ascii="Times New Roman" w:hAnsi="Times New Roman" w:cs="Times New Roman"/>
        </w:rPr>
        <w:t xml:space="preserve">similar albeit they contained a higher degree of variance. For those food insecure cancer survivors in the highest quintile of the SNAP pattern, there was a 3.94-fold increased risk of all-cause mortality compared to the lowest quintile. In contrast, there were inverse associations noted for the two “prudent” patterns extracted via PCA. </w:t>
      </w:r>
      <w:r w:rsidR="00F22ED6">
        <w:rPr>
          <w:rFonts w:ascii="Times New Roman" w:hAnsi="Times New Roman" w:cs="Times New Roman"/>
        </w:rPr>
        <w:t>In all cancer survivors in the sample, t</w:t>
      </w:r>
      <w:r w:rsidR="004348ED">
        <w:rPr>
          <w:rFonts w:ascii="Times New Roman" w:hAnsi="Times New Roman" w:cs="Times New Roman"/>
        </w:rPr>
        <w:t xml:space="preserve">he highest quintile of Prudent #1 pattern had a </w:t>
      </w:r>
      <w:commentRangeStart w:id="3"/>
      <w:r w:rsidR="004348ED">
        <w:rPr>
          <w:rFonts w:ascii="Times New Roman" w:hAnsi="Times New Roman" w:cs="Times New Roman"/>
        </w:rPr>
        <w:t xml:space="preserve">46% </w:t>
      </w:r>
      <w:commentRangeEnd w:id="3"/>
      <w:r w:rsidR="004348ED">
        <w:rPr>
          <w:rStyle w:val="CommentReference"/>
        </w:rPr>
        <w:commentReference w:id="3"/>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In food insecure cancer survivors, the highest quintile of Prudent pattern #2 had a 70% decreased risk of all-cause mortality compared </w:t>
      </w:r>
      <w:proofErr w:type="spellStart"/>
      <w:r w:rsidR="00F22ED6">
        <w:rPr>
          <w:rFonts w:ascii="Times New Roman" w:hAnsi="Times New Roman" w:cs="Times New Roman"/>
        </w:rPr>
        <w:t>to</w:t>
      </w:r>
      <w:proofErr w:type="spellEnd"/>
      <w:r w:rsidR="00F22ED6">
        <w:rPr>
          <w:rFonts w:ascii="Times New Roman" w:hAnsi="Times New Roman" w:cs="Times New Roman"/>
        </w:rPr>
        <w:t xml:space="preserve"> the lowest quintile with a significant test for trend across the quintiles.</w:t>
      </w:r>
      <w:r w:rsidR="004348ED">
        <w:rPr>
          <w:rFonts w:ascii="Times New Roman" w:hAnsi="Times New Roman" w:cs="Times New Roman"/>
        </w:rPr>
        <w:t xml:space="preserve">  When we examined cancer-specific mortality, the parameter estimates amongst all cancer survivors were similar to those for all-cause mortality, particular for the Food Insecurity pattern. However, they were not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For the Food Insecurity pattern, there was a 1.23-fold increased risk of cancer-related mortality for a standard deviation increase in the score. For the SNAP pattern, we observed a 1.04-fold increased risk of cancer-related mortality. </w:t>
      </w:r>
    </w:p>
    <w:p w14:paraId="0D1EEFE1" w14:textId="76E54CAC" w:rsidR="004D0389" w:rsidRDefault="004D0389" w:rsidP="005C42F5">
      <w:pPr>
        <w:spacing w:line="360" w:lineRule="auto"/>
        <w:ind w:firstLine="720"/>
        <w:rPr>
          <w:rFonts w:ascii="Times New Roman" w:hAnsi="Times New Roman" w:cs="Times New Roman"/>
        </w:rPr>
      </w:pPr>
    </w:p>
    <w:p w14:paraId="55BB5CB1" w14:textId="118DE309" w:rsidR="004D0389" w:rsidRDefault="004D0389" w:rsidP="005C42F5">
      <w:pPr>
        <w:spacing w:line="360" w:lineRule="auto"/>
        <w:ind w:firstLine="720"/>
        <w:rPr>
          <w:rFonts w:ascii="Times New Roman" w:hAnsi="Times New Roman" w:cs="Times New Roman"/>
        </w:rPr>
      </w:pPr>
    </w:p>
    <w:p w14:paraId="1922C1AF" w14:textId="66955326" w:rsidR="004D0389" w:rsidRDefault="004D0389" w:rsidP="005C42F5">
      <w:pPr>
        <w:spacing w:line="360" w:lineRule="auto"/>
        <w:ind w:firstLine="720"/>
        <w:rPr>
          <w:rFonts w:ascii="Times New Roman" w:hAnsi="Times New Roman" w:cs="Times New Roman"/>
        </w:rPr>
      </w:pPr>
    </w:p>
    <w:p w14:paraId="220DB312" w14:textId="0B4B9DC0" w:rsidR="004D0389" w:rsidRDefault="004D0389" w:rsidP="005C42F5">
      <w:pPr>
        <w:spacing w:line="360" w:lineRule="auto"/>
        <w:ind w:firstLine="72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3A1F232" wp14:editId="57B523B3">
                <wp:simplePos x="0" y="0"/>
                <wp:positionH relativeFrom="column">
                  <wp:posOffset>-1447165</wp:posOffset>
                </wp:positionH>
                <wp:positionV relativeFrom="paragraph">
                  <wp:posOffset>1579880</wp:posOffset>
                </wp:positionV>
                <wp:extent cx="9267825" cy="6108700"/>
                <wp:effectExtent l="4763" t="0" r="7937" b="7938"/>
                <wp:wrapSquare wrapText="bothSides"/>
                <wp:docPr id="2" name="Text Box 2"/>
                <wp:cNvGraphicFramePr/>
                <a:graphic xmlns:a="http://schemas.openxmlformats.org/drawingml/2006/main">
                  <a:graphicData uri="http://schemas.microsoft.com/office/word/2010/wordprocessingShape">
                    <wps:wsp>
                      <wps:cNvSpPr txBox="1"/>
                      <wps:spPr>
                        <a:xfrm rot="16200000">
                          <a:off x="0" y="0"/>
                          <a:ext cx="9267825" cy="6108700"/>
                        </a:xfrm>
                        <a:prstGeom prst="rect">
                          <a:avLst/>
                        </a:prstGeom>
                        <a:solidFill>
                          <a:schemeClr val="lt1"/>
                        </a:solidFill>
                        <a:ln w="6350">
                          <a:solidFill>
                            <a:prstClr val="black"/>
                          </a:solid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43686E" w:rsidRPr="00D4402D" w14:paraId="4338D1C5" w14:textId="77777777" w:rsidTr="004D0389">
                              <w:trPr>
                                <w:trHeight w:val="320"/>
                              </w:trPr>
                              <w:tc>
                                <w:tcPr>
                                  <w:tcW w:w="14395" w:type="dxa"/>
                                  <w:gridSpan w:val="10"/>
                                  <w:noWrap/>
                                  <w:vAlign w:val="center"/>
                                </w:tcPr>
                                <w:p w14:paraId="006F2706" w14:textId="5C8AB265" w:rsidR="0043686E" w:rsidRPr="004D0389" w:rsidRDefault="0043686E" w:rsidP="0043686E">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4D0389">
                                    <w:rPr>
                                      <w:rFonts w:ascii="Times New Roman" w:hAnsi="Times New Roman" w:cs="Times New Roman"/>
                                      <w:b/>
                                      <w:bCs/>
                                      <w:sz w:val="20"/>
                                      <w:szCs w:val="20"/>
                                    </w:rPr>
                                    <w:t>4</w:t>
                                  </w:r>
                                  <w:r>
                                    <w:rPr>
                                      <w:rFonts w:ascii="Times New Roman" w:hAnsi="Times New Roman" w:cs="Times New Roman"/>
                                      <w:sz w:val="20"/>
                                      <w:szCs w:val="20"/>
                                    </w:rPr>
                                    <w:t>. Adjusted hazard ratios and 95% confidence intervals for the risks of all-cause and cause-specific mortalities</w:t>
                                  </w:r>
                                  <w:r w:rsidR="004D0389">
                                    <w:rPr>
                                      <w:rFonts w:ascii="Times New Roman" w:hAnsi="Times New Roman" w:cs="Times New Roman"/>
                                      <w:sz w:val="20"/>
                                      <w:szCs w:val="20"/>
                                    </w:rPr>
                                    <w:t>, in relation to the dietary patterns, within the cancer survivor sample (</w:t>
                                  </w:r>
                                  <w:r w:rsidR="004D0389">
                                    <w:rPr>
                                      <w:rFonts w:ascii="Times New Roman" w:hAnsi="Times New Roman" w:cs="Times New Roman"/>
                                      <w:i/>
                                      <w:iCs/>
                                      <w:sz w:val="20"/>
                                      <w:szCs w:val="20"/>
                                    </w:rPr>
                                    <w:t xml:space="preserve">n </w:t>
                                  </w:r>
                                  <w:r w:rsidR="004D0389" w:rsidRPr="004D0389">
                                    <w:rPr>
                                      <w:rFonts w:ascii="Times New Roman" w:hAnsi="Times New Roman" w:cs="Times New Roman"/>
                                      <w:sz w:val="20"/>
                                      <w:szCs w:val="20"/>
                                    </w:rPr>
                                    <w:t>=</w:t>
                                  </w:r>
                                  <w:r w:rsidR="004D0389">
                                    <w:rPr>
                                      <w:rFonts w:ascii="Times New Roman" w:hAnsi="Times New Roman" w:cs="Times New Roman"/>
                                      <w:sz w:val="20"/>
                                      <w:szCs w:val="20"/>
                                    </w:rPr>
                                    <w:t xml:space="preserve"> 2493)</w:t>
                                  </w:r>
                                  <w:r w:rsidR="004D0389">
                                    <w:rPr>
                                      <w:rFonts w:ascii="Times New Roman" w:hAnsi="Times New Roman" w:cs="Times New Roman"/>
                                      <w:i/>
                                      <w:iCs/>
                                      <w:sz w:val="20"/>
                                      <w:szCs w:val="20"/>
                                    </w:rPr>
                                    <w:t xml:space="preserve"> </w:t>
                                  </w:r>
                                </w:p>
                              </w:tc>
                            </w:tr>
                            <w:tr w:rsidR="00D4402D" w:rsidRPr="00D4402D" w14:paraId="299973A8" w14:textId="77777777" w:rsidTr="004D0389">
                              <w:trPr>
                                <w:trHeight w:val="320"/>
                              </w:trPr>
                              <w:tc>
                                <w:tcPr>
                                  <w:tcW w:w="2317" w:type="dxa"/>
                                  <w:noWrap/>
                                  <w:vAlign w:val="center"/>
                                  <w:hideMark/>
                                </w:tcPr>
                                <w:p w14:paraId="7D623B71" w14:textId="0D92A325" w:rsidR="00D4402D" w:rsidRPr="00173966" w:rsidRDefault="000F3BBC" w:rsidP="001A6E43">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sidR="00173966">
                                    <w:rPr>
                                      <w:rFonts w:ascii="Times New Roman" w:hAnsi="Times New Roman" w:cs="Times New Roman"/>
                                      <w:sz w:val="20"/>
                                      <w:szCs w:val="20"/>
                                      <w:vertAlign w:val="superscript"/>
                                    </w:rPr>
                                    <w:t>d</w:t>
                                  </w:r>
                                  <w:proofErr w:type="spellEnd"/>
                                </w:p>
                              </w:tc>
                              <w:tc>
                                <w:tcPr>
                                  <w:tcW w:w="720" w:type="dxa"/>
                                  <w:noWrap/>
                                  <w:vAlign w:val="center"/>
                                  <w:hideMark/>
                                </w:tcPr>
                                <w:p w14:paraId="650B3F51" w14:textId="0BF0E069" w:rsidR="00D4402D" w:rsidRPr="00D4402D" w:rsidRDefault="00D4402D" w:rsidP="000F3BB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B8905F3" w14:textId="02EE72E0"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2B64153" w14:textId="4094FA6D"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34F4E558" w14:textId="02DFA47B"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320F32CB" w14:textId="4FDA8065"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0C1C56B6" w14:textId="65225626" w:rsidR="00D4402D" w:rsidRPr="00D4402D" w:rsidRDefault="00D4402D" w:rsidP="001A6E43">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36374A1A" w14:textId="1FB8D772" w:rsidR="00D4402D" w:rsidRPr="00D4402D" w:rsidRDefault="00D4402D"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sidR="001A6E43">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22293F4" w14:textId="06620746" w:rsidR="00D4402D" w:rsidRPr="00D4402D" w:rsidRDefault="00D4402D"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sidR="001A6E43">
                                    <w:rPr>
                                      <w:rFonts w:ascii="Times New Roman" w:hAnsi="Times New Roman" w:cs="Times New Roman"/>
                                      <w:sz w:val="20"/>
                                      <w:szCs w:val="20"/>
                                      <w:vertAlign w:val="superscript"/>
                                    </w:rPr>
                                    <w:t>b</w:t>
                                  </w:r>
                                  <w:r w:rsidR="001A6E43">
                                    <w:rPr>
                                      <w:rFonts w:ascii="Times New Roman" w:hAnsi="Times New Roman" w:cs="Times New Roman"/>
                                      <w:b/>
                                      <w:bCs/>
                                      <w:sz w:val="20"/>
                                      <w:szCs w:val="20"/>
                                      <w:vertAlign w:val="subscript"/>
                                    </w:rPr>
                                    <w:t>c</w:t>
                                  </w:r>
                                  <w:r>
                                    <w:rPr>
                                      <w:rFonts w:ascii="Times New Roman" w:hAnsi="Times New Roman" w:cs="Times New Roman"/>
                                      <w:b/>
                                      <w:bCs/>
                                      <w:sz w:val="20"/>
                                      <w:szCs w:val="20"/>
                                      <w:vertAlign w:val="subscript"/>
                                    </w:rPr>
                                    <w:t>ontinuous</w:t>
                                  </w:r>
                                  <w:proofErr w:type="spellEnd"/>
                                </w:p>
                              </w:tc>
                              <w:tc>
                                <w:tcPr>
                                  <w:tcW w:w="958" w:type="dxa"/>
                                  <w:noWrap/>
                                  <w:vAlign w:val="center"/>
                                  <w:hideMark/>
                                </w:tcPr>
                                <w:p w14:paraId="03929637" w14:textId="706B3BB0" w:rsidR="00D4402D" w:rsidRPr="001A6E43" w:rsidRDefault="001A6E43"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0F3BBC" w:rsidRPr="00D4402D" w14:paraId="5EB90413" w14:textId="77777777" w:rsidTr="004D0389">
                              <w:trPr>
                                <w:trHeight w:val="320"/>
                              </w:trPr>
                              <w:tc>
                                <w:tcPr>
                                  <w:tcW w:w="14395" w:type="dxa"/>
                                  <w:gridSpan w:val="10"/>
                                  <w:noWrap/>
                                  <w:vAlign w:val="center"/>
                                </w:tcPr>
                                <w:p w14:paraId="64D872BD" w14:textId="1258D42F" w:rsidR="000F3BBC" w:rsidRPr="00D4402D" w:rsidRDefault="000F3BBC" w:rsidP="00D4402D">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173966" w:rsidRPr="00D4402D" w14:paraId="46B0F3F5" w14:textId="77777777" w:rsidTr="004D0389">
                              <w:trPr>
                                <w:trHeight w:val="320"/>
                              </w:trPr>
                              <w:tc>
                                <w:tcPr>
                                  <w:tcW w:w="2317" w:type="dxa"/>
                                  <w:noWrap/>
                                  <w:vAlign w:val="center"/>
                                  <w:hideMark/>
                                </w:tcPr>
                                <w:p w14:paraId="7EF6BCEC" w14:textId="4A4BB328"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808E78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A73E2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308074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460D0A7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D57238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12FA3FD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257000A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4D5256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10090FD4"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0.63</w:t>
                                  </w:r>
                                </w:p>
                              </w:tc>
                            </w:tr>
                            <w:tr w:rsidR="00173966" w:rsidRPr="00D4402D" w14:paraId="41F8207D" w14:textId="77777777" w:rsidTr="004D0389">
                              <w:trPr>
                                <w:trHeight w:val="320"/>
                              </w:trPr>
                              <w:tc>
                                <w:tcPr>
                                  <w:tcW w:w="2317" w:type="dxa"/>
                                  <w:noWrap/>
                                  <w:vAlign w:val="center"/>
                                  <w:hideMark/>
                                </w:tcPr>
                                <w:p w14:paraId="0D8BE3D6" w14:textId="03E4ADC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525ABF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143534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EDE0915"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670F39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4E0D94E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7A1707B5"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608FB31F"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03D79C9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019EBE5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0.83</w:t>
                                  </w:r>
                                </w:p>
                              </w:tc>
                            </w:tr>
                            <w:tr w:rsidR="00173966" w:rsidRPr="00D4402D" w14:paraId="331B41F2" w14:textId="77777777" w:rsidTr="004D0389">
                              <w:trPr>
                                <w:trHeight w:val="320"/>
                              </w:trPr>
                              <w:tc>
                                <w:tcPr>
                                  <w:tcW w:w="2317" w:type="dxa"/>
                                  <w:noWrap/>
                                  <w:vAlign w:val="center"/>
                                  <w:hideMark/>
                                </w:tcPr>
                                <w:p w14:paraId="670326F0" w14:textId="4112210C"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B98673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BCB87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2FDA75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680A777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4962AE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3FF7F65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26B26A82"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25ACBD3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6EE3C57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0.93</w:t>
                                  </w:r>
                                </w:p>
                              </w:tc>
                            </w:tr>
                            <w:tr w:rsidR="00173966" w:rsidRPr="00D4402D" w14:paraId="68828C15" w14:textId="77777777" w:rsidTr="004D0389">
                              <w:trPr>
                                <w:trHeight w:val="320"/>
                              </w:trPr>
                              <w:tc>
                                <w:tcPr>
                                  <w:tcW w:w="2317" w:type="dxa"/>
                                  <w:noWrap/>
                                  <w:vAlign w:val="center"/>
                                  <w:hideMark/>
                                </w:tcPr>
                                <w:p w14:paraId="37BDA0FB" w14:textId="322B49A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90D610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14FE39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DC11D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75A4EA0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2B25E2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1FD2580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6387F34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18D233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4E8BE95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r>
                            <w:tr w:rsidR="00173966" w:rsidRPr="00D4402D" w14:paraId="3CF4A11A" w14:textId="77777777" w:rsidTr="004D0389">
                              <w:trPr>
                                <w:trHeight w:val="320"/>
                              </w:trPr>
                              <w:tc>
                                <w:tcPr>
                                  <w:tcW w:w="2317" w:type="dxa"/>
                                  <w:noWrap/>
                                  <w:vAlign w:val="center"/>
                                  <w:hideMark/>
                                </w:tcPr>
                                <w:p w14:paraId="734502A7" w14:textId="64DC16BA"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D4ECAF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CDFED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B72B8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350E435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F3B5F1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23BCBFF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1B1C4351"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264F27D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45B7F311"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0.11</w:t>
                                  </w:r>
                                </w:p>
                              </w:tc>
                            </w:tr>
                            <w:tr w:rsidR="00173966" w:rsidRPr="00D4402D" w14:paraId="2F1448FE" w14:textId="77777777" w:rsidTr="004D0389">
                              <w:trPr>
                                <w:trHeight w:val="320"/>
                              </w:trPr>
                              <w:tc>
                                <w:tcPr>
                                  <w:tcW w:w="2317" w:type="dxa"/>
                                  <w:noWrap/>
                                  <w:vAlign w:val="center"/>
                                  <w:hideMark/>
                                </w:tcPr>
                                <w:p w14:paraId="0FD538B1" w14:textId="1EEFA036"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C05EC7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4C674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239AA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10F12D4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0F619A4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2E68B88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027C4DB2"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5BD44AE"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7900CF0E"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0.29</w:t>
                                  </w:r>
                                </w:p>
                              </w:tc>
                            </w:tr>
                            <w:tr w:rsidR="000F3BBC" w:rsidRPr="00D4402D" w14:paraId="0DA8B70B" w14:textId="77777777" w:rsidTr="004D0389">
                              <w:trPr>
                                <w:trHeight w:val="320"/>
                              </w:trPr>
                              <w:tc>
                                <w:tcPr>
                                  <w:tcW w:w="14395" w:type="dxa"/>
                                  <w:gridSpan w:val="10"/>
                                  <w:noWrap/>
                                  <w:vAlign w:val="center"/>
                                </w:tcPr>
                                <w:p w14:paraId="220A1BE8" w14:textId="393A60F1" w:rsidR="000F3BBC" w:rsidRPr="00D4402D" w:rsidRDefault="000F3BBC" w:rsidP="000F3BB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173966" w:rsidRPr="00D4402D" w14:paraId="56E09710" w14:textId="77777777" w:rsidTr="004D0389">
                              <w:trPr>
                                <w:trHeight w:val="320"/>
                              </w:trPr>
                              <w:tc>
                                <w:tcPr>
                                  <w:tcW w:w="2317" w:type="dxa"/>
                                  <w:noWrap/>
                                  <w:vAlign w:val="center"/>
                                  <w:hideMark/>
                                </w:tcPr>
                                <w:p w14:paraId="38410A52" w14:textId="3A406373"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3532A0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7FA9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486450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7E11D79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0D884D0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40FF5CD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1F9A259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779FBD4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462D674C"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0.64</w:t>
                                  </w:r>
                                </w:p>
                              </w:tc>
                            </w:tr>
                            <w:tr w:rsidR="00173966" w:rsidRPr="00D4402D" w14:paraId="06547D9A" w14:textId="77777777" w:rsidTr="004D0389">
                              <w:trPr>
                                <w:trHeight w:val="320"/>
                              </w:trPr>
                              <w:tc>
                                <w:tcPr>
                                  <w:tcW w:w="2317" w:type="dxa"/>
                                  <w:noWrap/>
                                  <w:vAlign w:val="center"/>
                                  <w:hideMark/>
                                </w:tcPr>
                                <w:p w14:paraId="01103375" w14:textId="0E2862D5"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9CAAECE"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FA0F77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41856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5A710F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6543949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6CA79CF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753EDB6B"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0774909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1DDB6F9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0.49</w:t>
                                  </w:r>
                                </w:p>
                              </w:tc>
                            </w:tr>
                            <w:tr w:rsidR="00173966" w:rsidRPr="00D4402D" w14:paraId="0F7CC280" w14:textId="77777777" w:rsidTr="004D0389">
                              <w:trPr>
                                <w:trHeight w:val="320"/>
                              </w:trPr>
                              <w:tc>
                                <w:tcPr>
                                  <w:tcW w:w="2317" w:type="dxa"/>
                                  <w:noWrap/>
                                  <w:vAlign w:val="center"/>
                                  <w:hideMark/>
                                </w:tcPr>
                                <w:p w14:paraId="72632195" w14:textId="28641E86"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93675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BEF858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E3B7C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710F599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74ECC4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3A2B256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2445ECA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2994AA8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475E80B7"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0.39</w:t>
                                  </w:r>
                                </w:p>
                              </w:tc>
                            </w:tr>
                            <w:tr w:rsidR="00173966" w:rsidRPr="00D4402D" w14:paraId="438DBEF9" w14:textId="77777777" w:rsidTr="004D0389">
                              <w:trPr>
                                <w:trHeight w:val="320"/>
                              </w:trPr>
                              <w:tc>
                                <w:tcPr>
                                  <w:tcW w:w="2317" w:type="dxa"/>
                                  <w:noWrap/>
                                  <w:vAlign w:val="center"/>
                                  <w:hideMark/>
                                </w:tcPr>
                                <w:p w14:paraId="403E700F" w14:textId="573BFCE4"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3EF30D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324DD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072B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6B9CBE6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77404D0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78D8E66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340AFE6A"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24CF06FF"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354C19FD"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0.25</w:t>
                                  </w:r>
                                </w:p>
                              </w:tc>
                            </w:tr>
                            <w:tr w:rsidR="00173966" w:rsidRPr="00D4402D" w14:paraId="209868C2" w14:textId="77777777" w:rsidTr="004D0389">
                              <w:trPr>
                                <w:trHeight w:val="320"/>
                              </w:trPr>
                              <w:tc>
                                <w:tcPr>
                                  <w:tcW w:w="2317" w:type="dxa"/>
                                  <w:noWrap/>
                                  <w:vAlign w:val="center"/>
                                  <w:hideMark/>
                                </w:tcPr>
                                <w:p w14:paraId="2FE43BE9" w14:textId="426D70FB"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FCB19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9361C8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F0B6F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3CA6FDD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6D65D79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770D4AB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53F866F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7B92B76B"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46936BB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0.84</w:t>
                                  </w:r>
                                </w:p>
                              </w:tc>
                            </w:tr>
                            <w:tr w:rsidR="00173966" w:rsidRPr="00D4402D" w14:paraId="2BD2185B" w14:textId="77777777" w:rsidTr="004D0389">
                              <w:trPr>
                                <w:trHeight w:val="320"/>
                              </w:trPr>
                              <w:tc>
                                <w:tcPr>
                                  <w:tcW w:w="2317" w:type="dxa"/>
                                  <w:noWrap/>
                                  <w:vAlign w:val="center"/>
                                  <w:hideMark/>
                                </w:tcPr>
                                <w:p w14:paraId="11F79812" w14:textId="7DCC614C"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2DFCB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43ECB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CDDF1B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698ED84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280B7A0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5B542EE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4798837A"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40F8A93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1E7FE71D"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0.04*</w:t>
                                  </w:r>
                                </w:p>
                              </w:tc>
                            </w:tr>
                            <w:tr w:rsidR="000F3BBC" w:rsidRPr="00D4402D" w14:paraId="4F88B3B9" w14:textId="77777777" w:rsidTr="004D0389">
                              <w:trPr>
                                <w:trHeight w:val="320"/>
                              </w:trPr>
                              <w:tc>
                                <w:tcPr>
                                  <w:tcW w:w="14395" w:type="dxa"/>
                                  <w:gridSpan w:val="10"/>
                                  <w:noWrap/>
                                  <w:vAlign w:val="center"/>
                                </w:tcPr>
                                <w:p w14:paraId="5DFF49FD" w14:textId="15F9BE2D" w:rsidR="000F3BBC" w:rsidRPr="00D4402D" w:rsidRDefault="000F3BBC" w:rsidP="000F3BB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4402D" w:rsidRPr="00D4402D" w14:paraId="16FAE869" w14:textId="77777777" w:rsidTr="004D0389">
                              <w:trPr>
                                <w:trHeight w:val="320"/>
                              </w:trPr>
                              <w:tc>
                                <w:tcPr>
                                  <w:tcW w:w="2317" w:type="dxa"/>
                                  <w:noWrap/>
                                  <w:vAlign w:val="center"/>
                                  <w:hideMark/>
                                </w:tcPr>
                                <w:p w14:paraId="35FD2636" w14:textId="70C222B9"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Food Insecurity</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3161D0E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978C5A"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F02426"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37A79C46"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3422F46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3C081958"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1DC128B3"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16432BCE"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29F429F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0.84</w:t>
                                  </w:r>
                                </w:p>
                              </w:tc>
                            </w:tr>
                            <w:tr w:rsidR="00D4402D" w:rsidRPr="00D4402D" w14:paraId="474E9BE7" w14:textId="77777777" w:rsidTr="004D0389">
                              <w:trPr>
                                <w:trHeight w:val="320"/>
                              </w:trPr>
                              <w:tc>
                                <w:tcPr>
                                  <w:tcW w:w="2317" w:type="dxa"/>
                                  <w:noWrap/>
                                  <w:vAlign w:val="center"/>
                                  <w:hideMark/>
                                </w:tcPr>
                                <w:p w14:paraId="32B2CB67" w14:textId="62BB05FF"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Age</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68F54ED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5DEBF3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D5B49EB"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622FB681"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5B794FB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57F361E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2EFF35D4"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0FC0E33B"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75DA006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0.79</w:t>
                                  </w:r>
                                </w:p>
                              </w:tc>
                            </w:tr>
                            <w:tr w:rsidR="00D4402D" w:rsidRPr="00D4402D" w14:paraId="78C171F9" w14:textId="77777777" w:rsidTr="004D0389">
                              <w:trPr>
                                <w:trHeight w:val="320"/>
                              </w:trPr>
                              <w:tc>
                                <w:tcPr>
                                  <w:tcW w:w="2317" w:type="dxa"/>
                                  <w:noWrap/>
                                  <w:vAlign w:val="center"/>
                                  <w:hideMark/>
                                </w:tcPr>
                                <w:p w14:paraId="2DBFCC27" w14:textId="3BE1EBF7"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Household Size</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6FB09D52"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5903BF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95A33A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447C3FD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6DAB1C4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5869FBC8"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74ED15D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466D13A2"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6196FEF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0.25</w:t>
                                  </w:r>
                                </w:p>
                              </w:tc>
                            </w:tr>
                            <w:tr w:rsidR="00D4402D" w:rsidRPr="00D4402D" w14:paraId="4A5F0A64" w14:textId="77777777" w:rsidTr="004D0389">
                              <w:trPr>
                                <w:trHeight w:val="320"/>
                              </w:trPr>
                              <w:tc>
                                <w:tcPr>
                                  <w:tcW w:w="2317" w:type="dxa"/>
                                  <w:noWrap/>
                                  <w:vAlign w:val="center"/>
                                  <w:hideMark/>
                                </w:tcPr>
                                <w:p w14:paraId="303E4888" w14:textId="082D905C"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Food Assistance (SNAP)</w:t>
                                  </w:r>
                                  <w:r w:rsidR="00173966" w:rsidRPr="00173966">
                                    <w:rPr>
                                      <w:rFonts w:ascii="Times New Roman" w:hAnsi="Times New Roman" w:cs="Times New Roman"/>
                                      <w:b/>
                                      <w:bCs/>
                                      <w:sz w:val="20"/>
                                      <w:szCs w:val="20"/>
                                      <w:vertAlign w:val="superscript"/>
                                      <w:lang w:bidi="en-US"/>
                                    </w:rPr>
                                    <w:t xml:space="preserve"> </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767B164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12289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2ACD6E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2BBCCA2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04A45ED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0D8013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69B2F537"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1762A35"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7D3DE3F4"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0.95</w:t>
                                  </w:r>
                                </w:p>
                              </w:tc>
                            </w:tr>
                            <w:tr w:rsidR="00D4402D" w:rsidRPr="00D4402D" w14:paraId="2B5CAC39" w14:textId="77777777" w:rsidTr="004D0389">
                              <w:trPr>
                                <w:trHeight w:val="320"/>
                              </w:trPr>
                              <w:tc>
                                <w:tcPr>
                                  <w:tcW w:w="2317" w:type="dxa"/>
                                  <w:noWrap/>
                                  <w:vAlign w:val="center"/>
                                  <w:hideMark/>
                                </w:tcPr>
                                <w:p w14:paraId="3B1E76D2" w14:textId="01E7E1DB" w:rsidR="00D4402D" w:rsidRPr="00D4402D" w:rsidRDefault="000F3BBC" w:rsidP="000F3BBC">
                                  <w:pPr>
                                    <w:rPr>
                                      <w:rFonts w:ascii="Times New Roman" w:hAnsi="Times New Roman" w:cs="Times New Roman"/>
                                      <w:sz w:val="20"/>
                                      <w:szCs w:val="20"/>
                                    </w:rPr>
                                  </w:pPr>
                                  <w:r>
                                    <w:rPr>
                                      <w:rFonts w:ascii="Times New Roman" w:hAnsi="Times New Roman" w:cs="Times New Roman"/>
                                      <w:sz w:val="20"/>
                                      <w:szCs w:val="20"/>
                                    </w:rPr>
                                    <w:t>Prudent #1</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7D9A339A"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FBA88CB"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21E924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79DFD43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1ADE057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5283C5C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244805B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A1018D1"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5694F3E0"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0.36</w:t>
                                  </w:r>
                                </w:p>
                              </w:tc>
                            </w:tr>
                            <w:tr w:rsidR="00D4402D" w:rsidRPr="00D4402D" w14:paraId="37A95FCD" w14:textId="77777777" w:rsidTr="004D0389">
                              <w:trPr>
                                <w:trHeight w:val="320"/>
                              </w:trPr>
                              <w:tc>
                                <w:tcPr>
                                  <w:tcW w:w="2317" w:type="dxa"/>
                                  <w:tcBorders>
                                    <w:bottom w:val="single" w:sz="4" w:space="0" w:color="auto"/>
                                  </w:tcBorders>
                                  <w:noWrap/>
                                  <w:vAlign w:val="center"/>
                                  <w:hideMark/>
                                </w:tcPr>
                                <w:p w14:paraId="1D47C400" w14:textId="37D042C9" w:rsidR="00D4402D" w:rsidRPr="00D4402D" w:rsidRDefault="000F3BBC" w:rsidP="000F3BBC">
                                  <w:pPr>
                                    <w:rPr>
                                      <w:rFonts w:ascii="Times New Roman" w:hAnsi="Times New Roman" w:cs="Times New Roman"/>
                                      <w:sz w:val="20"/>
                                      <w:szCs w:val="20"/>
                                    </w:rPr>
                                  </w:pPr>
                                  <w:r>
                                    <w:rPr>
                                      <w:rFonts w:ascii="Times New Roman" w:hAnsi="Times New Roman" w:cs="Times New Roman"/>
                                      <w:sz w:val="20"/>
                                      <w:szCs w:val="20"/>
                                    </w:rPr>
                                    <w:t>Prudent #</w:t>
                                  </w:r>
                                  <w:r>
                                    <w:rPr>
                                      <w:rFonts w:ascii="Times New Roman" w:hAnsi="Times New Roman" w:cs="Times New Roman"/>
                                      <w:sz w:val="20"/>
                                      <w:szCs w:val="20"/>
                                    </w:rPr>
                                    <w:t>2</w:t>
                                  </w:r>
                                  <w:r w:rsidR="00173966"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09B39E7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4AD2A11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0D7A6D6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2CC4134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7923BB11"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6ACC7130"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401F1B93"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71A7DA"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17411AA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0.90</w:t>
                                  </w:r>
                                </w:p>
                              </w:tc>
                            </w:tr>
                            <w:tr w:rsidR="001A6E43" w:rsidRPr="00D4402D" w14:paraId="02546DC5" w14:textId="77777777" w:rsidTr="004D0389">
                              <w:trPr>
                                <w:trHeight w:val="320"/>
                              </w:trPr>
                              <w:tc>
                                <w:tcPr>
                                  <w:tcW w:w="14395" w:type="dxa"/>
                                  <w:gridSpan w:val="10"/>
                                  <w:tcBorders>
                                    <w:left w:val="nil"/>
                                    <w:bottom w:val="nil"/>
                                    <w:right w:val="nil"/>
                                  </w:tcBorders>
                                  <w:noWrap/>
                                  <w:vAlign w:val="center"/>
                                </w:tcPr>
                                <w:p w14:paraId="401A6357" w14:textId="2A4349DB" w:rsidR="00173966" w:rsidRPr="00173966" w:rsidRDefault="00173966" w:rsidP="00D4402D">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D50A620" w14:textId="3FF89FE1" w:rsidR="001A6E43" w:rsidRDefault="001A6E43" w:rsidP="00D4402D">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2D7649F" w14:textId="06EC3A2D" w:rsidR="001A6E43" w:rsidRDefault="001A6E43" w:rsidP="00D4402D">
                                  <w:pPr>
                                    <w:rPr>
                                      <w:rFonts w:ascii="Times New Roman" w:hAnsi="Times New Roman" w:cs="Times New Roman"/>
                                      <w:sz w:val="20"/>
                                      <w:szCs w:val="20"/>
                                    </w:rPr>
                                  </w:pPr>
                                  <w:r>
                                    <w:rPr>
                                      <w:rFonts w:ascii="Times New Roman" w:hAnsi="Times New Roman" w:cs="Times New Roman"/>
                                      <w:sz w:val="20"/>
                                      <w:szCs w:val="20"/>
                                      <w:vertAlign w:val="superscript"/>
                                    </w:rPr>
                                    <w:t>b</w:t>
                                  </w:r>
                                  <w:r>
                                    <w:rPr>
                                      <w:rFonts w:ascii="Times New Roman" w:hAnsi="Times New Roman" w:cs="Times New Roman"/>
                                      <w:sz w:val="20"/>
                                      <w:szCs w:val="20"/>
                                      <w:vertAlign w:val="superscript"/>
                                    </w:rPr>
                                    <w:t xml:space="preserve"> </w:t>
                                  </w:r>
                                  <w:r w:rsidR="00173966">
                                    <w:rPr>
                                      <w:rFonts w:ascii="Times New Roman" w:hAnsi="Times New Roman" w:cs="Times New Roman"/>
                                      <w:sz w:val="20"/>
                                      <w:szCs w:val="20"/>
                                    </w:rPr>
                                    <w:t>Hazard ratio for a standard deviation increase in the dietary exposure</w:t>
                                  </w:r>
                                  <w:r>
                                    <w:rPr>
                                      <w:rFonts w:ascii="Times New Roman" w:hAnsi="Times New Roman" w:cs="Times New Roman"/>
                                      <w:sz w:val="20"/>
                                      <w:szCs w:val="20"/>
                                    </w:rPr>
                                    <w:t xml:space="preserve">. See Equation </w:t>
                                  </w:r>
                                  <w:r>
                                    <w:rPr>
                                      <w:rFonts w:ascii="Times New Roman" w:hAnsi="Times New Roman" w:cs="Times New Roman"/>
                                      <w:sz w:val="20"/>
                                      <w:szCs w:val="20"/>
                                    </w:rPr>
                                    <w:t>3</w:t>
                                  </w:r>
                                  <w:r>
                                    <w:rPr>
                                      <w:rFonts w:ascii="Times New Roman" w:hAnsi="Times New Roman" w:cs="Times New Roman"/>
                                      <w:sz w:val="20"/>
                                      <w:szCs w:val="20"/>
                                    </w:rPr>
                                    <w:t xml:space="preserve"> in the main text.</w:t>
                                  </w:r>
                                </w:p>
                                <w:p w14:paraId="709E83B3" w14:textId="3487273A" w:rsidR="00173966" w:rsidRDefault="00173966" w:rsidP="00D4402D">
                                  <w:pPr>
                                    <w:rPr>
                                      <w:rFonts w:ascii="Times New Roman" w:hAnsi="Times New Roman" w:cs="Times New Roman"/>
                                      <w:sz w:val="20"/>
                                      <w:szCs w:val="20"/>
                                    </w:rPr>
                                  </w:pPr>
                                  <w:r>
                                    <w:rPr>
                                      <w:rFonts w:ascii="Times New Roman" w:hAnsi="Times New Roman" w:cs="Times New Roman"/>
                                      <w:sz w:val="20"/>
                                      <w:szCs w:val="20"/>
                                      <w:vertAlign w:val="superscript"/>
                                    </w:rPr>
                                    <w:t>c</w:t>
                                  </w: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w:t>
                                  </w:r>
                                  <w:r>
                                    <w:rPr>
                                      <w:rFonts w:ascii="Times New Roman" w:hAnsi="Times New Roman" w:cs="Times New Roman"/>
                                      <w:sz w:val="20"/>
                                      <w:szCs w:val="20"/>
                                    </w:rPr>
                                    <w:t xml:space="preserve">. See Equation </w:t>
                                  </w:r>
                                  <w:r>
                                    <w:rPr>
                                      <w:rFonts w:ascii="Times New Roman" w:hAnsi="Times New Roman" w:cs="Times New Roman"/>
                                      <w:sz w:val="20"/>
                                      <w:szCs w:val="20"/>
                                    </w:rPr>
                                    <w:t>4</w:t>
                                  </w:r>
                                  <w:r>
                                    <w:rPr>
                                      <w:rFonts w:ascii="Times New Roman" w:hAnsi="Times New Roman" w:cs="Times New Roman"/>
                                      <w:sz w:val="20"/>
                                      <w:szCs w:val="20"/>
                                    </w:rPr>
                                    <w:t xml:space="preserve"> in the main text.</w:t>
                                  </w:r>
                                </w:p>
                                <w:p w14:paraId="60D9DB04" w14:textId="149A5150" w:rsidR="00173966" w:rsidRDefault="00173966" w:rsidP="00173966">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7F2E3763" w14:textId="19C48142" w:rsidR="00173966" w:rsidRPr="00173966" w:rsidRDefault="00173966" w:rsidP="00173966">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C5274B6" w14:textId="0C2F697C" w:rsidR="00173966" w:rsidRPr="001A6E43" w:rsidRDefault="00173966" w:rsidP="00D4402D">
                                  <w:pPr>
                                    <w:rPr>
                                      <w:rFonts w:ascii="Times New Roman" w:hAnsi="Times New Roman" w:cs="Times New Roman"/>
                                      <w:sz w:val="20"/>
                                      <w:szCs w:val="20"/>
                                    </w:rPr>
                                  </w:pPr>
                                </w:p>
                              </w:tc>
                            </w:tr>
                          </w:tbl>
                          <w:p w14:paraId="179EA598" w14:textId="1B050E70" w:rsidR="00D4402D" w:rsidRDefault="004D038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1F232" id="Text Box 2" o:spid="_x0000_s1027" type="#_x0000_t202" style="position:absolute;left:0;text-align:left;margin-left:-113.95pt;margin-top:124.4pt;width:729.75pt;height:48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" fillcolor="white [3201]"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43686E" w:rsidRPr="00D4402D" w14:paraId="4338D1C5" w14:textId="77777777" w:rsidTr="004D0389">
                        <w:trPr>
                          <w:trHeight w:val="320"/>
                        </w:trPr>
                        <w:tc>
                          <w:tcPr>
                            <w:tcW w:w="14395" w:type="dxa"/>
                            <w:gridSpan w:val="10"/>
                            <w:noWrap/>
                            <w:vAlign w:val="center"/>
                          </w:tcPr>
                          <w:p w14:paraId="006F2706" w14:textId="5C8AB265" w:rsidR="0043686E" w:rsidRPr="004D0389" w:rsidRDefault="0043686E" w:rsidP="0043686E">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4D0389">
                              <w:rPr>
                                <w:rFonts w:ascii="Times New Roman" w:hAnsi="Times New Roman" w:cs="Times New Roman"/>
                                <w:b/>
                                <w:bCs/>
                                <w:sz w:val="20"/>
                                <w:szCs w:val="20"/>
                              </w:rPr>
                              <w:t>4</w:t>
                            </w:r>
                            <w:r>
                              <w:rPr>
                                <w:rFonts w:ascii="Times New Roman" w:hAnsi="Times New Roman" w:cs="Times New Roman"/>
                                <w:sz w:val="20"/>
                                <w:szCs w:val="20"/>
                              </w:rPr>
                              <w:t>. Adjusted hazard ratios and 95% confidence intervals for the risks of all-cause and cause-specific mortalities</w:t>
                            </w:r>
                            <w:r w:rsidR="004D0389">
                              <w:rPr>
                                <w:rFonts w:ascii="Times New Roman" w:hAnsi="Times New Roman" w:cs="Times New Roman"/>
                                <w:sz w:val="20"/>
                                <w:szCs w:val="20"/>
                              </w:rPr>
                              <w:t>, in relation to the dietary patterns, within the cancer survivor sample (</w:t>
                            </w:r>
                            <w:r w:rsidR="004D0389">
                              <w:rPr>
                                <w:rFonts w:ascii="Times New Roman" w:hAnsi="Times New Roman" w:cs="Times New Roman"/>
                                <w:i/>
                                <w:iCs/>
                                <w:sz w:val="20"/>
                                <w:szCs w:val="20"/>
                              </w:rPr>
                              <w:t xml:space="preserve">n </w:t>
                            </w:r>
                            <w:r w:rsidR="004D0389" w:rsidRPr="004D0389">
                              <w:rPr>
                                <w:rFonts w:ascii="Times New Roman" w:hAnsi="Times New Roman" w:cs="Times New Roman"/>
                                <w:sz w:val="20"/>
                                <w:szCs w:val="20"/>
                              </w:rPr>
                              <w:t>=</w:t>
                            </w:r>
                            <w:r w:rsidR="004D0389">
                              <w:rPr>
                                <w:rFonts w:ascii="Times New Roman" w:hAnsi="Times New Roman" w:cs="Times New Roman"/>
                                <w:sz w:val="20"/>
                                <w:szCs w:val="20"/>
                              </w:rPr>
                              <w:t xml:space="preserve"> 2493)</w:t>
                            </w:r>
                            <w:r w:rsidR="004D0389">
                              <w:rPr>
                                <w:rFonts w:ascii="Times New Roman" w:hAnsi="Times New Roman" w:cs="Times New Roman"/>
                                <w:i/>
                                <w:iCs/>
                                <w:sz w:val="20"/>
                                <w:szCs w:val="20"/>
                              </w:rPr>
                              <w:t xml:space="preserve"> </w:t>
                            </w:r>
                          </w:p>
                        </w:tc>
                      </w:tr>
                      <w:tr w:rsidR="00D4402D" w:rsidRPr="00D4402D" w14:paraId="299973A8" w14:textId="77777777" w:rsidTr="004D0389">
                        <w:trPr>
                          <w:trHeight w:val="320"/>
                        </w:trPr>
                        <w:tc>
                          <w:tcPr>
                            <w:tcW w:w="2317" w:type="dxa"/>
                            <w:noWrap/>
                            <w:vAlign w:val="center"/>
                            <w:hideMark/>
                          </w:tcPr>
                          <w:p w14:paraId="7D623B71" w14:textId="0D92A325" w:rsidR="00D4402D" w:rsidRPr="00173966" w:rsidRDefault="000F3BBC" w:rsidP="001A6E43">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sidR="00173966">
                              <w:rPr>
                                <w:rFonts w:ascii="Times New Roman" w:hAnsi="Times New Roman" w:cs="Times New Roman"/>
                                <w:sz w:val="20"/>
                                <w:szCs w:val="20"/>
                                <w:vertAlign w:val="superscript"/>
                              </w:rPr>
                              <w:t>d</w:t>
                            </w:r>
                            <w:proofErr w:type="spellEnd"/>
                          </w:p>
                        </w:tc>
                        <w:tc>
                          <w:tcPr>
                            <w:tcW w:w="720" w:type="dxa"/>
                            <w:noWrap/>
                            <w:vAlign w:val="center"/>
                            <w:hideMark/>
                          </w:tcPr>
                          <w:p w14:paraId="650B3F51" w14:textId="0BF0E069" w:rsidR="00D4402D" w:rsidRPr="00D4402D" w:rsidRDefault="00D4402D" w:rsidP="000F3BB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B8905F3" w14:textId="02EE72E0"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2B64153" w14:textId="4094FA6D"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34F4E558" w14:textId="02DFA47B"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320F32CB" w14:textId="4FDA8065" w:rsidR="00D4402D" w:rsidRPr="00D4402D" w:rsidRDefault="00D4402D" w:rsidP="000F3BB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0C1C56B6" w14:textId="65225626" w:rsidR="00D4402D" w:rsidRPr="00D4402D" w:rsidRDefault="00D4402D" w:rsidP="001A6E43">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36374A1A" w14:textId="1FB8D772" w:rsidR="00D4402D" w:rsidRPr="00D4402D" w:rsidRDefault="00D4402D"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sidR="001A6E43">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22293F4" w14:textId="06620746" w:rsidR="00D4402D" w:rsidRPr="00D4402D" w:rsidRDefault="00D4402D"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sidR="001A6E43">
                              <w:rPr>
                                <w:rFonts w:ascii="Times New Roman" w:hAnsi="Times New Roman" w:cs="Times New Roman"/>
                                <w:sz w:val="20"/>
                                <w:szCs w:val="20"/>
                                <w:vertAlign w:val="superscript"/>
                              </w:rPr>
                              <w:t>b</w:t>
                            </w:r>
                            <w:r w:rsidR="001A6E43">
                              <w:rPr>
                                <w:rFonts w:ascii="Times New Roman" w:hAnsi="Times New Roman" w:cs="Times New Roman"/>
                                <w:b/>
                                <w:bCs/>
                                <w:sz w:val="20"/>
                                <w:szCs w:val="20"/>
                                <w:vertAlign w:val="subscript"/>
                              </w:rPr>
                              <w:t>c</w:t>
                            </w:r>
                            <w:r>
                              <w:rPr>
                                <w:rFonts w:ascii="Times New Roman" w:hAnsi="Times New Roman" w:cs="Times New Roman"/>
                                <w:b/>
                                <w:bCs/>
                                <w:sz w:val="20"/>
                                <w:szCs w:val="20"/>
                                <w:vertAlign w:val="subscript"/>
                              </w:rPr>
                              <w:t>ontinuous</w:t>
                            </w:r>
                            <w:proofErr w:type="spellEnd"/>
                          </w:p>
                        </w:tc>
                        <w:tc>
                          <w:tcPr>
                            <w:tcW w:w="958" w:type="dxa"/>
                            <w:noWrap/>
                            <w:vAlign w:val="center"/>
                            <w:hideMark/>
                          </w:tcPr>
                          <w:p w14:paraId="03929637" w14:textId="706B3BB0" w:rsidR="00D4402D" w:rsidRPr="001A6E43" w:rsidRDefault="001A6E43" w:rsidP="001A6E43">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0F3BBC" w:rsidRPr="00D4402D" w14:paraId="5EB90413" w14:textId="77777777" w:rsidTr="004D0389">
                        <w:trPr>
                          <w:trHeight w:val="320"/>
                        </w:trPr>
                        <w:tc>
                          <w:tcPr>
                            <w:tcW w:w="14395" w:type="dxa"/>
                            <w:gridSpan w:val="10"/>
                            <w:noWrap/>
                            <w:vAlign w:val="center"/>
                          </w:tcPr>
                          <w:p w14:paraId="64D872BD" w14:textId="1258D42F" w:rsidR="000F3BBC" w:rsidRPr="00D4402D" w:rsidRDefault="000F3BBC" w:rsidP="00D4402D">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173966" w:rsidRPr="00D4402D" w14:paraId="46B0F3F5" w14:textId="77777777" w:rsidTr="004D0389">
                        <w:trPr>
                          <w:trHeight w:val="320"/>
                        </w:trPr>
                        <w:tc>
                          <w:tcPr>
                            <w:tcW w:w="2317" w:type="dxa"/>
                            <w:noWrap/>
                            <w:vAlign w:val="center"/>
                            <w:hideMark/>
                          </w:tcPr>
                          <w:p w14:paraId="7EF6BCEC" w14:textId="4A4BB328"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808E78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A73E2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308074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460D0A7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D57238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12FA3FD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257000A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4D5256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10090FD4"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0.63</w:t>
                            </w:r>
                          </w:p>
                        </w:tc>
                      </w:tr>
                      <w:tr w:rsidR="00173966" w:rsidRPr="00D4402D" w14:paraId="41F8207D" w14:textId="77777777" w:rsidTr="004D0389">
                        <w:trPr>
                          <w:trHeight w:val="320"/>
                        </w:trPr>
                        <w:tc>
                          <w:tcPr>
                            <w:tcW w:w="2317" w:type="dxa"/>
                            <w:noWrap/>
                            <w:vAlign w:val="center"/>
                            <w:hideMark/>
                          </w:tcPr>
                          <w:p w14:paraId="0D8BE3D6" w14:textId="03E4ADC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525ABF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143534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EDE0915"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670F39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4E0D94E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7A1707B5"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608FB31F"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03D79C9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019EBE5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0.83</w:t>
                            </w:r>
                          </w:p>
                        </w:tc>
                      </w:tr>
                      <w:tr w:rsidR="00173966" w:rsidRPr="00D4402D" w14:paraId="331B41F2" w14:textId="77777777" w:rsidTr="004D0389">
                        <w:trPr>
                          <w:trHeight w:val="320"/>
                        </w:trPr>
                        <w:tc>
                          <w:tcPr>
                            <w:tcW w:w="2317" w:type="dxa"/>
                            <w:noWrap/>
                            <w:vAlign w:val="center"/>
                            <w:hideMark/>
                          </w:tcPr>
                          <w:p w14:paraId="670326F0" w14:textId="4112210C"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B98673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BCB87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2FDA75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680A777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4962AE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3FF7F65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26B26A82"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25ACBD3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6EE3C57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0.93</w:t>
                            </w:r>
                          </w:p>
                        </w:tc>
                      </w:tr>
                      <w:tr w:rsidR="00173966" w:rsidRPr="00D4402D" w14:paraId="68828C15" w14:textId="77777777" w:rsidTr="004D0389">
                        <w:trPr>
                          <w:trHeight w:val="320"/>
                        </w:trPr>
                        <w:tc>
                          <w:tcPr>
                            <w:tcW w:w="2317" w:type="dxa"/>
                            <w:noWrap/>
                            <w:vAlign w:val="center"/>
                            <w:hideMark/>
                          </w:tcPr>
                          <w:p w14:paraId="37BDA0FB" w14:textId="322B49A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90D610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14FE39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DC11D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75A4EA0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2B25E2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1FD2580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6387F34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18D233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4E8BE95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r>
                      <w:tr w:rsidR="00173966" w:rsidRPr="00D4402D" w14:paraId="3CF4A11A" w14:textId="77777777" w:rsidTr="004D0389">
                        <w:trPr>
                          <w:trHeight w:val="320"/>
                        </w:trPr>
                        <w:tc>
                          <w:tcPr>
                            <w:tcW w:w="2317" w:type="dxa"/>
                            <w:noWrap/>
                            <w:vAlign w:val="center"/>
                            <w:hideMark/>
                          </w:tcPr>
                          <w:p w14:paraId="734502A7" w14:textId="64DC16BA"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D4ECAF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CDFED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B72B8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350E435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F3B5F1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23BCBFF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1B1C4351"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264F27D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45B7F311"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0.11</w:t>
                            </w:r>
                          </w:p>
                        </w:tc>
                      </w:tr>
                      <w:tr w:rsidR="00173966" w:rsidRPr="00D4402D" w14:paraId="2F1448FE" w14:textId="77777777" w:rsidTr="004D0389">
                        <w:trPr>
                          <w:trHeight w:val="320"/>
                        </w:trPr>
                        <w:tc>
                          <w:tcPr>
                            <w:tcW w:w="2317" w:type="dxa"/>
                            <w:noWrap/>
                            <w:vAlign w:val="center"/>
                            <w:hideMark/>
                          </w:tcPr>
                          <w:p w14:paraId="0FD538B1" w14:textId="1EEFA036"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C05EC7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4C674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239AA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10F12D4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0F619A4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2E68B88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027C4DB2"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5BD44AE"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7900CF0E"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0.29</w:t>
                            </w:r>
                          </w:p>
                        </w:tc>
                      </w:tr>
                      <w:tr w:rsidR="000F3BBC" w:rsidRPr="00D4402D" w14:paraId="0DA8B70B" w14:textId="77777777" w:rsidTr="004D0389">
                        <w:trPr>
                          <w:trHeight w:val="320"/>
                        </w:trPr>
                        <w:tc>
                          <w:tcPr>
                            <w:tcW w:w="14395" w:type="dxa"/>
                            <w:gridSpan w:val="10"/>
                            <w:noWrap/>
                            <w:vAlign w:val="center"/>
                          </w:tcPr>
                          <w:p w14:paraId="220A1BE8" w14:textId="393A60F1" w:rsidR="000F3BBC" w:rsidRPr="00D4402D" w:rsidRDefault="000F3BBC" w:rsidP="000F3BB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173966" w:rsidRPr="00D4402D" w14:paraId="56E09710" w14:textId="77777777" w:rsidTr="004D0389">
                        <w:trPr>
                          <w:trHeight w:val="320"/>
                        </w:trPr>
                        <w:tc>
                          <w:tcPr>
                            <w:tcW w:w="2317" w:type="dxa"/>
                            <w:noWrap/>
                            <w:vAlign w:val="center"/>
                            <w:hideMark/>
                          </w:tcPr>
                          <w:p w14:paraId="38410A52" w14:textId="3A406373"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3532A0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7FA9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486450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7E11D79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0D884D0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40FF5CD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1F9A2590"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779FBD4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462D674C"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0.64</w:t>
                            </w:r>
                          </w:p>
                        </w:tc>
                      </w:tr>
                      <w:tr w:rsidR="00173966" w:rsidRPr="00D4402D" w14:paraId="06547D9A" w14:textId="77777777" w:rsidTr="004D0389">
                        <w:trPr>
                          <w:trHeight w:val="320"/>
                        </w:trPr>
                        <w:tc>
                          <w:tcPr>
                            <w:tcW w:w="2317" w:type="dxa"/>
                            <w:noWrap/>
                            <w:vAlign w:val="center"/>
                            <w:hideMark/>
                          </w:tcPr>
                          <w:p w14:paraId="01103375" w14:textId="0E2862D5"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9CAAECE"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FA0F77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41856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5A710F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6543949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6CA79CF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753EDB6B"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0774909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1DDB6F96"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0.49</w:t>
                            </w:r>
                          </w:p>
                        </w:tc>
                      </w:tr>
                      <w:tr w:rsidR="00173966" w:rsidRPr="00D4402D" w14:paraId="0F7CC280" w14:textId="77777777" w:rsidTr="004D0389">
                        <w:trPr>
                          <w:trHeight w:val="320"/>
                        </w:trPr>
                        <w:tc>
                          <w:tcPr>
                            <w:tcW w:w="2317" w:type="dxa"/>
                            <w:noWrap/>
                            <w:vAlign w:val="center"/>
                            <w:hideMark/>
                          </w:tcPr>
                          <w:p w14:paraId="72632195" w14:textId="28641E86"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93675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BEF858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E3B7CF"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710F599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74ECC414"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3A2B256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2445ECA8"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2994AA8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475E80B7"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0.39</w:t>
                            </w:r>
                          </w:p>
                        </w:tc>
                      </w:tr>
                      <w:tr w:rsidR="00173966" w:rsidRPr="00D4402D" w14:paraId="438DBEF9" w14:textId="77777777" w:rsidTr="004D0389">
                        <w:trPr>
                          <w:trHeight w:val="320"/>
                        </w:trPr>
                        <w:tc>
                          <w:tcPr>
                            <w:tcW w:w="2317" w:type="dxa"/>
                            <w:noWrap/>
                            <w:vAlign w:val="center"/>
                            <w:hideMark/>
                          </w:tcPr>
                          <w:p w14:paraId="403E700F" w14:textId="573BFCE4"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3EF30DC"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324DD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072B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6B9CBE6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77404D0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78D8E66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340AFE6A"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24CF06FF"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354C19FD"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0.25</w:t>
                            </w:r>
                          </w:p>
                        </w:tc>
                      </w:tr>
                      <w:tr w:rsidR="00173966" w:rsidRPr="00D4402D" w14:paraId="209868C2" w14:textId="77777777" w:rsidTr="004D0389">
                        <w:trPr>
                          <w:trHeight w:val="320"/>
                        </w:trPr>
                        <w:tc>
                          <w:tcPr>
                            <w:tcW w:w="2317" w:type="dxa"/>
                            <w:noWrap/>
                            <w:vAlign w:val="center"/>
                            <w:hideMark/>
                          </w:tcPr>
                          <w:p w14:paraId="2FE43BE9" w14:textId="426D70FB"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FCB19A"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9361C8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F0B6F0"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3CA6FDD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6D65D79B"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770D4AB8"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53F866F5"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7B92B76B"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46936BB9"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0.84</w:t>
                            </w:r>
                          </w:p>
                        </w:tc>
                      </w:tr>
                      <w:tr w:rsidR="00173966" w:rsidRPr="00D4402D" w14:paraId="2BD2185B" w14:textId="77777777" w:rsidTr="004D0389">
                        <w:trPr>
                          <w:trHeight w:val="320"/>
                        </w:trPr>
                        <w:tc>
                          <w:tcPr>
                            <w:tcW w:w="2317" w:type="dxa"/>
                            <w:noWrap/>
                            <w:vAlign w:val="center"/>
                            <w:hideMark/>
                          </w:tcPr>
                          <w:p w14:paraId="11F79812" w14:textId="7DCC614C" w:rsidR="00173966" w:rsidRPr="00D4402D" w:rsidRDefault="00173966" w:rsidP="00173966">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2DFCB2"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43ECBD"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CDDF1B6"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698ED843"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280B7A01"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5B542EE9" w14:textId="77777777" w:rsidR="00173966" w:rsidRPr="00D4402D" w:rsidRDefault="00173966" w:rsidP="00173966">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4798837A"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40F8A933"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1E7FE71D" w14:textId="77777777" w:rsidR="00173966" w:rsidRPr="00D4402D" w:rsidRDefault="00173966" w:rsidP="00173966">
                            <w:pPr>
                              <w:rPr>
                                <w:rFonts w:ascii="Times New Roman" w:hAnsi="Times New Roman" w:cs="Times New Roman"/>
                                <w:sz w:val="20"/>
                                <w:szCs w:val="20"/>
                              </w:rPr>
                            </w:pPr>
                            <w:r w:rsidRPr="00D4402D">
                              <w:rPr>
                                <w:rFonts w:ascii="Times New Roman" w:hAnsi="Times New Roman" w:cs="Times New Roman"/>
                                <w:sz w:val="20"/>
                                <w:szCs w:val="20"/>
                              </w:rPr>
                              <w:t>0.04*</w:t>
                            </w:r>
                          </w:p>
                        </w:tc>
                      </w:tr>
                      <w:tr w:rsidR="000F3BBC" w:rsidRPr="00D4402D" w14:paraId="4F88B3B9" w14:textId="77777777" w:rsidTr="004D0389">
                        <w:trPr>
                          <w:trHeight w:val="320"/>
                        </w:trPr>
                        <w:tc>
                          <w:tcPr>
                            <w:tcW w:w="14395" w:type="dxa"/>
                            <w:gridSpan w:val="10"/>
                            <w:noWrap/>
                            <w:vAlign w:val="center"/>
                          </w:tcPr>
                          <w:p w14:paraId="5DFF49FD" w14:textId="15F9BE2D" w:rsidR="000F3BBC" w:rsidRPr="00D4402D" w:rsidRDefault="000F3BBC" w:rsidP="000F3BB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4402D" w:rsidRPr="00D4402D" w14:paraId="16FAE869" w14:textId="77777777" w:rsidTr="004D0389">
                        <w:trPr>
                          <w:trHeight w:val="320"/>
                        </w:trPr>
                        <w:tc>
                          <w:tcPr>
                            <w:tcW w:w="2317" w:type="dxa"/>
                            <w:noWrap/>
                            <w:vAlign w:val="center"/>
                            <w:hideMark/>
                          </w:tcPr>
                          <w:p w14:paraId="35FD2636" w14:textId="70C222B9"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Food Insecurity</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3161D0E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978C5A"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F02426"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37A79C46"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3422F46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3C081958"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1DC128B3"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16432BCE"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29F429F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0.84</w:t>
                            </w:r>
                          </w:p>
                        </w:tc>
                      </w:tr>
                      <w:tr w:rsidR="00D4402D" w:rsidRPr="00D4402D" w14:paraId="474E9BE7" w14:textId="77777777" w:rsidTr="004D0389">
                        <w:trPr>
                          <w:trHeight w:val="320"/>
                        </w:trPr>
                        <w:tc>
                          <w:tcPr>
                            <w:tcW w:w="2317" w:type="dxa"/>
                            <w:noWrap/>
                            <w:vAlign w:val="center"/>
                            <w:hideMark/>
                          </w:tcPr>
                          <w:p w14:paraId="32B2CB67" w14:textId="62BB05FF"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Age</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68F54ED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5DEBF3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D5B49EB"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622FB681"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5B794FB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57F361E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2EFF35D4"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0FC0E33B"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75DA006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0.79</w:t>
                            </w:r>
                          </w:p>
                        </w:tc>
                      </w:tr>
                      <w:tr w:rsidR="00D4402D" w:rsidRPr="00D4402D" w14:paraId="78C171F9" w14:textId="77777777" w:rsidTr="004D0389">
                        <w:trPr>
                          <w:trHeight w:val="320"/>
                        </w:trPr>
                        <w:tc>
                          <w:tcPr>
                            <w:tcW w:w="2317" w:type="dxa"/>
                            <w:noWrap/>
                            <w:vAlign w:val="center"/>
                            <w:hideMark/>
                          </w:tcPr>
                          <w:p w14:paraId="2DBFCC27" w14:textId="3BE1EBF7"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Household Size</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6FB09D52"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5903BF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95A33A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447C3FD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6DAB1C4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5869FBC8"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74ED15D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466D13A2"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6196FEF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0.25</w:t>
                            </w:r>
                          </w:p>
                        </w:tc>
                      </w:tr>
                      <w:tr w:rsidR="00D4402D" w:rsidRPr="00D4402D" w14:paraId="4A5F0A64" w14:textId="77777777" w:rsidTr="004D0389">
                        <w:trPr>
                          <w:trHeight w:val="320"/>
                        </w:trPr>
                        <w:tc>
                          <w:tcPr>
                            <w:tcW w:w="2317" w:type="dxa"/>
                            <w:noWrap/>
                            <w:vAlign w:val="center"/>
                            <w:hideMark/>
                          </w:tcPr>
                          <w:p w14:paraId="303E4888" w14:textId="082D905C" w:rsidR="00D4402D" w:rsidRPr="00D4402D" w:rsidRDefault="00D4402D" w:rsidP="000F3BBC">
                            <w:pPr>
                              <w:rPr>
                                <w:rFonts w:ascii="Times New Roman" w:hAnsi="Times New Roman" w:cs="Times New Roman"/>
                                <w:sz w:val="20"/>
                                <w:szCs w:val="20"/>
                              </w:rPr>
                            </w:pPr>
                            <w:r w:rsidRPr="00D4402D">
                              <w:rPr>
                                <w:rFonts w:ascii="Times New Roman" w:hAnsi="Times New Roman" w:cs="Times New Roman"/>
                                <w:sz w:val="20"/>
                                <w:szCs w:val="20"/>
                              </w:rPr>
                              <w:t>Food Assistance (SNAP)</w:t>
                            </w:r>
                            <w:r w:rsidR="00173966" w:rsidRPr="00173966">
                              <w:rPr>
                                <w:rFonts w:ascii="Times New Roman" w:hAnsi="Times New Roman" w:cs="Times New Roman"/>
                                <w:b/>
                                <w:bCs/>
                                <w:sz w:val="20"/>
                                <w:szCs w:val="20"/>
                                <w:vertAlign w:val="superscript"/>
                                <w:lang w:bidi="en-US"/>
                              </w:rPr>
                              <w:t xml:space="preserve"> </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767B164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12289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2ACD6E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2BBCCA2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04A45EDD"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0D80134"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69B2F537"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1762A35"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7D3DE3F4"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0.95</w:t>
                            </w:r>
                          </w:p>
                        </w:tc>
                      </w:tr>
                      <w:tr w:rsidR="00D4402D" w:rsidRPr="00D4402D" w14:paraId="2B5CAC39" w14:textId="77777777" w:rsidTr="004D0389">
                        <w:trPr>
                          <w:trHeight w:val="320"/>
                        </w:trPr>
                        <w:tc>
                          <w:tcPr>
                            <w:tcW w:w="2317" w:type="dxa"/>
                            <w:noWrap/>
                            <w:vAlign w:val="center"/>
                            <w:hideMark/>
                          </w:tcPr>
                          <w:p w14:paraId="3B1E76D2" w14:textId="01E7E1DB" w:rsidR="00D4402D" w:rsidRPr="00D4402D" w:rsidRDefault="000F3BBC" w:rsidP="000F3BBC">
                            <w:pPr>
                              <w:rPr>
                                <w:rFonts w:ascii="Times New Roman" w:hAnsi="Times New Roman" w:cs="Times New Roman"/>
                                <w:sz w:val="20"/>
                                <w:szCs w:val="20"/>
                              </w:rPr>
                            </w:pPr>
                            <w:r>
                              <w:rPr>
                                <w:rFonts w:ascii="Times New Roman" w:hAnsi="Times New Roman" w:cs="Times New Roman"/>
                                <w:sz w:val="20"/>
                                <w:szCs w:val="20"/>
                              </w:rPr>
                              <w:t>Prudent #1</w:t>
                            </w:r>
                            <w:r w:rsidR="00173966" w:rsidRPr="00173966">
                              <w:rPr>
                                <w:rFonts w:ascii="Times New Roman" w:hAnsi="Times New Roman" w:cs="Times New Roman"/>
                                <w:b/>
                                <w:bCs/>
                                <w:sz w:val="20"/>
                                <w:szCs w:val="20"/>
                                <w:vertAlign w:val="superscript"/>
                                <w:lang w:bidi="en-US"/>
                              </w:rPr>
                              <w:t>‡</w:t>
                            </w:r>
                          </w:p>
                        </w:tc>
                        <w:tc>
                          <w:tcPr>
                            <w:tcW w:w="720" w:type="dxa"/>
                            <w:noWrap/>
                            <w:vAlign w:val="center"/>
                            <w:hideMark/>
                          </w:tcPr>
                          <w:p w14:paraId="7D9A339A"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FBA88CB"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21E924F"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79DFD43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1ADE057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5283C5CC"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244805B8"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A1018D1"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5694F3E0"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0.36</w:t>
                            </w:r>
                          </w:p>
                        </w:tc>
                      </w:tr>
                      <w:tr w:rsidR="00D4402D" w:rsidRPr="00D4402D" w14:paraId="37A95FCD" w14:textId="77777777" w:rsidTr="004D0389">
                        <w:trPr>
                          <w:trHeight w:val="320"/>
                        </w:trPr>
                        <w:tc>
                          <w:tcPr>
                            <w:tcW w:w="2317" w:type="dxa"/>
                            <w:tcBorders>
                              <w:bottom w:val="single" w:sz="4" w:space="0" w:color="auto"/>
                            </w:tcBorders>
                            <w:noWrap/>
                            <w:vAlign w:val="center"/>
                            <w:hideMark/>
                          </w:tcPr>
                          <w:p w14:paraId="1D47C400" w14:textId="37D042C9" w:rsidR="00D4402D" w:rsidRPr="00D4402D" w:rsidRDefault="000F3BBC" w:rsidP="000F3BBC">
                            <w:pPr>
                              <w:rPr>
                                <w:rFonts w:ascii="Times New Roman" w:hAnsi="Times New Roman" w:cs="Times New Roman"/>
                                <w:sz w:val="20"/>
                                <w:szCs w:val="20"/>
                              </w:rPr>
                            </w:pPr>
                            <w:r>
                              <w:rPr>
                                <w:rFonts w:ascii="Times New Roman" w:hAnsi="Times New Roman" w:cs="Times New Roman"/>
                                <w:sz w:val="20"/>
                                <w:szCs w:val="20"/>
                              </w:rPr>
                              <w:t>Prudent #</w:t>
                            </w:r>
                            <w:r>
                              <w:rPr>
                                <w:rFonts w:ascii="Times New Roman" w:hAnsi="Times New Roman" w:cs="Times New Roman"/>
                                <w:sz w:val="20"/>
                                <w:szCs w:val="20"/>
                              </w:rPr>
                              <w:t>2</w:t>
                            </w:r>
                            <w:r w:rsidR="00173966"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09B39E7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4AD2A115"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0D7A6D69"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2CC41343"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7923BB11"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6ACC7130" w14:textId="77777777" w:rsidR="00D4402D" w:rsidRPr="00D4402D" w:rsidRDefault="00D4402D" w:rsidP="000F3BB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401F1B93"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71A7DA"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17411AAF" w14:textId="77777777" w:rsidR="00D4402D" w:rsidRPr="00D4402D" w:rsidRDefault="00D4402D" w:rsidP="00D4402D">
                            <w:pPr>
                              <w:rPr>
                                <w:rFonts w:ascii="Times New Roman" w:hAnsi="Times New Roman" w:cs="Times New Roman"/>
                                <w:sz w:val="20"/>
                                <w:szCs w:val="20"/>
                              </w:rPr>
                            </w:pPr>
                            <w:r w:rsidRPr="00D4402D">
                              <w:rPr>
                                <w:rFonts w:ascii="Times New Roman" w:hAnsi="Times New Roman" w:cs="Times New Roman"/>
                                <w:sz w:val="20"/>
                                <w:szCs w:val="20"/>
                              </w:rPr>
                              <w:t>0.90</w:t>
                            </w:r>
                          </w:p>
                        </w:tc>
                      </w:tr>
                      <w:tr w:rsidR="001A6E43" w:rsidRPr="00D4402D" w14:paraId="02546DC5" w14:textId="77777777" w:rsidTr="004D0389">
                        <w:trPr>
                          <w:trHeight w:val="320"/>
                        </w:trPr>
                        <w:tc>
                          <w:tcPr>
                            <w:tcW w:w="14395" w:type="dxa"/>
                            <w:gridSpan w:val="10"/>
                            <w:tcBorders>
                              <w:left w:val="nil"/>
                              <w:bottom w:val="nil"/>
                              <w:right w:val="nil"/>
                            </w:tcBorders>
                            <w:noWrap/>
                            <w:vAlign w:val="center"/>
                          </w:tcPr>
                          <w:p w14:paraId="401A6357" w14:textId="2A4349DB" w:rsidR="00173966" w:rsidRPr="00173966" w:rsidRDefault="00173966" w:rsidP="00D4402D">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D50A620" w14:textId="3FF89FE1" w:rsidR="001A6E43" w:rsidRDefault="001A6E43" w:rsidP="00D4402D">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2D7649F" w14:textId="06EC3A2D" w:rsidR="001A6E43" w:rsidRDefault="001A6E43" w:rsidP="00D4402D">
                            <w:pPr>
                              <w:rPr>
                                <w:rFonts w:ascii="Times New Roman" w:hAnsi="Times New Roman" w:cs="Times New Roman"/>
                                <w:sz w:val="20"/>
                                <w:szCs w:val="20"/>
                              </w:rPr>
                            </w:pPr>
                            <w:r>
                              <w:rPr>
                                <w:rFonts w:ascii="Times New Roman" w:hAnsi="Times New Roman" w:cs="Times New Roman"/>
                                <w:sz w:val="20"/>
                                <w:szCs w:val="20"/>
                                <w:vertAlign w:val="superscript"/>
                              </w:rPr>
                              <w:t>b</w:t>
                            </w:r>
                            <w:r>
                              <w:rPr>
                                <w:rFonts w:ascii="Times New Roman" w:hAnsi="Times New Roman" w:cs="Times New Roman"/>
                                <w:sz w:val="20"/>
                                <w:szCs w:val="20"/>
                                <w:vertAlign w:val="superscript"/>
                              </w:rPr>
                              <w:t xml:space="preserve"> </w:t>
                            </w:r>
                            <w:r w:rsidR="00173966">
                              <w:rPr>
                                <w:rFonts w:ascii="Times New Roman" w:hAnsi="Times New Roman" w:cs="Times New Roman"/>
                                <w:sz w:val="20"/>
                                <w:szCs w:val="20"/>
                              </w:rPr>
                              <w:t>Hazard ratio for a standard deviation increase in the dietary exposure</w:t>
                            </w:r>
                            <w:r>
                              <w:rPr>
                                <w:rFonts w:ascii="Times New Roman" w:hAnsi="Times New Roman" w:cs="Times New Roman"/>
                                <w:sz w:val="20"/>
                                <w:szCs w:val="20"/>
                              </w:rPr>
                              <w:t xml:space="preserve">. See Equation </w:t>
                            </w:r>
                            <w:r>
                              <w:rPr>
                                <w:rFonts w:ascii="Times New Roman" w:hAnsi="Times New Roman" w:cs="Times New Roman"/>
                                <w:sz w:val="20"/>
                                <w:szCs w:val="20"/>
                              </w:rPr>
                              <w:t>3</w:t>
                            </w:r>
                            <w:r>
                              <w:rPr>
                                <w:rFonts w:ascii="Times New Roman" w:hAnsi="Times New Roman" w:cs="Times New Roman"/>
                                <w:sz w:val="20"/>
                                <w:szCs w:val="20"/>
                              </w:rPr>
                              <w:t xml:space="preserve"> in the main text.</w:t>
                            </w:r>
                          </w:p>
                          <w:p w14:paraId="709E83B3" w14:textId="3487273A" w:rsidR="00173966" w:rsidRDefault="00173966" w:rsidP="00D4402D">
                            <w:pPr>
                              <w:rPr>
                                <w:rFonts w:ascii="Times New Roman" w:hAnsi="Times New Roman" w:cs="Times New Roman"/>
                                <w:sz w:val="20"/>
                                <w:szCs w:val="20"/>
                              </w:rPr>
                            </w:pPr>
                            <w:r>
                              <w:rPr>
                                <w:rFonts w:ascii="Times New Roman" w:hAnsi="Times New Roman" w:cs="Times New Roman"/>
                                <w:sz w:val="20"/>
                                <w:szCs w:val="20"/>
                                <w:vertAlign w:val="superscript"/>
                              </w:rPr>
                              <w:t>c</w:t>
                            </w: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w:t>
                            </w:r>
                            <w:r>
                              <w:rPr>
                                <w:rFonts w:ascii="Times New Roman" w:hAnsi="Times New Roman" w:cs="Times New Roman"/>
                                <w:sz w:val="20"/>
                                <w:szCs w:val="20"/>
                              </w:rPr>
                              <w:t xml:space="preserve">. See Equation </w:t>
                            </w:r>
                            <w:r>
                              <w:rPr>
                                <w:rFonts w:ascii="Times New Roman" w:hAnsi="Times New Roman" w:cs="Times New Roman"/>
                                <w:sz w:val="20"/>
                                <w:szCs w:val="20"/>
                              </w:rPr>
                              <w:t>4</w:t>
                            </w:r>
                            <w:r>
                              <w:rPr>
                                <w:rFonts w:ascii="Times New Roman" w:hAnsi="Times New Roman" w:cs="Times New Roman"/>
                                <w:sz w:val="20"/>
                                <w:szCs w:val="20"/>
                              </w:rPr>
                              <w:t xml:space="preserve"> in the main text.</w:t>
                            </w:r>
                          </w:p>
                          <w:p w14:paraId="60D9DB04" w14:textId="149A5150" w:rsidR="00173966" w:rsidRDefault="00173966" w:rsidP="00173966">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7F2E3763" w14:textId="19C48142" w:rsidR="00173966" w:rsidRPr="00173966" w:rsidRDefault="00173966" w:rsidP="00173966">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C5274B6" w14:textId="0C2F697C" w:rsidR="00173966" w:rsidRPr="001A6E43" w:rsidRDefault="00173966" w:rsidP="00D4402D">
                            <w:pPr>
                              <w:rPr>
                                <w:rFonts w:ascii="Times New Roman" w:hAnsi="Times New Roman" w:cs="Times New Roman"/>
                                <w:sz w:val="20"/>
                                <w:szCs w:val="20"/>
                              </w:rPr>
                            </w:pPr>
                          </w:p>
                        </w:tc>
                      </w:tr>
                    </w:tbl>
                    <w:p w14:paraId="179EA598" w14:textId="1B050E70" w:rsidR="00D4402D" w:rsidRDefault="004D0389">
                      <w:r>
                        <w:t>a</w:t>
                      </w:r>
                    </w:p>
                  </w:txbxContent>
                </v:textbox>
                <w10:wrap type="square"/>
              </v:shape>
            </w:pict>
          </mc:Fallback>
        </mc:AlternateContent>
      </w:r>
    </w:p>
    <w:p w14:paraId="22A8E1FC" w14:textId="171F6F0A" w:rsidR="004D0389" w:rsidRDefault="004D0389" w:rsidP="005C42F5">
      <w:pPr>
        <w:spacing w:line="360" w:lineRule="auto"/>
        <w:ind w:firstLine="720"/>
        <w:rPr>
          <w:rFonts w:ascii="Times New Roman" w:hAnsi="Times New Roman" w:cs="Times New Roman"/>
        </w:rPr>
      </w:pPr>
    </w:p>
    <w:p w14:paraId="41604936" w14:textId="10CA502F" w:rsidR="004D0389" w:rsidRDefault="004D0389" w:rsidP="005C42F5">
      <w:pPr>
        <w:spacing w:line="360" w:lineRule="auto"/>
        <w:ind w:firstLine="720"/>
        <w:rPr>
          <w:rFonts w:ascii="Times New Roman" w:hAnsi="Times New Roman" w:cs="Times New Roman"/>
        </w:rPr>
      </w:pPr>
    </w:p>
    <w:p w14:paraId="6FECCD70" w14:textId="61679338" w:rsidR="004D0389" w:rsidRDefault="004D0389" w:rsidP="005C42F5">
      <w:pPr>
        <w:spacing w:line="360" w:lineRule="auto"/>
        <w:ind w:firstLine="720"/>
        <w:rPr>
          <w:rFonts w:ascii="Times New Roman" w:hAnsi="Times New Roman" w:cs="Times New Roman"/>
        </w:rPr>
      </w:pPr>
    </w:p>
    <w:p w14:paraId="0860F4B8" w14:textId="312971C8" w:rsidR="004D0389" w:rsidRDefault="004D0389" w:rsidP="005C42F5">
      <w:pPr>
        <w:spacing w:line="360" w:lineRule="auto"/>
        <w:ind w:firstLine="720"/>
        <w:rPr>
          <w:rFonts w:ascii="Times New Roman" w:hAnsi="Times New Roman" w:cs="Times New Roman"/>
        </w:rPr>
      </w:pPr>
    </w:p>
    <w:p w14:paraId="27763C8F" w14:textId="5E63A28C" w:rsidR="004D0389" w:rsidRDefault="004D0389" w:rsidP="005C42F5">
      <w:pPr>
        <w:spacing w:line="360" w:lineRule="auto"/>
        <w:ind w:firstLine="720"/>
        <w:rPr>
          <w:rFonts w:ascii="Times New Roman" w:hAnsi="Times New Roman" w:cs="Times New Roman"/>
        </w:rPr>
      </w:pPr>
    </w:p>
    <w:p w14:paraId="12E610A0" w14:textId="6F59740A" w:rsidR="004D0389" w:rsidRDefault="004D0389" w:rsidP="005C42F5">
      <w:pPr>
        <w:spacing w:line="360" w:lineRule="auto"/>
        <w:ind w:firstLine="720"/>
        <w:rPr>
          <w:rFonts w:ascii="Times New Roman" w:hAnsi="Times New Roman" w:cs="Times New Roman"/>
        </w:rPr>
      </w:pPr>
    </w:p>
    <w:p w14:paraId="098BCF23" w14:textId="7D0EB04F" w:rsidR="004D0389" w:rsidRDefault="004D0389" w:rsidP="005C42F5">
      <w:pPr>
        <w:spacing w:line="360" w:lineRule="auto"/>
        <w:ind w:firstLine="720"/>
        <w:rPr>
          <w:rFonts w:ascii="Times New Roman" w:hAnsi="Times New Roman" w:cs="Times New Roman"/>
        </w:rPr>
      </w:pPr>
    </w:p>
    <w:p w14:paraId="4484BECC" w14:textId="632C4267" w:rsidR="004D0389" w:rsidRDefault="004D0389" w:rsidP="005C42F5">
      <w:pPr>
        <w:spacing w:line="360" w:lineRule="auto"/>
        <w:ind w:firstLine="720"/>
        <w:rPr>
          <w:rFonts w:ascii="Times New Roman" w:hAnsi="Times New Roman" w:cs="Times New Roman"/>
        </w:rPr>
      </w:pPr>
    </w:p>
    <w:p w14:paraId="7A5848F2" w14:textId="5F0A0A04" w:rsidR="004D0389" w:rsidRDefault="004D0389" w:rsidP="005C42F5">
      <w:pPr>
        <w:spacing w:line="360" w:lineRule="auto"/>
        <w:ind w:firstLine="720"/>
        <w:rPr>
          <w:rFonts w:ascii="Times New Roman" w:hAnsi="Times New Roman" w:cs="Times New Roman"/>
        </w:rPr>
      </w:pPr>
    </w:p>
    <w:p w14:paraId="40764D6C" w14:textId="1584FAF5" w:rsidR="004D0389" w:rsidRDefault="004D0389" w:rsidP="005C42F5">
      <w:pPr>
        <w:spacing w:line="360" w:lineRule="auto"/>
        <w:ind w:firstLine="720"/>
        <w:rPr>
          <w:rFonts w:ascii="Times New Roman" w:hAnsi="Times New Roman" w:cs="Times New Roman"/>
        </w:rPr>
      </w:pPr>
    </w:p>
    <w:p w14:paraId="299C50DD" w14:textId="158BD63E" w:rsidR="004D0389" w:rsidRDefault="004D0389" w:rsidP="005C42F5">
      <w:pPr>
        <w:spacing w:line="360" w:lineRule="auto"/>
        <w:ind w:firstLine="720"/>
        <w:rPr>
          <w:rFonts w:ascii="Times New Roman" w:hAnsi="Times New Roman" w:cs="Times New Roman"/>
        </w:rPr>
      </w:pPr>
    </w:p>
    <w:p w14:paraId="0BBC5AB6" w14:textId="7092B02F" w:rsidR="004D0389" w:rsidRDefault="004D0389" w:rsidP="005C42F5">
      <w:pPr>
        <w:spacing w:line="360" w:lineRule="auto"/>
        <w:ind w:firstLine="720"/>
        <w:rPr>
          <w:rFonts w:ascii="Times New Roman" w:hAnsi="Times New Roman" w:cs="Times New Roman"/>
        </w:rPr>
      </w:pPr>
    </w:p>
    <w:p w14:paraId="54FEE05A" w14:textId="50F1C751" w:rsidR="004D0389" w:rsidRDefault="004D0389" w:rsidP="005C42F5">
      <w:pPr>
        <w:spacing w:line="360" w:lineRule="auto"/>
        <w:ind w:firstLine="720"/>
        <w:rPr>
          <w:rFonts w:ascii="Times New Roman" w:hAnsi="Times New Roman" w:cs="Times New Roman"/>
        </w:rPr>
      </w:pPr>
    </w:p>
    <w:p w14:paraId="66785A78" w14:textId="1156B168" w:rsidR="004D0389" w:rsidRDefault="004D0389" w:rsidP="005C42F5">
      <w:pPr>
        <w:spacing w:line="360" w:lineRule="auto"/>
        <w:ind w:firstLine="720"/>
        <w:rPr>
          <w:rFonts w:ascii="Times New Roman" w:hAnsi="Times New Roman" w:cs="Times New Roman"/>
        </w:rPr>
      </w:pPr>
    </w:p>
    <w:p w14:paraId="033201B3" w14:textId="3077E634" w:rsidR="004D0389" w:rsidRDefault="004D0389" w:rsidP="005C42F5">
      <w:pPr>
        <w:spacing w:line="360" w:lineRule="auto"/>
        <w:ind w:firstLine="720"/>
        <w:rPr>
          <w:rFonts w:ascii="Times New Roman" w:hAnsi="Times New Roman" w:cs="Times New Roman"/>
        </w:rPr>
      </w:pPr>
    </w:p>
    <w:p w14:paraId="02C718E3" w14:textId="2B12653A" w:rsidR="004D0389" w:rsidRDefault="004D0389" w:rsidP="005C42F5">
      <w:pPr>
        <w:spacing w:line="360" w:lineRule="auto"/>
        <w:ind w:firstLine="720"/>
        <w:rPr>
          <w:rFonts w:ascii="Times New Roman" w:hAnsi="Times New Roman" w:cs="Times New Roman"/>
        </w:rPr>
      </w:pPr>
    </w:p>
    <w:p w14:paraId="7BC234B7" w14:textId="73406DF3" w:rsidR="004D0389" w:rsidRDefault="004D0389" w:rsidP="005C42F5">
      <w:pPr>
        <w:spacing w:line="360" w:lineRule="auto"/>
        <w:ind w:firstLine="720"/>
        <w:rPr>
          <w:rFonts w:ascii="Times New Roman" w:hAnsi="Times New Roman" w:cs="Times New Roman"/>
        </w:rPr>
      </w:pPr>
    </w:p>
    <w:p w14:paraId="50725EAF" w14:textId="4EA737FD" w:rsidR="004D0389" w:rsidRDefault="004D0389" w:rsidP="005C42F5">
      <w:pPr>
        <w:spacing w:line="360" w:lineRule="auto"/>
        <w:ind w:firstLine="720"/>
        <w:rPr>
          <w:rFonts w:ascii="Times New Roman" w:hAnsi="Times New Roman" w:cs="Times New Roman"/>
        </w:rPr>
      </w:pPr>
    </w:p>
    <w:p w14:paraId="001BCBA4" w14:textId="4560072E" w:rsidR="004D0389" w:rsidRDefault="004D0389" w:rsidP="005C42F5">
      <w:pPr>
        <w:spacing w:line="360" w:lineRule="auto"/>
        <w:ind w:firstLine="720"/>
        <w:rPr>
          <w:rFonts w:ascii="Times New Roman" w:hAnsi="Times New Roman" w:cs="Times New Roman"/>
        </w:rPr>
      </w:pPr>
    </w:p>
    <w:p w14:paraId="100036D3" w14:textId="6D79A0EC" w:rsidR="004D0389" w:rsidRDefault="004D0389" w:rsidP="005C42F5">
      <w:pPr>
        <w:spacing w:line="360" w:lineRule="auto"/>
        <w:ind w:firstLine="720"/>
        <w:rPr>
          <w:rFonts w:ascii="Times New Roman" w:hAnsi="Times New Roman" w:cs="Times New Roman"/>
        </w:rPr>
      </w:pPr>
    </w:p>
    <w:p w14:paraId="0EF2E416" w14:textId="77777777" w:rsidR="004D0389" w:rsidRDefault="004D0389" w:rsidP="005C42F5">
      <w:pPr>
        <w:spacing w:line="360" w:lineRule="auto"/>
        <w:ind w:firstLine="720"/>
        <w:rPr>
          <w:rFonts w:ascii="Times New Roman" w:hAnsi="Times New Roman" w:cs="Times New Roman"/>
        </w:rPr>
      </w:pPr>
    </w:p>
    <w:p w14:paraId="67BC6358" w14:textId="2AFFCFD3" w:rsidR="00D4402D" w:rsidRDefault="00D4402D" w:rsidP="005C42F5">
      <w:pPr>
        <w:spacing w:line="360" w:lineRule="auto"/>
        <w:ind w:firstLine="720"/>
        <w:rPr>
          <w:rFonts w:ascii="Times New Roman" w:hAnsi="Times New Roman" w:cs="Times New Roman"/>
        </w:rPr>
      </w:pPr>
    </w:p>
    <w:p w14:paraId="32D4A8DF" w14:textId="47B690A6" w:rsidR="004D0389" w:rsidRDefault="004D0389" w:rsidP="005C42F5">
      <w:pPr>
        <w:spacing w:line="360" w:lineRule="auto"/>
        <w:ind w:firstLine="720"/>
        <w:rPr>
          <w:rFonts w:ascii="Times New Roman" w:hAnsi="Times New Roman" w:cs="Times New Roman"/>
        </w:rPr>
      </w:pPr>
    </w:p>
    <w:p w14:paraId="41D81AEE" w14:textId="1A8DE226" w:rsidR="004D0389" w:rsidRDefault="004D0389" w:rsidP="005C42F5">
      <w:pPr>
        <w:spacing w:line="360" w:lineRule="auto"/>
        <w:ind w:firstLine="720"/>
        <w:rPr>
          <w:rFonts w:ascii="Times New Roman" w:hAnsi="Times New Roman" w:cs="Times New Roman"/>
        </w:rPr>
      </w:pPr>
    </w:p>
    <w:p w14:paraId="50297C6F" w14:textId="629783BE" w:rsidR="004D0389" w:rsidRDefault="004D0389" w:rsidP="004D0389">
      <w:pPr>
        <w:spacing w:line="360" w:lineRule="auto"/>
        <w:rPr>
          <w:rFonts w:ascii="Times New Roman" w:hAnsi="Times New Roman" w:cs="Times New Roman"/>
        </w:rPr>
      </w:pPr>
    </w:p>
    <w:p w14:paraId="69A5EC8F" w14:textId="1D71104E" w:rsidR="004D0389" w:rsidRDefault="004D0389" w:rsidP="005C42F5">
      <w:pPr>
        <w:spacing w:line="360" w:lineRule="auto"/>
        <w:ind w:firstLine="720"/>
        <w:rPr>
          <w:rFonts w:ascii="Times New Roman" w:hAnsi="Times New Roman" w:cs="Times New Roman"/>
        </w:rPr>
      </w:pPr>
    </w:p>
    <w:p w14:paraId="158B3876" w14:textId="1901BC38" w:rsidR="004D0389" w:rsidRDefault="004D0389" w:rsidP="005C42F5">
      <w:pPr>
        <w:spacing w:line="360" w:lineRule="auto"/>
        <w:ind w:firstLine="720"/>
        <w:rPr>
          <w:rFonts w:ascii="Times New Roman" w:hAnsi="Times New Roman" w:cs="Times New Roman"/>
        </w:rPr>
      </w:pPr>
    </w:p>
    <w:p w14:paraId="729E7068" w14:textId="434B2B3C" w:rsidR="004D0389" w:rsidRDefault="004D0389" w:rsidP="005C42F5">
      <w:pPr>
        <w:spacing w:line="360" w:lineRule="auto"/>
        <w:ind w:firstLine="720"/>
        <w:rPr>
          <w:rFonts w:ascii="Times New Roman" w:hAnsi="Times New Roman" w:cs="Times New Roman"/>
        </w:rPr>
      </w:pPr>
    </w:p>
    <w:p w14:paraId="35C6748A" w14:textId="48B6949E" w:rsidR="004D0389" w:rsidRDefault="004D0389" w:rsidP="005C42F5">
      <w:pPr>
        <w:spacing w:line="360" w:lineRule="auto"/>
        <w:ind w:firstLine="720"/>
        <w:rPr>
          <w:rFonts w:ascii="Times New Roman" w:hAnsi="Times New Roman" w:cs="Times New Roman"/>
        </w:rPr>
      </w:pPr>
    </w:p>
    <w:p w14:paraId="372774EB" w14:textId="7FBD1F1A" w:rsidR="004D0389" w:rsidRDefault="004D0389" w:rsidP="005C42F5">
      <w:pPr>
        <w:spacing w:line="360" w:lineRule="auto"/>
        <w:ind w:firstLine="720"/>
        <w:rPr>
          <w:rFonts w:ascii="Times New Roman" w:hAnsi="Times New Roman" w:cs="Times New Roman"/>
        </w:rPr>
      </w:pPr>
    </w:p>
    <w:p w14:paraId="155F3071" w14:textId="1F704146" w:rsidR="004D0389" w:rsidRDefault="004348ED" w:rsidP="005C42F5">
      <w:pPr>
        <w:spacing w:line="360" w:lineRule="auto"/>
        <w:ind w:firstLine="72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2336" behindDoc="0" locked="0" layoutInCell="1" allowOverlap="1" wp14:anchorId="112B293C" wp14:editId="3084E609">
                <wp:simplePos x="0" y="0"/>
                <wp:positionH relativeFrom="column">
                  <wp:posOffset>-1931646</wp:posOffset>
                </wp:positionH>
                <wp:positionV relativeFrom="paragraph">
                  <wp:posOffset>2304879</wp:posOffset>
                </wp:positionV>
                <wp:extent cx="9586352" cy="4977130"/>
                <wp:effectExtent l="5715" t="0" r="8255" b="8255"/>
                <wp:wrapSquare wrapText="bothSides"/>
                <wp:docPr id="4" name="Text Box 4"/>
                <wp:cNvGraphicFramePr/>
                <a:graphic xmlns:a="http://schemas.openxmlformats.org/drawingml/2006/main">
                  <a:graphicData uri="http://schemas.microsoft.com/office/word/2010/wordprocessingShape">
                    <wps:wsp>
                      <wps:cNvSpPr txBox="1"/>
                      <wps:spPr>
                        <a:xfrm rot="16200000">
                          <a:off x="0" y="0"/>
                          <a:ext cx="9586352" cy="4977130"/>
                        </a:xfrm>
                        <a:prstGeom prst="rect">
                          <a:avLst/>
                        </a:prstGeom>
                        <a:solidFill>
                          <a:schemeClr val="lt1"/>
                        </a:solidFill>
                        <a:ln w="6350">
                          <a:solidFill>
                            <a:prstClr val="black"/>
                          </a:solid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4D0389" w:rsidRPr="00D4402D" w14:paraId="77E54F9B" w14:textId="77777777" w:rsidTr="009F43E5">
                              <w:trPr>
                                <w:trHeight w:val="320"/>
                              </w:trPr>
                              <w:tc>
                                <w:tcPr>
                                  <w:tcW w:w="14845" w:type="dxa"/>
                                  <w:gridSpan w:val="10"/>
                                  <w:noWrap/>
                                  <w:vAlign w:val="center"/>
                                </w:tcPr>
                                <w:p w14:paraId="607B5E80" w14:textId="5F0C6EC6" w:rsidR="004D0389" w:rsidRPr="004D0389" w:rsidRDefault="004D0389" w:rsidP="004D0389">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xml:space="preserve">. Adjusted hazard ratios and 95% confidence intervals for the risks of all-cause and cause-specific mortalities, in relation to the dietary patterns, within the </w:t>
                                  </w:r>
                                  <w:r>
                                    <w:rPr>
                                      <w:rFonts w:ascii="Times New Roman" w:hAnsi="Times New Roman" w:cs="Times New Roman"/>
                                      <w:sz w:val="20"/>
                                      <w:szCs w:val="20"/>
                                    </w:rPr>
                                    <w:t>food insecure</w:t>
                                  </w:r>
                                  <w:r w:rsidR="009F43E5">
                                    <w:rPr>
                                      <w:rFonts w:ascii="Times New Roman" w:hAnsi="Times New Roman" w:cs="Times New Roman"/>
                                      <w:sz w:val="20"/>
                                      <w:szCs w:val="20"/>
                                    </w:rPr>
                                    <w:t xml:space="preserve"> </w:t>
                                  </w:r>
                                  <w:r>
                                    <w:rPr>
                                      <w:rFonts w:ascii="Times New Roman" w:hAnsi="Times New Roman" w:cs="Times New Roman"/>
                                      <w:sz w:val="20"/>
                                      <w:szCs w:val="20"/>
                                    </w:rPr>
                                    <w:t>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sz w:val="20"/>
                                      <w:szCs w:val="20"/>
                                    </w:rPr>
                                    <w:t>)</w:t>
                                  </w:r>
                                  <w:r>
                                    <w:rPr>
                                      <w:rFonts w:ascii="Times New Roman" w:hAnsi="Times New Roman" w:cs="Times New Roman"/>
                                      <w:i/>
                                      <w:iCs/>
                                      <w:sz w:val="20"/>
                                      <w:szCs w:val="20"/>
                                    </w:rPr>
                                    <w:t xml:space="preserve"> </w:t>
                                  </w:r>
                                </w:p>
                              </w:tc>
                            </w:tr>
                            <w:tr w:rsidR="004D0389" w:rsidRPr="00D4402D" w14:paraId="7C14292C" w14:textId="77777777" w:rsidTr="009F43E5">
                              <w:trPr>
                                <w:trHeight w:val="320"/>
                              </w:trPr>
                              <w:tc>
                                <w:tcPr>
                                  <w:tcW w:w="2317" w:type="dxa"/>
                                  <w:noWrap/>
                                  <w:vAlign w:val="center"/>
                                  <w:hideMark/>
                                </w:tcPr>
                                <w:p w14:paraId="332BD7DC" w14:textId="77777777" w:rsidR="004D0389" w:rsidRPr="00173966" w:rsidRDefault="004D0389" w:rsidP="004D0389">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3404D1CA" w14:textId="77777777" w:rsidR="004D0389" w:rsidRPr="00D4402D" w:rsidRDefault="004D0389" w:rsidP="004D0389">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37F0F512"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31F68057"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8A66A69"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034D3210"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43864337" w14:textId="77777777" w:rsidR="004D0389" w:rsidRPr="00D4402D" w:rsidRDefault="004D0389" w:rsidP="004D0389">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10CD5FB1" w14:textId="77777777" w:rsidR="004D0389" w:rsidRPr="00D4402D"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31DCB117" w14:textId="77777777" w:rsidR="004D0389" w:rsidRPr="00D4402D"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7A828423" w14:textId="77777777" w:rsidR="004D0389" w:rsidRPr="001A6E43"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4D0389" w:rsidRPr="00D4402D" w14:paraId="3FDE208C" w14:textId="77777777" w:rsidTr="009F43E5">
                              <w:trPr>
                                <w:trHeight w:val="320"/>
                              </w:trPr>
                              <w:tc>
                                <w:tcPr>
                                  <w:tcW w:w="14845" w:type="dxa"/>
                                  <w:gridSpan w:val="10"/>
                                  <w:noWrap/>
                                  <w:vAlign w:val="center"/>
                                </w:tcPr>
                                <w:p w14:paraId="2C7C83EF"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4D0389" w:rsidRPr="00D4402D" w14:paraId="750E01C2" w14:textId="77777777" w:rsidTr="009F43E5">
                              <w:trPr>
                                <w:trHeight w:val="320"/>
                              </w:trPr>
                              <w:tc>
                                <w:tcPr>
                                  <w:tcW w:w="2317" w:type="dxa"/>
                                  <w:noWrap/>
                                  <w:vAlign w:val="center"/>
                                  <w:hideMark/>
                                </w:tcPr>
                                <w:p w14:paraId="47936197"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13C9AD" w14:textId="4FB4DC5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E2CDA4D" w14:textId="1D89E06F"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9BF778B" w14:textId="6C349E1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0159D27C" w14:textId="008A953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DECA15B" w14:textId="1639092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29F716BF" w14:textId="51310E6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073077FB" w14:textId="169BED2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69777C72" w14:textId="3C219E4E"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27EE1E52" w14:textId="01A73E7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4D0389" w:rsidRPr="00D4402D" w14:paraId="798C4CC7" w14:textId="77777777" w:rsidTr="009F43E5">
                              <w:trPr>
                                <w:trHeight w:val="320"/>
                              </w:trPr>
                              <w:tc>
                                <w:tcPr>
                                  <w:tcW w:w="2317" w:type="dxa"/>
                                  <w:noWrap/>
                                  <w:vAlign w:val="center"/>
                                  <w:hideMark/>
                                </w:tcPr>
                                <w:p w14:paraId="356664B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4338AD7" w14:textId="0E4F96A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622E53" w14:textId="02E85A1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980649" w14:textId="5D567C1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4835FA15" w14:textId="25C7D89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9C7D01E" w14:textId="2323A29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6187FC97" w14:textId="20BAFAB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8F22A10" w14:textId="5759990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3D446F4B" w14:textId="07F5768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56E7507" w14:textId="3338692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4D0389" w:rsidRPr="00D4402D" w14:paraId="00BB335D" w14:textId="77777777" w:rsidTr="009F43E5">
                              <w:trPr>
                                <w:trHeight w:val="320"/>
                              </w:trPr>
                              <w:tc>
                                <w:tcPr>
                                  <w:tcW w:w="2317" w:type="dxa"/>
                                  <w:noWrap/>
                                  <w:vAlign w:val="center"/>
                                  <w:hideMark/>
                                </w:tcPr>
                                <w:p w14:paraId="166A7A30"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DDE3BB6" w14:textId="7CA2EF21"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1A57868" w14:textId="11C8FBD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408E59A" w14:textId="4999A56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445D2B26" w14:textId="14DEB9A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454D215A" w14:textId="0D3E785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055DA6" w14:textId="65019EA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57E68EFB" w14:textId="6EB0924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3081FAE" w14:textId="1135012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29B430A7" w14:textId="020A4C7F"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4D0389" w:rsidRPr="00D4402D" w14:paraId="53FDA015" w14:textId="77777777" w:rsidTr="009F43E5">
                              <w:trPr>
                                <w:trHeight w:val="320"/>
                              </w:trPr>
                              <w:tc>
                                <w:tcPr>
                                  <w:tcW w:w="2317" w:type="dxa"/>
                                  <w:noWrap/>
                                  <w:vAlign w:val="center"/>
                                  <w:hideMark/>
                                </w:tcPr>
                                <w:p w14:paraId="28AE2F35"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55D57A" w14:textId="14654AC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0EB8AC4" w14:textId="5CC5AFF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0737507B" w14:textId="2E0F9426"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701738E6" w14:textId="4465A84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45EED4ED" w14:textId="68E8D08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766B6E39" w14:textId="565FB4E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127070A7" w14:textId="32021FB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7E9E7887" w14:textId="5555FF2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2082C649" w14:textId="015D7D0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4D0389" w:rsidRPr="00D4402D" w14:paraId="727C7938" w14:textId="77777777" w:rsidTr="009F43E5">
                              <w:trPr>
                                <w:trHeight w:val="320"/>
                              </w:trPr>
                              <w:tc>
                                <w:tcPr>
                                  <w:tcW w:w="2317" w:type="dxa"/>
                                  <w:noWrap/>
                                  <w:vAlign w:val="center"/>
                                  <w:hideMark/>
                                </w:tcPr>
                                <w:p w14:paraId="43F31CFF"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0AC3488" w14:textId="698C4107"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6833B3" w14:textId="6BB83DA1"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D944241" w14:textId="1545E65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7BBE847D" w14:textId="5018CF5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56ED972F" w14:textId="7D772FF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73CDD5F0" w14:textId="0094F5C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3A955FA9" w14:textId="77939F7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0F839975" w14:textId="711B41DC"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46A2E6C9" w14:textId="3979441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4D0389" w:rsidRPr="00D4402D" w14:paraId="6396558F" w14:textId="77777777" w:rsidTr="009F43E5">
                              <w:trPr>
                                <w:trHeight w:val="320"/>
                              </w:trPr>
                              <w:tc>
                                <w:tcPr>
                                  <w:tcW w:w="2317" w:type="dxa"/>
                                  <w:noWrap/>
                                  <w:vAlign w:val="center"/>
                                  <w:hideMark/>
                                </w:tcPr>
                                <w:p w14:paraId="2C434F22"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D3F9382" w14:textId="15DBC63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7B0AB8FE" w14:textId="196BBAF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567CF26" w14:textId="45F2A0C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5A82CDC7" w14:textId="32202917"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671D377D" w14:textId="079FCCF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66E69B56" w14:textId="7017B62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37E225C8" w14:textId="7E3DFF2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79D046F0" w14:textId="7A1AC726"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463E6ADC" w14:textId="55DB948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4D0389" w:rsidRPr="00D4402D" w14:paraId="26CA355B" w14:textId="77777777" w:rsidTr="009F43E5">
                              <w:trPr>
                                <w:trHeight w:val="320"/>
                              </w:trPr>
                              <w:tc>
                                <w:tcPr>
                                  <w:tcW w:w="14845" w:type="dxa"/>
                                  <w:gridSpan w:val="10"/>
                                  <w:noWrap/>
                                  <w:vAlign w:val="center"/>
                                </w:tcPr>
                                <w:p w14:paraId="195D2E69" w14:textId="77777777" w:rsidR="004D0389" w:rsidRPr="00D4402D" w:rsidRDefault="004D0389" w:rsidP="004D0389">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4D0389" w:rsidRPr="004D0389" w14:paraId="297254F6" w14:textId="77777777" w:rsidTr="009F43E5">
                              <w:trPr>
                                <w:trHeight w:val="320"/>
                              </w:trPr>
                              <w:tc>
                                <w:tcPr>
                                  <w:tcW w:w="2317" w:type="dxa"/>
                                  <w:noWrap/>
                                  <w:vAlign w:val="center"/>
                                  <w:hideMark/>
                                </w:tcPr>
                                <w:p w14:paraId="366DBB47"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AB656C1" w14:textId="2AB4C4A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02AFA4A" w14:textId="33C9532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BD0A9FE" w14:textId="160F3897"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0F166F8F" w14:textId="0CB4BEEA"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6AC28535" w14:textId="4098338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437D2E4D" w14:textId="66B571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346616F7" w14:textId="54B1567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4B8BD726" w14:textId="0E83D4F8"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4EC9A957" w14:textId="4AB9D13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4D0389" w:rsidRPr="004D0389" w14:paraId="6CFC849F" w14:textId="77777777" w:rsidTr="009F43E5">
                              <w:trPr>
                                <w:trHeight w:val="320"/>
                              </w:trPr>
                              <w:tc>
                                <w:tcPr>
                                  <w:tcW w:w="2317" w:type="dxa"/>
                                  <w:noWrap/>
                                  <w:vAlign w:val="center"/>
                                  <w:hideMark/>
                                </w:tcPr>
                                <w:p w14:paraId="2232197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708AC1F" w14:textId="38E2630C"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2C007B1" w14:textId="44774F7F"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BF3D077" w14:textId="766FAC0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139143CB" w14:textId="60DA031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46E27F10" w14:textId="0D651D2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A316B1D" w14:textId="1DAA920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54E743BA" w14:textId="409F3EC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71E0AB7" w14:textId="55B2FE1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668DE7A5" w14:textId="3005DFFF"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4D0389" w:rsidRPr="004D0389" w14:paraId="59BF9137" w14:textId="77777777" w:rsidTr="009F43E5">
                              <w:trPr>
                                <w:trHeight w:val="320"/>
                              </w:trPr>
                              <w:tc>
                                <w:tcPr>
                                  <w:tcW w:w="2317" w:type="dxa"/>
                                  <w:noWrap/>
                                  <w:vAlign w:val="center"/>
                                  <w:hideMark/>
                                </w:tcPr>
                                <w:p w14:paraId="2E78C63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A5A0360" w14:textId="7BC1073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A406553" w14:textId="62D4A31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37BE6C3" w14:textId="6B1D13B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335096DD" w14:textId="518C5D4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35B875D3" w14:textId="07A70A6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8CFBD1" w14:textId="1620518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3BA54470" w14:textId="65E4C50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4E3F496A" w14:textId="094C24C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6CF04CCF" w14:textId="081B63C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4D0389" w:rsidRPr="004D0389" w14:paraId="7C067B3C" w14:textId="77777777" w:rsidTr="009F43E5">
                              <w:trPr>
                                <w:trHeight w:val="320"/>
                              </w:trPr>
                              <w:tc>
                                <w:tcPr>
                                  <w:tcW w:w="2317" w:type="dxa"/>
                                  <w:noWrap/>
                                  <w:vAlign w:val="center"/>
                                  <w:hideMark/>
                                </w:tcPr>
                                <w:p w14:paraId="2532DA1A"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2AE5D93C" w14:textId="63DA579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ECB98B4" w14:textId="60850414"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3AE1D49" w14:textId="44A5FCE0"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79A668EF" w14:textId="5294DD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00149CED" w14:textId="0D26EA7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31D4EC91" w14:textId="37E3946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084408E" w14:textId="6E8728F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7CAD72CE" w14:textId="71B3AE2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251A4645" w14:textId="6F10DFA7"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4D0389" w:rsidRPr="004D0389" w14:paraId="0959E8D1" w14:textId="77777777" w:rsidTr="009F43E5">
                              <w:trPr>
                                <w:trHeight w:val="320"/>
                              </w:trPr>
                              <w:tc>
                                <w:tcPr>
                                  <w:tcW w:w="2317" w:type="dxa"/>
                                  <w:noWrap/>
                                  <w:vAlign w:val="center"/>
                                  <w:hideMark/>
                                </w:tcPr>
                                <w:p w14:paraId="1FB2B984"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683B53A" w14:textId="231E4BDE"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5CC355C" w14:textId="344386B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627C23F" w14:textId="46BEEAC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E53AAB9" w14:textId="071B08E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4AC9721E" w14:textId="0CF07094"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2D2BCCDB" w14:textId="5DA5DFF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45EACE1" w14:textId="34D81DD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F1AD382" w14:textId="7EF994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0330FCAB" w14:textId="4C0ADCEA"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4D0389" w:rsidRPr="004D0389" w14:paraId="1D8407DB" w14:textId="77777777" w:rsidTr="009F43E5">
                              <w:trPr>
                                <w:trHeight w:val="320"/>
                              </w:trPr>
                              <w:tc>
                                <w:tcPr>
                                  <w:tcW w:w="2317" w:type="dxa"/>
                                  <w:noWrap/>
                                  <w:vAlign w:val="center"/>
                                  <w:hideMark/>
                                </w:tcPr>
                                <w:p w14:paraId="59455259"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5375088C" w14:textId="7444400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BD5C6D0" w14:textId="584B13C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338FF3D" w14:textId="51F2D51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1CA4B3A9" w14:textId="6F24F640"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58D0E77" w14:textId="634C414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3F70F4A6" w14:textId="565EDD2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6B66633D" w14:textId="016D31B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51F9FA51" w14:textId="1988E6C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7E04E9A3" w14:textId="7E3E456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4D0389" w:rsidRPr="004D0389" w14:paraId="1C326F0C" w14:textId="77777777" w:rsidTr="009F43E5">
                              <w:trPr>
                                <w:trHeight w:val="320"/>
                              </w:trPr>
                              <w:tc>
                                <w:tcPr>
                                  <w:tcW w:w="14845" w:type="dxa"/>
                                  <w:gridSpan w:val="10"/>
                                  <w:noWrap/>
                                  <w:vAlign w:val="center"/>
                                </w:tcPr>
                                <w:p w14:paraId="6D2E16ED" w14:textId="0A2A07AA" w:rsidR="004D0389" w:rsidRPr="004D0389" w:rsidRDefault="004D0389" w:rsidP="004D0389">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4D0389" w:rsidRPr="00D4402D" w14:paraId="59C4EEED" w14:textId="77777777" w:rsidTr="009F43E5">
                              <w:trPr>
                                <w:trHeight w:val="320"/>
                              </w:trPr>
                              <w:tc>
                                <w:tcPr>
                                  <w:tcW w:w="14845" w:type="dxa"/>
                                  <w:gridSpan w:val="10"/>
                                  <w:tcBorders>
                                    <w:left w:val="nil"/>
                                    <w:bottom w:val="nil"/>
                                    <w:right w:val="nil"/>
                                  </w:tcBorders>
                                  <w:noWrap/>
                                  <w:vAlign w:val="center"/>
                                </w:tcPr>
                                <w:p w14:paraId="31CFF985" w14:textId="77777777" w:rsidR="004D0389" w:rsidRPr="00173966" w:rsidRDefault="004D0389" w:rsidP="004D0389">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2A43451"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4077C877"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4E524A2E"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45F4B574" w14:textId="77777777" w:rsidR="004D0389" w:rsidRDefault="004D0389" w:rsidP="004D0389">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57E20ED0" w14:textId="6FCB14DB" w:rsidR="004D0389" w:rsidRDefault="004D0389" w:rsidP="004D0389">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39681D6" w14:textId="1C77A284" w:rsidR="004D0389" w:rsidRPr="00173966" w:rsidRDefault="004D0389" w:rsidP="004D0389">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w:t>
                                  </w:r>
                                  <w:r w:rsidR="004348ED">
                                    <w:rPr>
                                      <w:rFonts w:ascii="Times New Roman" w:hAnsi="Times New Roman" w:cs="Times New Roman"/>
                                      <w:sz w:val="20"/>
                                      <w:szCs w:val="20"/>
                                      <w:lang w:bidi="en-US"/>
                                    </w:rPr>
                                    <w:t xml:space="preserve">relatively low number of events in the </w:t>
                                  </w:r>
                                  <w:proofErr w:type="spellStart"/>
                                  <w:r w:rsidR="004348ED">
                                    <w:rPr>
                                      <w:rFonts w:ascii="Times New Roman" w:hAnsi="Times New Roman" w:cs="Times New Roman"/>
                                      <w:sz w:val="20"/>
                                      <w:szCs w:val="20"/>
                                      <w:lang w:bidi="en-US"/>
                                    </w:rPr>
                                    <w:t>riusk</w:t>
                                  </w:r>
                                  <w:proofErr w:type="spellEnd"/>
                                  <w:r w:rsidR="004348ED">
                                    <w:rPr>
                                      <w:rFonts w:ascii="Times New Roman" w:hAnsi="Times New Roman" w:cs="Times New Roman"/>
                                      <w:sz w:val="20"/>
                                      <w:szCs w:val="20"/>
                                      <w:lang w:bidi="en-US"/>
                                    </w:rPr>
                                    <w:t xml:space="preserve"> set.</w:t>
                                  </w:r>
                                </w:p>
                                <w:p w14:paraId="165F1C14" w14:textId="77777777" w:rsidR="004D0389" w:rsidRPr="001A6E43" w:rsidRDefault="004D0389" w:rsidP="004D0389">
                                  <w:pPr>
                                    <w:rPr>
                                      <w:rFonts w:ascii="Times New Roman" w:hAnsi="Times New Roman" w:cs="Times New Roman"/>
                                      <w:sz w:val="20"/>
                                      <w:szCs w:val="20"/>
                                    </w:rPr>
                                  </w:pPr>
                                </w:p>
                              </w:tc>
                            </w:tr>
                          </w:tbl>
                          <w:p w14:paraId="5E9E732A" w14:textId="77777777" w:rsidR="004D0389" w:rsidRDefault="004D03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B293C" id="Text Box 4" o:spid="_x0000_s1028" type="#_x0000_t202" style="position:absolute;left:0;text-align:left;margin-left:-152.1pt;margin-top:181.5pt;width:754.85pt;height:391.9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" fillcolor="white [3201]"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4D0389" w:rsidRPr="00D4402D" w14:paraId="77E54F9B" w14:textId="77777777" w:rsidTr="009F43E5">
                        <w:trPr>
                          <w:trHeight w:val="320"/>
                        </w:trPr>
                        <w:tc>
                          <w:tcPr>
                            <w:tcW w:w="14845" w:type="dxa"/>
                            <w:gridSpan w:val="10"/>
                            <w:noWrap/>
                            <w:vAlign w:val="center"/>
                          </w:tcPr>
                          <w:p w14:paraId="607B5E80" w14:textId="5F0C6EC6" w:rsidR="004D0389" w:rsidRPr="004D0389" w:rsidRDefault="004D0389" w:rsidP="004D0389">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xml:space="preserve">. Adjusted hazard ratios and 95% confidence intervals for the risks of all-cause and cause-specific mortalities, in relation to the dietary patterns, within the </w:t>
                            </w:r>
                            <w:r>
                              <w:rPr>
                                <w:rFonts w:ascii="Times New Roman" w:hAnsi="Times New Roman" w:cs="Times New Roman"/>
                                <w:sz w:val="20"/>
                                <w:szCs w:val="20"/>
                              </w:rPr>
                              <w:t>food insecure</w:t>
                            </w:r>
                            <w:r w:rsidR="009F43E5">
                              <w:rPr>
                                <w:rFonts w:ascii="Times New Roman" w:hAnsi="Times New Roman" w:cs="Times New Roman"/>
                                <w:sz w:val="20"/>
                                <w:szCs w:val="20"/>
                              </w:rPr>
                              <w:t xml:space="preserve"> </w:t>
                            </w:r>
                            <w:r>
                              <w:rPr>
                                <w:rFonts w:ascii="Times New Roman" w:hAnsi="Times New Roman" w:cs="Times New Roman"/>
                                <w:sz w:val="20"/>
                                <w:szCs w:val="20"/>
                              </w:rPr>
                              <w:t>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sz w:val="20"/>
                                <w:szCs w:val="20"/>
                              </w:rPr>
                              <w:t>)</w:t>
                            </w:r>
                            <w:r>
                              <w:rPr>
                                <w:rFonts w:ascii="Times New Roman" w:hAnsi="Times New Roman" w:cs="Times New Roman"/>
                                <w:i/>
                                <w:iCs/>
                                <w:sz w:val="20"/>
                                <w:szCs w:val="20"/>
                              </w:rPr>
                              <w:t xml:space="preserve"> </w:t>
                            </w:r>
                          </w:p>
                        </w:tc>
                      </w:tr>
                      <w:tr w:rsidR="004D0389" w:rsidRPr="00D4402D" w14:paraId="7C14292C" w14:textId="77777777" w:rsidTr="009F43E5">
                        <w:trPr>
                          <w:trHeight w:val="320"/>
                        </w:trPr>
                        <w:tc>
                          <w:tcPr>
                            <w:tcW w:w="2317" w:type="dxa"/>
                            <w:noWrap/>
                            <w:vAlign w:val="center"/>
                            <w:hideMark/>
                          </w:tcPr>
                          <w:p w14:paraId="332BD7DC" w14:textId="77777777" w:rsidR="004D0389" w:rsidRPr="00173966" w:rsidRDefault="004D0389" w:rsidP="004D0389">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3404D1CA" w14:textId="77777777" w:rsidR="004D0389" w:rsidRPr="00D4402D" w:rsidRDefault="004D0389" w:rsidP="004D0389">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37F0F512"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31F68057"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8A66A69"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034D3210" w14:textId="77777777" w:rsidR="004D0389" w:rsidRPr="00D4402D" w:rsidRDefault="004D0389" w:rsidP="004D0389">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43864337" w14:textId="77777777" w:rsidR="004D0389" w:rsidRPr="00D4402D" w:rsidRDefault="004D0389" w:rsidP="004D0389">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10CD5FB1" w14:textId="77777777" w:rsidR="004D0389" w:rsidRPr="00D4402D"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31DCB117" w14:textId="77777777" w:rsidR="004D0389" w:rsidRPr="00D4402D"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7A828423" w14:textId="77777777" w:rsidR="004D0389" w:rsidRPr="001A6E43" w:rsidRDefault="004D0389" w:rsidP="004D0389">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4D0389" w:rsidRPr="00D4402D" w14:paraId="3FDE208C" w14:textId="77777777" w:rsidTr="009F43E5">
                        <w:trPr>
                          <w:trHeight w:val="320"/>
                        </w:trPr>
                        <w:tc>
                          <w:tcPr>
                            <w:tcW w:w="14845" w:type="dxa"/>
                            <w:gridSpan w:val="10"/>
                            <w:noWrap/>
                            <w:vAlign w:val="center"/>
                          </w:tcPr>
                          <w:p w14:paraId="2C7C83EF"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4D0389" w:rsidRPr="00D4402D" w14:paraId="750E01C2" w14:textId="77777777" w:rsidTr="009F43E5">
                        <w:trPr>
                          <w:trHeight w:val="320"/>
                        </w:trPr>
                        <w:tc>
                          <w:tcPr>
                            <w:tcW w:w="2317" w:type="dxa"/>
                            <w:noWrap/>
                            <w:vAlign w:val="center"/>
                            <w:hideMark/>
                          </w:tcPr>
                          <w:p w14:paraId="47936197"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13C9AD" w14:textId="4FB4DC5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E2CDA4D" w14:textId="1D89E06F"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9BF778B" w14:textId="6C349E1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0159D27C" w14:textId="008A953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DECA15B" w14:textId="1639092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29F716BF" w14:textId="51310E6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073077FB" w14:textId="169BED2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69777C72" w14:textId="3C219E4E"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27EE1E52" w14:textId="01A73E7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4D0389" w:rsidRPr="00D4402D" w14:paraId="798C4CC7" w14:textId="77777777" w:rsidTr="009F43E5">
                        <w:trPr>
                          <w:trHeight w:val="320"/>
                        </w:trPr>
                        <w:tc>
                          <w:tcPr>
                            <w:tcW w:w="2317" w:type="dxa"/>
                            <w:noWrap/>
                            <w:vAlign w:val="center"/>
                            <w:hideMark/>
                          </w:tcPr>
                          <w:p w14:paraId="356664B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4338AD7" w14:textId="0E4F96A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622E53" w14:textId="02E85A1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980649" w14:textId="5D567C1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4835FA15" w14:textId="25C7D89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9C7D01E" w14:textId="2323A29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6187FC97" w14:textId="20BAFAB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8F22A10" w14:textId="5759990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3D446F4B" w14:textId="07F5768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56E7507" w14:textId="3338692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4D0389" w:rsidRPr="00D4402D" w14:paraId="00BB335D" w14:textId="77777777" w:rsidTr="009F43E5">
                        <w:trPr>
                          <w:trHeight w:val="320"/>
                        </w:trPr>
                        <w:tc>
                          <w:tcPr>
                            <w:tcW w:w="2317" w:type="dxa"/>
                            <w:noWrap/>
                            <w:vAlign w:val="center"/>
                            <w:hideMark/>
                          </w:tcPr>
                          <w:p w14:paraId="166A7A30"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DDE3BB6" w14:textId="7CA2EF21"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1A57868" w14:textId="11C8FBD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408E59A" w14:textId="4999A56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445D2B26" w14:textId="14DEB9A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454D215A" w14:textId="0D3E785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055DA6" w14:textId="65019EA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57E68EFB" w14:textId="6EB0924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3081FAE" w14:textId="1135012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29B430A7" w14:textId="020A4C7F"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4D0389" w:rsidRPr="00D4402D" w14:paraId="53FDA015" w14:textId="77777777" w:rsidTr="009F43E5">
                        <w:trPr>
                          <w:trHeight w:val="320"/>
                        </w:trPr>
                        <w:tc>
                          <w:tcPr>
                            <w:tcW w:w="2317" w:type="dxa"/>
                            <w:noWrap/>
                            <w:vAlign w:val="center"/>
                            <w:hideMark/>
                          </w:tcPr>
                          <w:p w14:paraId="28AE2F35"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55D57A" w14:textId="14654ACA"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0EB8AC4" w14:textId="5CC5AFF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0737507B" w14:textId="2E0F9426"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701738E6" w14:textId="4465A84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45EED4ED" w14:textId="68E8D08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766B6E39" w14:textId="565FB4E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127070A7" w14:textId="32021FB4"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7E9E7887" w14:textId="5555FF2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2082C649" w14:textId="015D7D0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4D0389" w:rsidRPr="00D4402D" w14:paraId="727C7938" w14:textId="77777777" w:rsidTr="009F43E5">
                        <w:trPr>
                          <w:trHeight w:val="320"/>
                        </w:trPr>
                        <w:tc>
                          <w:tcPr>
                            <w:tcW w:w="2317" w:type="dxa"/>
                            <w:noWrap/>
                            <w:vAlign w:val="center"/>
                            <w:hideMark/>
                          </w:tcPr>
                          <w:p w14:paraId="43F31CFF"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0AC3488" w14:textId="698C4107"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6833B3" w14:textId="6BB83DA1"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D944241" w14:textId="1545E65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7BBE847D" w14:textId="5018CF5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56ED972F" w14:textId="7D772FF8"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73CDD5F0" w14:textId="0094F5C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3A955FA9" w14:textId="77939F7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0F839975" w14:textId="711B41DC"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46A2E6C9" w14:textId="39794410"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4D0389" w:rsidRPr="00D4402D" w14:paraId="6396558F" w14:textId="77777777" w:rsidTr="009F43E5">
                        <w:trPr>
                          <w:trHeight w:val="320"/>
                        </w:trPr>
                        <w:tc>
                          <w:tcPr>
                            <w:tcW w:w="2317" w:type="dxa"/>
                            <w:noWrap/>
                            <w:vAlign w:val="center"/>
                            <w:hideMark/>
                          </w:tcPr>
                          <w:p w14:paraId="2C434F22"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D3F9382" w14:textId="15DBC63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7B0AB8FE" w14:textId="196BBAF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567CF26" w14:textId="45F2A0C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5A82CDC7" w14:textId="32202917"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671D377D" w14:textId="079FCCF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66E69B56" w14:textId="7017B625"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37E225C8" w14:textId="7E3DFF2B"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79D046F0" w14:textId="7A1AC726"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463E6ADC" w14:textId="55DB9489"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4D0389" w:rsidRPr="00D4402D" w14:paraId="26CA355B" w14:textId="77777777" w:rsidTr="009F43E5">
                        <w:trPr>
                          <w:trHeight w:val="320"/>
                        </w:trPr>
                        <w:tc>
                          <w:tcPr>
                            <w:tcW w:w="14845" w:type="dxa"/>
                            <w:gridSpan w:val="10"/>
                            <w:noWrap/>
                            <w:vAlign w:val="center"/>
                          </w:tcPr>
                          <w:p w14:paraId="195D2E69" w14:textId="77777777" w:rsidR="004D0389" w:rsidRPr="00D4402D" w:rsidRDefault="004D0389" w:rsidP="004D0389">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4D0389" w:rsidRPr="004D0389" w14:paraId="297254F6" w14:textId="77777777" w:rsidTr="009F43E5">
                        <w:trPr>
                          <w:trHeight w:val="320"/>
                        </w:trPr>
                        <w:tc>
                          <w:tcPr>
                            <w:tcW w:w="2317" w:type="dxa"/>
                            <w:noWrap/>
                            <w:vAlign w:val="center"/>
                            <w:hideMark/>
                          </w:tcPr>
                          <w:p w14:paraId="366DBB47"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AB656C1" w14:textId="2AB4C4A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02AFA4A" w14:textId="33C9532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BD0A9FE" w14:textId="160F3897"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0F166F8F" w14:textId="0CB4BEEA"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6AC28535" w14:textId="4098338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437D2E4D" w14:textId="66B571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346616F7" w14:textId="54B1567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4B8BD726" w14:textId="0E83D4F8"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4EC9A957" w14:textId="4AB9D13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4D0389" w:rsidRPr="004D0389" w14:paraId="6CFC849F" w14:textId="77777777" w:rsidTr="009F43E5">
                        <w:trPr>
                          <w:trHeight w:val="320"/>
                        </w:trPr>
                        <w:tc>
                          <w:tcPr>
                            <w:tcW w:w="2317" w:type="dxa"/>
                            <w:noWrap/>
                            <w:vAlign w:val="center"/>
                            <w:hideMark/>
                          </w:tcPr>
                          <w:p w14:paraId="2232197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708AC1F" w14:textId="38E2630C"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2C007B1" w14:textId="44774F7F"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BF3D077" w14:textId="766FAC0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139143CB" w14:textId="60DA031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46E27F10" w14:textId="0D651D2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A316B1D" w14:textId="1DAA920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54E743BA" w14:textId="409F3EC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71E0AB7" w14:textId="55B2FE1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668DE7A5" w14:textId="3005DFFF"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4D0389" w:rsidRPr="004D0389" w14:paraId="59BF9137" w14:textId="77777777" w:rsidTr="009F43E5">
                        <w:trPr>
                          <w:trHeight w:val="320"/>
                        </w:trPr>
                        <w:tc>
                          <w:tcPr>
                            <w:tcW w:w="2317" w:type="dxa"/>
                            <w:noWrap/>
                            <w:vAlign w:val="center"/>
                            <w:hideMark/>
                          </w:tcPr>
                          <w:p w14:paraId="2E78C63E"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A5A0360" w14:textId="7BC10732"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1A406553" w14:textId="62D4A31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37BE6C3" w14:textId="6B1D13B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335096DD" w14:textId="518C5D4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35B875D3" w14:textId="07A70A6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8CFBD1" w14:textId="1620518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3BA54470" w14:textId="65E4C50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4E3F496A" w14:textId="094C24C1"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6CF04CCF" w14:textId="081B63C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4D0389" w:rsidRPr="004D0389" w14:paraId="7C067B3C" w14:textId="77777777" w:rsidTr="009F43E5">
                        <w:trPr>
                          <w:trHeight w:val="320"/>
                        </w:trPr>
                        <w:tc>
                          <w:tcPr>
                            <w:tcW w:w="2317" w:type="dxa"/>
                            <w:noWrap/>
                            <w:vAlign w:val="center"/>
                            <w:hideMark/>
                          </w:tcPr>
                          <w:p w14:paraId="2532DA1A" w14:textId="77777777" w:rsidR="004D0389" w:rsidRPr="00D4402D" w:rsidRDefault="004D0389" w:rsidP="004D0389">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2AE5D93C" w14:textId="63DA579D"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ECB98B4" w14:textId="60850414"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73AE1D49" w14:textId="44A5FCE0"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79A668EF" w14:textId="5294DD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00149CED" w14:textId="0D26EA7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31D4EC91" w14:textId="37E3946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084408E" w14:textId="6E8728F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7CAD72CE" w14:textId="71B3AE2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251A4645" w14:textId="6F10DFA7"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4D0389" w:rsidRPr="004D0389" w14:paraId="0959E8D1" w14:textId="77777777" w:rsidTr="009F43E5">
                        <w:trPr>
                          <w:trHeight w:val="320"/>
                        </w:trPr>
                        <w:tc>
                          <w:tcPr>
                            <w:tcW w:w="2317" w:type="dxa"/>
                            <w:noWrap/>
                            <w:vAlign w:val="center"/>
                            <w:hideMark/>
                          </w:tcPr>
                          <w:p w14:paraId="1FB2B984"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683B53A" w14:textId="231E4BDE"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5CC355C" w14:textId="344386B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627C23F" w14:textId="46BEEAC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E53AAB9" w14:textId="071B08E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4AC9721E" w14:textId="0CF07094"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2D2BCCDB" w14:textId="5DA5DFF5"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45EACE1" w14:textId="34D81DDE"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F1AD382" w14:textId="7EF9944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0330FCAB" w14:textId="4C0ADCEA"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4D0389" w:rsidRPr="004D0389" w14:paraId="1D8407DB" w14:textId="77777777" w:rsidTr="009F43E5">
                        <w:trPr>
                          <w:trHeight w:val="320"/>
                        </w:trPr>
                        <w:tc>
                          <w:tcPr>
                            <w:tcW w:w="2317" w:type="dxa"/>
                            <w:noWrap/>
                            <w:vAlign w:val="center"/>
                            <w:hideMark/>
                          </w:tcPr>
                          <w:p w14:paraId="59455259" w14:textId="77777777" w:rsidR="004D0389" w:rsidRPr="00D4402D" w:rsidRDefault="004D0389" w:rsidP="004D0389">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5375088C" w14:textId="74444003" w:rsidR="004D0389" w:rsidRPr="004D0389" w:rsidRDefault="004D0389" w:rsidP="004D0389">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BD5C6D0" w14:textId="584B13CB"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338FF3D" w14:textId="51F2D51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1CA4B3A9" w14:textId="6F24F640"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58D0E77" w14:textId="634C414D"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3F70F4A6" w14:textId="565EDD29"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6B66633D" w14:textId="016D31B2"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51F9FA51" w14:textId="1988E6C6"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7E04E9A3" w14:textId="7E3E456C" w:rsidR="004D0389" w:rsidRPr="004D0389" w:rsidRDefault="004D0389" w:rsidP="009F43E5">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4D0389" w:rsidRPr="004D0389" w14:paraId="1C326F0C" w14:textId="77777777" w:rsidTr="009F43E5">
                        <w:trPr>
                          <w:trHeight w:val="320"/>
                        </w:trPr>
                        <w:tc>
                          <w:tcPr>
                            <w:tcW w:w="14845" w:type="dxa"/>
                            <w:gridSpan w:val="10"/>
                            <w:noWrap/>
                            <w:vAlign w:val="center"/>
                          </w:tcPr>
                          <w:p w14:paraId="6D2E16ED" w14:textId="0A2A07AA" w:rsidR="004D0389" w:rsidRPr="004D0389" w:rsidRDefault="004D0389" w:rsidP="004D0389">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4D0389" w:rsidRPr="00D4402D" w14:paraId="59C4EEED" w14:textId="77777777" w:rsidTr="009F43E5">
                        <w:trPr>
                          <w:trHeight w:val="320"/>
                        </w:trPr>
                        <w:tc>
                          <w:tcPr>
                            <w:tcW w:w="14845" w:type="dxa"/>
                            <w:gridSpan w:val="10"/>
                            <w:tcBorders>
                              <w:left w:val="nil"/>
                              <w:bottom w:val="nil"/>
                              <w:right w:val="nil"/>
                            </w:tcBorders>
                            <w:noWrap/>
                            <w:vAlign w:val="center"/>
                          </w:tcPr>
                          <w:p w14:paraId="31CFF985" w14:textId="77777777" w:rsidR="004D0389" w:rsidRPr="00173966" w:rsidRDefault="004D0389" w:rsidP="004D0389">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2A43451"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4077C877"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4E524A2E" w14:textId="77777777" w:rsidR="004D0389" w:rsidRDefault="004D0389" w:rsidP="004D0389">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45F4B574" w14:textId="77777777" w:rsidR="004D0389" w:rsidRDefault="004D0389" w:rsidP="004D0389">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57E20ED0" w14:textId="6FCB14DB" w:rsidR="004D0389" w:rsidRDefault="004D0389" w:rsidP="004D0389">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39681D6" w14:textId="1C77A284" w:rsidR="004D0389" w:rsidRPr="00173966" w:rsidRDefault="004D0389" w:rsidP="004D0389">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w:t>
                            </w:r>
                            <w:r w:rsidR="004348ED">
                              <w:rPr>
                                <w:rFonts w:ascii="Times New Roman" w:hAnsi="Times New Roman" w:cs="Times New Roman"/>
                                <w:sz w:val="20"/>
                                <w:szCs w:val="20"/>
                                <w:lang w:bidi="en-US"/>
                              </w:rPr>
                              <w:t xml:space="preserve">relatively low number of events in the </w:t>
                            </w:r>
                            <w:proofErr w:type="spellStart"/>
                            <w:r w:rsidR="004348ED">
                              <w:rPr>
                                <w:rFonts w:ascii="Times New Roman" w:hAnsi="Times New Roman" w:cs="Times New Roman"/>
                                <w:sz w:val="20"/>
                                <w:szCs w:val="20"/>
                                <w:lang w:bidi="en-US"/>
                              </w:rPr>
                              <w:t>riusk</w:t>
                            </w:r>
                            <w:proofErr w:type="spellEnd"/>
                            <w:r w:rsidR="004348ED">
                              <w:rPr>
                                <w:rFonts w:ascii="Times New Roman" w:hAnsi="Times New Roman" w:cs="Times New Roman"/>
                                <w:sz w:val="20"/>
                                <w:szCs w:val="20"/>
                                <w:lang w:bidi="en-US"/>
                              </w:rPr>
                              <w:t xml:space="preserve"> set.</w:t>
                            </w:r>
                          </w:p>
                          <w:p w14:paraId="165F1C14" w14:textId="77777777" w:rsidR="004D0389" w:rsidRPr="001A6E43" w:rsidRDefault="004D0389" w:rsidP="004D0389">
                            <w:pPr>
                              <w:rPr>
                                <w:rFonts w:ascii="Times New Roman" w:hAnsi="Times New Roman" w:cs="Times New Roman"/>
                                <w:sz w:val="20"/>
                                <w:szCs w:val="20"/>
                              </w:rPr>
                            </w:pPr>
                          </w:p>
                        </w:tc>
                      </w:tr>
                    </w:tbl>
                    <w:p w14:paraId="5E9E732A" w14:textId="77777777" w:rsidR="004D0389" w:rsidRDefault="004D0389"/>
                  </w:txbxContent>
                </v:textbox>
                <w10:wrap type="square"/>
              </v:shape>
            </w:pict>
          </mc:Fallback>
        </mc:AlternateContent>
      </w:r>
    </w:p>
    <w:p w14:paraId="3D05E9B6" w14:textId="26E3B5F9" w:rsidR="004D0389" w:rsidRDefault="004D0389" w:rsidP="005C42F5">
      <w:pPr>
        <w:spacing w:line="360" w:lineRule="auto"/>
        <w:ind w:firstLine="720"/>
        <w:rPr>
          <w:rFonts w:ascii="Times New Roman" w:hAnsi="Times New Roman" w:cs="Times New Roman"/>
        </w:rPr>
      </w:pP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631A9689" w14:textId="20F88A84" w:rsidR="00D4402D" w:rsidRDefault="00D4402D" w:rsidP="005C42F5">
      <w:pPr>
        <w:spacing w:line="360" w:lineRule="auto"/>
        <w:ind w:firstLine="720"/>
        <w:rPr>
          <w:rFonts w:ascii="Times New Roman" w:hAnsi="Times New Roman" w:cs="Times New Roman"/>
        </w:rPr>
      </w:pPr>
    </w:p>
    <w:p w14:paraId="492508DB" w14:textId="4B154D3D" w:rsidR="00D4402D" w:rsidRDefault="00D4402D" w:rsidP="005C42F5">
      <w:pPr>
        <w:spacing w:line="360" w:lineRule="auto"/>
        <w:ind w:firstLine="720"/>
        <w:rPr>
          <w:rFonts w:ascii="Times New Roman" w:hAnsi="Times New Roman" w:cs="Times New Roman"/>
        </w:rPr>
      </w:pPr>
    </w:p>
    <w:p w14:paraId="1AC04176" w14:textId="4382F847" w:rsidR="00D4402D" w:rsidRPr="00AB3643" w:rsidRDefault="00D4402D" w:rsidP="005C42F5">
      <w:pPr>
        <w:spacing w:line="360" w:lineRule="auto"/>
        <w:ind w:firstLine="720"/>
        <w:rPr>
          <w:rFonts w:ascii="Times New Roman" w:hAnsi="Times New Roman" w:cs="Times New Roman"/>
        </w:rPr>
      </w:pPr>
    </w:p>
    <w:sectPr w:rsidR="00D4402D"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2" w:author="Maino Vieytes, Christian Augusto" w:date="2022-10-27T08:29:00Z" w:initials="MVCA">
    <w:p w14:paraId="76236E6E" w14:textId="77777777" w:rsidR="00B603B5" w:rsidRDefault="00B603B5" w:rsidP="00B603B5">
      <w:r>
        <w:rPr>
          <w:rStyle w:val="CommentReference"/>
        </w:rPr>
        <w:annotationRef/>
      </w:r>
      <w:r>
        <w:t>See here for justification of the bolded entries</w:t>
      </w:r>
    </w:p>
  </w:comment>
  <w:comment w:id="3" w:author="Maino Vieytes, Christian Augusto" w:date="2023-03-04T11:17:00Z" w:initials="MVCA">
    <w:p w14:paraId="7D65ABD0" w14:textId="77777777"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Ex w15:paraId="76236E6E"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Extensible w16cex:durableId="2704BFCE" w16cex:dateUtc="2022-10-27T13:29: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Id w16cid:paraId="76236E6E" w16cid:durableId="2704BFCE"/>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143D6"/>
    <w:rsid w:val="00084064"/>
    <w:rsid w:val="00091EC0"/>
    <w:rsid w:val="000C32C1"/>
    <w:rsid w:val="000F3BBC"/>
    <w:rsid w:val="00120671"/>
    <w:rsid w:val="00163E9B"/>
    <w:rsid w:val="00172468"/>
    <w:rsid w:val="00173966"/>
    <w:rsid w:val="00190925"/>
    <w:rsid w:val="001A6E43"/>
    <w:rsid w:val="001B0695"/>
    <w:rsid w:val="001C2F91"/>
    <w:rsid w:val="001E1EC7"/>
    <w:rsid w:val="001F6316"/>
    <w:rsid w:val="00202226"/>
    <w:rsid w:val="00221EC2"/>
    <w:rsid w:val="002262B7"/>
    <w:rsid w:val="0026524B"/>
    <w:rsid w:val="0027484B"/>
    <w:rsid w:val="0028265E"/>
    <w:rsid w:val="00293FB1"/>
    <w:rsid w:val="002E7DAC"/>
    <w:rsid w:val="00332B47"/>
    <w:rsid w:val="00332B65"/>
    <w:rsid w:val="00334684"/>
    <w:rsid w:val="003C5F3C"/>
    <w:rsid w:val="003D6DB0"/>
    <w:rsid w:val="003E7C7C"/>
    <w:rsid w:val="00427185"/>
    <w:rsid w:val="004348ED"/>
    <w:rsid w:val="0043686E"/>
    <w:rsid w:val="0045132D"/>
    <w:rsid w:val="00454C2F"/>
    <w:rsid w:val="00465A62"/>
    <w:rsid w:val="0047048D"/>
    <w:rsid w:val="00485F4A"/>
    <w:rsid w:val="0048700E"/>
    <w:rsid w:val="004C776A"/>
    <w:rsid w:val="004D0389"/>
    <w:rsid w:val="004F7DF7"/>
    <w:rsid w:val="005538C5"/>
    <w:rsid w:val="005C42F5"/>
    <w:rsid w:val="005C5D3B"/>
    <w:rsid w:val="005E4F8D"/>
    <w:rsid w:val="00620A46"/>
    <w:rsid w:val="00664EA4"/>
    <w:rsid w:val="00683F64"/>
    <w:rsid w:val="00687A69"/>
    <w:rsid w:val="006956C7"/>
    <w:rsid w:val="00745280"/>
    <w:rsid w:val="00756082"/>
    <w:rsid w:val="007709E0"/>
    <w:rsid w:val="00795EB1"/>
    <w:rsid w:val="007E11D7"/>
    <w:rsid w:val="008065AF"/>
    <w:rsid w:val="008118A7"/>
    <w:rsid w:val="008173C1"/>
    <w:rsid w:val="008343E2"/>
    <w:rsid w:val="00853C24"/>
    <w:rsid w:val="00870AB6"/>
    <w:rsid w:val="00872372"/>
    <w:rsid w:val="008C4819"/>
    <w:rsid w:val="00935DEF"/>
    <w:rsid w:val="00936BFB"/>
    <w:rsid w:val="00953990"/>
    <w:rsid w:val="009550C4"/>
    <w:rsid w:val="009E154B"/>
    <w:rsid w:val="009F43E5"/>
    <w:rsid w:val="00A131D8"/>
    <w:rsid w:val="00A14902"/>
    <w:rsid w:val="00A24ABE"/>
    <w:rsid w:val="00A27AAA"/>
    <w:rsid w:val="00A43238"/>
    <w:rsid w:val="00AB3643"/>
    <w:rsid w:val="00AC0547"/>
    <w:rsid w:val="00AD45B2"/>
    <w:rsid w:val="00AF604F"/>
    <w:rsid w:val="00B17524"/>
    <w:rsid w:val="00B42F81"/>
    <w:rsid w:val="00B51CDF"/>
    <w:rsid w:val="00B603B5"/>
    <w:rsid w:val="00B91187"/>
    <w:rsid w:val="00BC63A5"/>
    <w:rsid w:val="00BF574C"/>
    <w:rsid w:val="00BF5784"/>
    <w:rsid w:val="00C01DD8"/>
    <w:rsid w:val="00C05E3E"/>
    <w:rsid w:val="00C47A75"/>
    <w:rsid w:val="00C6784D"/>
    <w:rsid w:val="00C7631E"/>
    <w:rsid w:val="00CC62DA"/>
    <w:rsid w:val="00CD1B64"/>
    <w:rsid w:val="00D03E1F"/>
    <w:rsid w:val="00D25ED6"/>
    <w:rsid w:val="00D4402D"/>
    <w:rsid w:val="00D742AA"/>
    <w:rsid w:val="00D9372E"/>
    <w:rsid w:val="00D9696B"/>
    <w:rsid w:val="00E06C48"/>
    <w:rsid w:val="00E12DE6"/>
    <w:rsid w:val="00E171A4"/>
    <w:rsid w:val="00E21C9A"/>
    <w:rsid w:val="00E4546C"/>
    <w:rsid w:val="00EA5E74"/>
    <w:rsid w:val="00EA7805"/>
    <w:rsid w:val="00EB4ED9"/>
    <w:rsid w:val="00EC0B3F"/>
    <w:rsid w:val="00F04F26"/>
    <w:rsid w:val="00F22ED6"/>
    <w:rsid w:val="00F32E50"/>
    <w:rsid w:val="00F678B8"/>
    <w:rsid w:val="00FA340B"/>
    <w:rsid w:val="00FC4B22"/>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14</Pages>
  <Words>10016</Words>
  <Characters>57093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99</cp:revision>
  <dcterms:created xsi:type="dcterms:W3CDTF">2023-02-23T18:04:00Z</dcterms:created>
  <dcterms:modified xsi:type="dcterms:W3CDTF">2023-03-04T17:20:00Z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id="M4fe6ADU"/&gt;&lt;style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