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27CB3A92"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 Population</w:t>
      </w:r>
    </w:p>
    <w:p w14:paraId="3A92B6A0" w14:textId="77777777" w:rsidR="00EB4ED9" w:rsidRDefault="00EB4ED9" w:rsidP="00EB4ED9">
      <w:pPr>
        <w:rPr>
          <w:rFonts w:ascii="Times New Roman" w:hAnsi="Times New Roman" w:cs="Times New Roman"/>
          <w:i/>
          <w:iCs/>
        </w:rPr>
      </w:pPr>
    </w:p>
    <w:p w14:paraId="7D92A968" w14:textId="776072BF"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implements a series of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w:t>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334684">
        <w:rPr>
          <w:rFonts w:ascii="Times New Roman" w:hAnsi="Times New Roman" w:cs="Times New Roman"/>
        </w:rPr>
        <w:t>3</w:t>
      </w:r>
      <w:r w:rsidR="00334684">
        <w:rPr>
          <w:rFonts w:ascii="Times New Roman" w:hAnsi="Times New Roman" w:cs="Times New Roman"/>
        </w:rPr>
        <w:t xml:space="preserve"> item</w:t>
      </w:r>
      <w:r w:rsidR="00334684">
        <w:rPr>
          <w:rFonts w:ascii="Times New Roman" w:hAnsi="Times New Roman" w:cs="Times New Roman"/>
        </w:rPr>
        <w:t>s</w:t>
      </w:r>
      <w:r w:rsidR="00334684">
        <w:rPr>
          <w:rFonts w:ascii="Times New Roman" w:hAnsi="Times New Roman" w:cs="Times New Roman"/>
        </w:rPr>
        <w:t>)</w:t>
      </w:r>
      <w:r w:rsidR="00334684">
        <w:rPr>
          <w:rFonts w:ascii="Times New Roman" w:hAnsi="Times New Roman" w:cs="Times New Roman"/>
        </w:rPr>
        <w:t xml:space="preserve">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w:t>
      </w:r>
      <w:r w:rsidR="00334684">
        <w:rPr>
          <w:rFonts w:ascii="Times New Roman" w:hAnsi="Times New Roman" w:cs="Times New Roman"/>
        </w:rPr>
        <w:lastRenderedPageBreak/>
        <w:t xml:space="preserve">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75BAD64"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w:t>
      </w:r>
      <w:r w:rsidR="00E06C48" w:rsidRPr="00E06C48">
        <w:rPr>
          <w:rFonts w:ascii="Times New Roman" w:hAnsi="Times New Roman" w:cs="Times New Roman"/>
        </w:rPr>
        <w:lastRenderedPageBreak/>
        <w:t>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5E4F8D">
        <w:rPr>
          <w:rFonts w:ascii="Times New Roman" w:hAnsi="Times New Roman" w:cs="Times New Roman"/>
        </w:rPr>
        <w:t>proxy</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F0BE391"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w:t>
      </w:r>
      <w:r w:rsidR="00756082">
        <w:rPr>
          <w:rFonts w:ascii="Times New Roman" w:hAnsi="Times New Roman" w:cs="Times New Roman"/>
        </w:rPr>
        <w:t xml:space="preserve"> (ICD-10 codes C00-C97)</w:t>
      </w:r>
      <w:r w:rsidR="00756082">
        <w:rPr>
          <w:rFonts w:ascii="Times New Roman" w:hAnsi="Times New Roman" w:cs="Times New Roman"/>
        </w:rPr>
        <w:t xml:space="preserve">, </w:t>
      </w:r>
      <w:r w:rsidR="00EA7805">
        <w:rPr>
          <w:rFonts w:ascii="Times New Roman" w:hAnsi="Times New Roman" w:cs="Times New Roman"/>
        </w:rPr>
        <w:t>cardiovascular</w:t>
      </w:r>
      <w:r w:rsidR="00756082">
        <w:rPr>
          <w:rFonts w:ascii="Times New Roman" w:hAnsi="Times New Roman" w:cs="Times New Roman"/>
        </w:rPr>
        <w:t xml:space="preserve"> disease</w:t>
      </w:r>
      <w:r w:rsidR="00756082">
        <w:rPr>
          <w:rFonts w:ascii="Times New Roman" w:hAnsi="Times New Roman" w:cs="Times New Roman"/>
        </w:rPr>
        <w:t xml:space="preserve"> </w:t>
      </w:r>
      <w:r w:rsidR="00756082">
        <w:rPr>
          <w:rFonts w:ascii="Times New Roman" w:hAnsi="Times New Roman" w:cs="Times New Roman"/>
        </w:rPr>
        <w:t xml:space="preserve">(ICD-10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756082">
        <w:rPr>
          <w:rFonts w:ascii="Times New Roman" w:hAnsi="Times New Roman" w:cs="Times New Roman"/>
        </w:rPr>
        <w:t>), and diabetes mellitus</w:t>
      </w:r>
      <w:r w:rsidR="00756082">
        <w:rPr>
          <w:rFonts w:ascii="Times New Roman" w:hAnsi="Times New Roman" w:cs="Times New Roman"/>
        </w:rPr>
        <w:t xml:space="preserve"> (ICD-10 codes E10-E14)</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67AADB66"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 to 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w:t>
      </w:r>
      <w:r w:rsidR="000143D6" w:rsidRPr="000143D6">
        <w:rPr>
          <w:rFonts w:ascii="Times New Roman" w:hAnsi="Times New Roman" w:cs="Times New Roman"/>
          <w:i/>
          <w:iCs/>
        </w:rPr>
        <w:t xml:space="preserve"> </w:t>
      </w:r>
      <w:r w:rsidR="000143D6" w:rsidRPr="000143D6">
        <w:rPr>
          <w:rFonts w:ascii="Times New Roman" w:hAnsi="Times New Roman" w:cs="Times New Roman"/>
          <w:i/>
          <w:iCs/>
        </w:rPr>
        <w:t>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which was computed as the difference between current age at the time of the survey and age at the first diagnosis of cancer and was then </w:t>
      </w:r>
      <w:r w:rsidR="000C32C1" w:rsidRPr="000C32C1">
        <w:rPr>
          <w:rFonts w:ascii="Times New Roman" w:hAnsi="Times New Roman" w:cs="Times New Roman"/>
        </w:rPr>
        <w:t>categorized (&lt;</w:t>
      </w:r>
      <w:r w:rsidR="000C32C1">
        <w:rPr>
          <w:rFonts w:ascii="Times New Roman" w:hAnsi="Times New Roman" w:cs="Times New Roman"/>
        </w:rPr>
        <w:t xml:space="preserve"> </w:t>
      </w:r>
      <w:r w:rsidR="000C32C1" w:rsidRPr="000C32C1">
        <w:rPr>
          <w:rFonts w:ascii="Times New Roman" w:hAnsi="Times New Roman" w:cs="Times New Roman"/>
        </w:rPr>
        <w:t>2 years, ≥</w:t>
      </w:r>
      <w:r w:rsidR="000C32C1">
        <w:rPr>
          <w:rFonts w:ascii="Times New Roman" w:hAnsi="Times New Roman" w:cs="Times New Roman"/>
        </w:rPr>
        <w:t xml:space="preserve"> </w:t>
      </w:r>
      <w:r w:rsidR="000C32C1" w:rsidRPr="000C32C1">
        <w:rPr>
          <w:rFonts w:ascii="Times New Roman" w:hAnsi="Times New Roman" w:cs="Times New Roman"/>
        </w:rPr>
        <w:t>2 and &lt;</w:t>
      </w:r>
      <w:r w:rsidR="000C32C1">
        <w:rPr>
          <w:rFonts w:ascii="Times New Roman" w:hAnsi="Times New Roman" w:cs="Times New Roman"/>
        </w:rPr>
        <w:t xml:space="preserve"> </w:t>
      </w:r>
      <w:r w:rsidR="000C32C1" w:rsidRPr="000C32C1">
        <w:rPr>
          <w:rFonts w:ascii="Times New Roman" w:hAnsi="Times New Roman" w:cs="Times New Roman"/>
        </w:rPr>
        <w:t>6 years, and ≥</w:t>
      </w:r>
      <w:r w:rsidR="000C32C1">
        <w:rPr>
          <w:rFonts w:ascii="Times New Roman" w:hAnsi="Times New Roman" w:cs="Times New Roman"/>
        </w:rPr>
        <w:t xml:space="preserve"> </w:t>
      </w:r>
      <w:r w:rsidR="000C32C1" w:rsidRPr="000C32C1">
        <w:rPr>
          <w:rFonts w:ascii="Times New Roman" w:hAnsi="Times New Roman" w:cs="Times New Roman"/>
        </w:rPr>
        <w:t xml:space="preserve">6 </w:t>
      </w:r>
      <w:r w:rsidR="000C32C1">
        <w:rPr>
          <w:rFonts w:ascii="Times New Roman" w:hAnsi="Times New Roman" w:cs="Times New Roman"/>
        </w:rPr>
        <w:t>years).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654AD286"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to assess the robustness of our results. First, we specified the explanatory variables using dummy variables that corresponded to the quintile of adherence that a subject belonged to (Eq. 1)</w:t>
      </w:r>
    </w:p>
    <w:p w14:paraId="448800D1" w14:textId="1C3DC647" w:rsidR="00AB3643" w:rsidRPr="00AB3643" w:rsidRDefault="00AB3643" w:rsidP="00A14902">
      <w:pPr>
        <w:spacing w:line="360" w:lineRule="auto"/>
        <w:rPr>
          <w:rFonts w:ascii="Times New Roman"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Z</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exp⁡</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 xml:space="preserve">+ </m:t>
          </m:r>
        </m:oMath>
      </m:oMathPara>
    </w:p>
    <w:sectPr w:rsidR="00AB3643" w:rsidRPr="00AB3643"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143D6"/>
    <w:rsid w:val="00084064"/>
    <w:rsid w:val="000C32C1"/>
    <w:rsid w:val="00120671"/>
    <w:rsid w:val="001B0695"/>
    <w:rsid w:val="00221EC2"/>
    <w:rsid w:val="0026524B"/>
    <w:rsid w:val="0027484B"/>
    <w:rsid w:val="002E7DAC"/>
    <w:rsid w:val="00334684"/>
    <w:rsid w:val="00454C2F"/>
    <w:rsid w:val="0047048D"/>
    <w:rsid w:val="0048700E"/>
    <w:rsid w:val="004C776A"/>
    <w:rsid w:val="005E4F8D"/>
    <w:rsid w:val="00683F64"/>
    <w:rsid w:val="00687A69"/>
    <w:rsid w:val="00756082"/>
    <w:rsid w:val="007709E0"/>
    <w:rsid w:val="008065AF"/>
    <w:rsid w:val="008118A7"/>
    <w:rsid w:val="008343E2"/>
    <w:rsid w:val="00853C24"/>
    <w:rsid w:val="008C4819"/>
    <w:rsid w:val="00953990"/>
    <w:rsid w:val="00A14902"/>
    <w:rsid w:val="00A24ABE"/>
    <w:rsid w:val="00AB3643"/>
    <w:rsid w:val="00AD45B2"/>
    <w:rsid w:val="00B42F81"/>
    <w:rsid w:val="00B91187"/>
    <w:rsid w:val="00BF5784"/>
    <w:rsid w:val="00C6784D"/>
    <w:rsid w:val="00CD1B64"/>
    <w:rsid w:val="00D742AA"/>
    <w:rsid w:val="00D9696B"/>
    <w:rsid w:val="00E06C48"/>
    <w:rsid w:val="00E12DE6"/>
    <w:rsid w:val="00E171A4"/>
    <w:rsid w:val="00E4546C"/>
    <w:rsid w:val="00EA5E74"/>
    <w:rsid w:val="00EA7805"/>
    <w:rsid w:val="00EB4ED9"/>
    <w:rsid w:val="00EC0B3F"/>
    <w:rsid w:val="00F04F26"/>
    <w:rsid w:val="00F678B8"/>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6437</Words>
  <Characters>36693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40</cp:revision>
  <dcterms:created xsi:type="dcterms:W3CDTF">2023-02-23T18:04:00Z</dcterms:created>
  <dcterms:modified xsi:type="dcterms:W3CDTF">2023-02-25T22:39:00Z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