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0002" w14:textId="4EEDB10B"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7385FE96"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wellness</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disparate experiences can impact cancer-related outcomes in cancer survivors.</w:t>
      </w:r>
    </w:p>
    <w:p w14:paraId="583A3B1C" w14:textId="7595F4A3"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w:t>
      </w:r>
      <w:r>
        <w:rPr>
          <w:rFonts w:ascii="Times New Roman" w:hAnsi="Times New Roman" w:cs="Times New Roman"/>
        </w:rPr>
        <w:t>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2A3CAF">
        <w:rPr>
          <w:rFonts w:ascii="Times New Roman" w:hAnsi="Times New Roman" w:cs="Times New Roman"/>
        </w:rPr>
        <w:t>is often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2EB80C26"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4-hour recall data, we found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38140060"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7F22D1">
        <w:rPr>
          <w:rFonts w:ascii="Times New Roman" w:hAnsi="Times New Roman" w:cs="Times New Roman"/>
        </w:rPr>
        <w:t xml:space="preserve">the driving factors behind 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lastRenderedPageBreak/>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and the risk of mortality among</w:t>
      </w:r>
      <w:r w:rsidR="002D415D">
        <w:rPr>
          <w:rFonts w:ascii="Times New Roman" w:hAnsi="Times New Roman" w:cs="Times New Roman"/>
        </w:rPr>
        <w:t>st</w:t>
      </w:r>
      <w:r w:rsidR="00284F95" w:rsidRPr="00284F95">
        <w:rPr>
          <w:rFonts w:ascii="Times New Roman" w:hAnsi="Times New Roman" w:cs="Times New Roman"/>
        </w:rPr>
        <w:t xml:space="preserve"> the broader cancer survivor and food insecure cancer survivor population</w:t>
      </w:r>
      <w:r w:rsidR="002D415D">
        <w:rPr>
          <w:rFonts w:ascii="Times New Roman" w:hAnsi="Times New Roman" w:cs="Times New Roman"/>
        </w:rPr>
        <w:t>s</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9C8A8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682B8CAF"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w:t>
      </w:r>
      <w:r w:rsidR="00334684">
        <w:rPr>
          <w:rFonts w:ascii="Times New Roman" w:hAnsi="Times New Roman" w:cs="Times New Roman"/>
        </w:rPr>
        <w:lastRenderedPageBreak/>
        <w:t xml:space="preserve">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2006830C"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w:t>
      </w:r>
      <w:r w:rsidR="00E171A4" w:rsidRPr="00E171A4">
        <w:rPr>
          <w:rFonts w:ascii="Times New Roman" w:hAnsi="Times New Roman" w:cs="Times New Roman"/>
        </w:rPr>
        <w:lastRenderedPageBreak/>
        <w:t xml:space="preserve">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{"citationID":"5SozkkQJ","properties":{"formattedCitation":"[20]","plainCitation":"[20]","noteIndex":0},"citationItems":[{"id":835,"uris":["http://zotero.org/users/local/S8X13ARX/items/HK3ZM8V9"],"itemData":{"id":835,"type":"article-journal","container-title":"The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F446B3">
        <w:rPr>
          <w:rFonts w:ascii="Times New Roman" w:hAnsi="Times New Roman" w:cs="Times New Roman"/>
          <w:noProof/>
        </w:rPr>
        <w:t>[20]</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F446B3">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(2022)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459D526B"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F446B3">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F446B3" w:rsidRPr="00F446B3">
        <w:rPr>
          <w:rFonts w:ascii="Times New Roman" w:hAnsi="Times New Roman" w:cs="Times New Roman"/>
        </w:rPr>
        <w:t>[25–27]</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EE6BD12" w:rsidR="004C776A" w:rsidRDefault="00D742AA" w:rsidP="00A14902">
      <w:pPr>
        <w:spacing w:line="360" w:lineRule="auto"/>
        <w:rPr>
          <w:rFonts w:ascii="Times New Roman" w:hAnsi="Times New Roman" w:cs="Times New Roman"/>
        </w:rPr>
      </w:pPr>
      <w:r>
        <w:rPr>
          <w:rFonts w:ascii="Times New Roman" w:hAnsi="Times New Roman" w:cs="Times New Roman"/>
        </w:rPr>
        <w:lastRenderedPageBreak/>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F446B3" w:rsidRPr="00F446B3">
        <w:rPr>
          <w:rFonts w:ascii="Times New Roman" w:hAnsi="Times New Roman" w:cs="Times New Roman"/>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{"citationID":"Ka9GpFw8","properties":{"formattedCitation":"[10,31]","plainCitation":"[10,31]","noteIndex":0},"citationItems":[{"id":2018,"uris":["http://zotero.org/users/local/S8X13ARX/items/CEMPR32Z"],"itemData":{"id":2018,"type":"article-journal","abstract":"(1)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C07DF0">
        <w:rPr>
          <w:rFonts w:ascii="Times New Roman" w:hAnsi="Times New Roman" w:cs="Times New Roman"/>
          <w:noProof/>
        </w:rPr>
        <w:t>[10,31]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F446B3">
        <w:rPr>
          <w:rFonts w:ascii="Cambria Math" w:hAnsi="Cambria Math" w:cs="Cambria Math"/>
        </w:rPr>
        <w:instrText>∼</w:instrText>
      </w:r>
      <w:r w:rsidR="00F446B3">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F446B3">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EF6E11"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w:t>
      </w:r>
      <w:r w:rsidR="00E959F2">
        <w:rPr>
          <w:rFonts w:ascii="Times New Roman" w:hAnsi="Times New Roman" w:cs="Times New Roman"/>
        </w:rPr>
        <w:t>ary patterns</w:t>
      </w:r>
      <w:r w:rsidR="00AB3643">
        <w:rPr>
          <w:rFonts w:ascii="Times New Roman" w:hAnsi="Times New Roman" w:cs="Times New Roman"/>
        </w:rPr>
        <w:t xml:space="preserve">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5AC3452"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F446B3">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F446B3">
        <w:rPr>
          <w:rFonts w:ascii="Times New Roman" w:eastAsiaTheme="minorEastAsia" w:hAnsi="Times New Roman" w:cs="Times New Roman"/>
          <w:noProof/>
        </w:rPr>
        <w:t>[34,35]</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{"citationID":"UlJr0M1T","properties":{"formattedCitation":"[20]","plainCitation":"[20]","noteIndex":0},"citationItems":[{"id":835,"uris":["http://zotero.org/users/local/S8X13ARX/items/HK3ZM8V9"],"itemData":{"id":835,"type":"article-journal","container-title":"The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F446B3">
        <w:rPr>
          <w:rFonts w:ascii="Times New Roman" w:hAnsi="Times New Roman" w:cs="Times New Roman"/>
          <w:noProof/>
        </w:rPr>
        <w:t>[20]</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{"citationID":"QEvCqFs6","properties":{"formattedCitation":"[36]","plainCitation":"[36]","noteIndex":0},"citationItems":[{"id":2205,"uris":["http://zotero.org/users/local/S8X13ARX/items/4ELLAR2T"],"itemData":{"id":2205,"type":"article-journal","abstract":"Food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F446B3">
        <w:rPr>
          <w:rFonts w:ascii="Times New Roman" w:hAnsi="Times New Roman" w:cs="Times New Roman"/>
          <w:noProof/>
        </w:rPr>
        <w:t>[36]</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w:t>
      </w:r>
      <w:r w:rsidR="00D03E1F">
        <w:rPr>
          <w:rFonts w:ascii="Times New Roman" w:hAnsi="Times New Roman" w:cs="Times New Roman"/>
        </w:rPr>
        <w:lastRenderedPageBreak/>
        <w:t xml:space="preserve">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lastRenderedPageBreak/>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w:t>
      </w:r>
      <w:r w:rsidR="00D03E1F">
        <w:rPr>
          <w:rFonts w:ascii="Times New Roman" w:hAnsi="Times New Roman" w:cs="Times New Roman"/>
        </w:rPr>
        <w:lastRenderedPageBreak/>
        <w:t>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lastRenderedPageBreak/>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28F9370B"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w:t>
      </w:r>
      <w:r w:rsidR="00F22ED6">
        <w:rPr>
          <w:rFonts w:ascii="Times New Roman" w:hAnsi="Times New Roman" w:cs="Times New Roman"/>
        </w:rPr>
        <w:lastRenderedPageBreak/>
        <w:t>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3731CD71" w:rsidR="00D9498C" w:rsidRDefault="00D9498C" w:rsidP="00D9498C">
      <w:pPr>
        <w:spacing w:line="360" w:lineRule="auto"/>
        <w:ind w:firstLine="720"/>
        <w:rPr>
          <w:rFonts w:ascii="Times New Roman" w:hAnsi="Times New Roman" w:cs="Times New Roman"/>
        </w:rPr>
      </w:pPr>
    </w:p>
    <w:p w14:paraId="5135B2F5" w14:textId="0F1852E3" w:rsidR="00D9498C" w:rsidRDefault="00D9498C" w:rsidP="00D9498C">
      <w:pPr>
        <w:spacing w:line="360" w:lineRule="auto"/>
        <w:ind w:firstLine="720"/>
        <w:rPr>
          <w:rFonts w:ascii="Times New Roman" w:hAnsi="Times New Roman" w:cs="Times New Roman"/>
        </w:rPr>
      </w:pPr>
    </w:p>
    <w:p w14:paraId="0F0FABE6" w14:textId="0CA334B5" w:rsidR="00D9498C" w:rsidRDefault="00391B8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A33B3B">
                <wp:simplePos x="0" y="0"/>
                <wp:positionH relativeFrom="column">
                  <wp:posOffset>-1588769</wp:posOffset>
                </wp:positionH>
                <wp:positionV relativeFrom="paragraph">
                  <wp:posOffset>340360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25.1pt;margin-top:26.8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9b8VDe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333CA00C"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37D4CAC5" w:rsidR="004D0389" w:rsidRDefault="00391B83"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620251D">
                <wp:simplePos x="0" y="0"/>
                <wp:positionH relativeFrom="column">
                  <wp:posOffset>-1667193</wp:posOffset>
                </wp:positionH>
                <wp:positionV relativeFrom="paragraph">
                  <wp:posOffset>292419</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3pt;margin-top:23.0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BpxU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4F72623C" w:rsidR="00D9498C" w:rsidRDefault="003C6043" w:rsidP="00D9498C">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1B1A652B">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v:textbox>
                <w10:wrap type="square"/>
              </v:shape>
            </w:pict>
          </mc:Fallback>
        </mc:AlternateContent>
      </w:r>
      <w:r>
        <w:rPr>
          <w:rFonts w:ascii="Times New Roman" w:hAnsi="Times New Roman" w:cs="Times New Roman"/>
          <w:noProof/>
        </w:rPr>
        <w:drawing>
          <wp:anchor distT="0" distB="0" distL="114300" distR="114300" simplePos="0" relativeHeight="251672576" behindDoc="0" locked="0" layoutInCell="1" allowOverlap="1" wp14:anchorId="7ED12889" wp14:editId="4AF10757">
            <wp:simplePos x="0" y="0"/>
            <wp:positionH relativeFrom="column">
              <wp:posOffset>-14117</wp:posOffset>
            </wp:positionH>
            <wp:positionV relativeFrom="paragraph">
              <wp:posOffset>49</wp:posOffset>
            </wp:positionV>
            <wp:extent cx="5943600" cy="4902200"/>
            <wp:effectExtent l="0" t="0" r="0" b="0"/>
            <wp:wrapSquare wrapText="bothSides"/>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4074770"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xml:space="preserve">. Several lines of evidence tie food insecurity to an increased comorbidity burden and increased risk of mortality. </w:t>
      </w:r>
      <w:r w:rsidR="00BC7E26">
        <w:rPr>
          <w:rFonts w:ascii="Times New Roman" w:hAnsi="Times New Roman" w:cs="Times New Roman"/>
        </w:rPr>
        <w:t>F</w:t>
      </w:r>
      <w:r w:rsidR="0071461F">
        <w:rPr>
          <w:rFonts w:ascii="Times New Roman" w:hAnsi="Times New Roman" w:cs="Times New Roman"/>
        </w:rPr>
        <w:t>or instance, f</w:t>
      </w:r>
      <w:r w:rsidR="00BC7E26">
        <w:rPr>
          <w:rFonts w:ascii="Times New Roman" w:hAnsi="Times New Roman" w:cs="Times New Roman"/>
        </w:rPr>
        <w:t>ood insecurity and food insufficiency are independently associated with chronic disease burden</w:t>
      </w:r>
      <w:r w:rsidR="00397057">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{"citationID":"WD9TLYnc","properties":{"formattedCitation":"[21,40,42]","plainCitation":"[21,40,42]","noteIndex":0},"citationItems":[{"id":1373,"uris":["http://zotero.org/users/local/S8X13ARX/items/F9TXRSSS"],"itemData":{"id":1373,"type":"article-journal","container-title":"The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00397057">
        <w:rPr>
          <w:rFonts w:ascii="Times New Roman" w:hAnsi="Times New Roman" w:cs="Times New Roman"/>
        </w:rPr>
        <w:fldChar w:fldCharType="separate"/>
      </w:r>
      <w:r w:rsidR="00F446B3">
        <w:rPr>
          <w:rFonts w:ascii="Times New Roman" w:hAnsi="Times New Roman" w:cs="Times New Roman"/>
          <w:noProof/>
        </w:rPr>
        <w:t>[21,40,42]</w:t>
      </w:r>
      <w:r w:rsidR="00397057">
        <w:rPr>
          <w:rFonts w:ascii="Times New Roman" w:hAnsi="Times New Roman" w:cs="Times New Roman"/>
        </w:rPr>
        <w:fldChar w:fldCharType="end"/>
      </w:r>
      <w:r w:rsidR="00397057">
        <w:rPr>
          <w:rFonts w:ascii="Times New Roman" w:hAnsi="Times New Roman" w:cs="Times New Roman"/>
        </w:rPr>
        <w:t xml:space="preserve">. </w:t>
      </w:r>
      <w:r>
        <w:rPr>
          <w:rFonts w:ascii="Times New Roman" w:hAnsi="Times New Roman" w:cs="Times New Roman"/>
        </w:rPr>
        <w:t xml:space="preserve">Two 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{"citationID":"saJwk4sj","properties":{"formattedCitation":"[36,43]","plainCitation":"[36,43]","noteIndex":0},"citationItems":[{"id":2205,"uris":["http://zotero.org/users/local/S8X13ARX/items/4ELLAR2T"],"itemData":{"id":2205,"type":"article-journal","abstract":"Food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[36,43]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7A68B1">
        <w:rPr>
          <w:rFonts w:ascii="Times New Roman" w:hAnsi="Times New Roman" w:cs="Times New Roman"/>
        </w:rPr>
        <w:t>, particularly among cancer survivors</w:t>
      </w:r>
      <w:r w:rsidR="00A54B59">
        <w:rPr>
          <w:rFonts w:ascii="Times New Roman" w:hAnsi="Times New Roman" w:cs="Times New Roman"/>
        </w:rPr>
        <w:t xml:space="preserve">. </w:t>
      </w:r>
    </w:p>
    <w:p w14:paraId="3EC43C5F" w14:textId="5C091A0C" w:rsidR="00E70EFA" w:rsidRDefault="00F2284E" w:rsidP="00F2284E">
      <w:pPr>
        <w:spacing w:line="360" w:lineRule="auto"/>
        <w:ind w:firstLine="720"/>
        <w:rPr>
          <w:rFonts w:ascii="Times New Roman" w:hAnsi="Times New Roman" w:cs="Times New Roman"/>
        </w:rPr>
      </w:pPr>
      <w:r>
        <w:rPr>
          <w:rFonts w:ascii="Times New Roman" w:hAnsi="Times New Roman" w:cs="Times New Roman"/>
        </w:rPr>
        <w:t xml:space="preserve">A generally accepted framework of food insecurity and the negative health consequence it elicits involves stress as a mediating factor. Seligman and Schillinger provide a detailed review on stress in the food insecurity context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{"citationID":"czOdRXiM","properties":{"formattedCitation":"[7]","plainCitation":"[7]","noteIndex":0},"citationItems":[{"id":2192,"uris":["http://zotero.org/users/local/S8X13ARX/items/IKF89UC2"],"itemData":{"id":2192,"type":"article-journal","container-title":"New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t>
      </w:r>
      <w:r w:rsidR="00397057">
        <w:rPr>
          <w:rFonts w:ascii="Times New Roman" w:hAnsi="Times New Roman" w:cs="Times New Roman"/>
        </w:rPr>
        <w:t xml:space="preserve">In addition to </w:t>
      </w:r>
      <w:r>
        <w:rPr>
          <w:rFonts w:ascii="Times New Roman" w:hAnsi="Times New Roman" w:cs="Times New Roman"/>
        </w:rPr>
        <w:t>stress</w:t>
      </w:r>
      <w:r w:rsidR="00397057">
        <w:rPr>
          <w:rFonts w:ascii="Times New Roman" w:hAnsi="Times New Roman" w:cs="Times New Roman"/>
        </w:rPr>
        <w:t>, it is understood that food insecurity negatively impacts nutrient intake</w:t>
      </w:r>
      <w:r w:rsidR="000A41FF">
        <w:rPr>
          <w:rFonts w:ascii="Times New Roman" w:hAnsi="Times New Roman" w:cs="Times New Roman"/>
        </w:rPr>
        <w:t xml:space="preserve"> and diet quality</w:t>
      </w:r>
      <w:r w:rsidR="00397057">
        <w:rPr>
          <w:rFonts w:ascii="Times New Roman" w:hAnsi="Times New Roman" w:cs="Times New Roman"/>
        </w:rPr>
        <w:t xml:space="preserve">. </w:t>
      </w:r>
      <w:r w:rsidR="000A41FF">
        <w:rPr>
          <w:rFonts w:ascii="Times New Roman" w:hAnsi="Times New Roman" w:cs="Times New Roman"/>
        </w:rPr>
        <w:t>In the general public, food insecurity was shown to be adversely associated with diet quality, as measured by</w:t>
      </w:r>
      <w:r w:rsidR="007C7138">
        <w:rPr>
          <w:rFonts w:ascii="Times New Roman" w:hAnsi="Times New Roman" w:cs="Times New Roman"/>
        </w:rPr>
        <w:t xml:space="preserve"> the</w:t>
      </w:r>
      <w:r w:rsidR="000A41FF">
        <w:rPr>
          <w:rFonts w:ascii="Times New Roman" w:hAnsi="Times New Roman" w:cs="Times New Roman"/>
        </w:rPr>
        <w:t xml:space="preserve"> HEI-2015 </w:t>
      </w:r>
      <w:r w:rsidR="000A41F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{"citationID":"773BPXyq","properties":{"formattedCitation":"[9]","plainCitation":"[9]","noteIndex":0},"citationItems":[{"id":2104,"uris":["http://zotero.org/users/local/S8X13ARX/items/942SIIVI"],"itemData":{"id":2104,"type":"article-journal","container-title":"Journal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0A41FF">
        <w:rPr>
          <w:rFonts w:ascii="Times New Roman" w:hAnsi="Times New Roman" w:cs="Times New Roman"/>
        </w:rPr>
        <w:fldChar w:fldCharType="separate"/>
      </w:r>
      <w:r w:rsidR="00F446B3">
        <w:rPr>
          <w:rFonts w:ascii="Times New Roman" w:hAnsi="Times New Roman" w:cs="Times New Roman"/>
          <w:noProof/>
        </w:rPr>
        <w:t>[9]</w:t>
      </w:r>
      <w:r w:rsidR="000A41FF">
        <w:rPr>
          <w:rFonts w:ascii="Times New Roman" w:hAnsi="Times New Roman" w:cs="Times New Roman"/>
        </w:rPr>
        <w:fldChar w:fldCharType="end"/>
      </w:r>
      <w:r w:rsidR="000A41FF">
        <w:rPr>
          <w:rFonts w:ascii="Times New Roman" w:hAnsi="Times New Roman" w:cs="Times New Roman"/>
        </w:rPr>
        <w:t xml:space="preserve">. The findings we present are consistent with this previous body of evidence. They are, however, novel in that instead of measuring adherence to a set of </w:t>
      </w:r>
      <w:r w:rsidR="000A41FF">
        <w:rPr>
          <w:rFonts w:ascii="Times New Roman" w:hAnsi="Times New Roman" w:cs="Times New Roman"/>
          <w:i/>
          <w:iCs/>
        </w:rPr>
        <w:t xml:space="preserve">a priori </w:t>
      </w:r>
      <w:r w:rsidR="000A41FF">
        <w:rPr>
          <w:rFonts w:ascii="Times New Roman" w:hAnsi="Times New Roman" w:cs="Times New Roman"/>
        </w:rPr>
        <w:t xml:space="preserve">indices, we </w:t>
      </w:r>
      <w:r w:rsidR="000A41FF">
        <w:rPr>
          <w:rFonts w:ascii="Times New Roman" w:hAnsi="Times New Roman" w:cs="Times New Roman"/>
        </w:rPr>
        <w:lastRenderedPageBreak/>
        <w:t xml:space="preserve">characterized the dietary patterns of U.S. food insecure cancer survivors using </w:t>
      </w:r>
      <w:r w:rsidR="000A41FF">
        <w:rPr>
          <w:rFonts w:ascii="Times New Roman" w:hAnsi="Times New Roman" w:cs="Times New Roman"/>
          <w:i/>
          <w:iCs/>
        </w:rPr>
        <w:t xml:space="preserve">a posteriori </w:t>
      </w:r>
      <w:r w:rsidR="000A41FF">
        <w:rPr>
          <w:rFonts w:ascii="Times New Roman" w:hAnsi="Times New Roman" w:cs="Times New Roman"/>
        </w:rPr>
        <w:t xml:space="preserve">approaches to summarize the dietary patterns in this population. </w:t>
      </w:r>
      <w:r w:rsidR="007C7138">
        <w:rPr>
          <w:rFonts w:ascii="Times New Roman" w:hAnsi="Times New Roman" w:cs="Times New Roman"/>
        </w:rPr>
        <w:t xml:space="preserve">The key advantage here is that </w:t>
      </w:r>
      <w:r w:rsidR="007C7138">
        <w:rPr>
          <w:rFonts w:ascii="Times New Roman" w:hAnsi="Times New Roman" w:cs="Times New Roman"/>
          <w:i/>
          <w:iCs/>
        </w:rPr>
        <w:t xml:space="preserve">a </w:t>
      </w:r>
      <w:r w:rsidR="00E70EFA">
        <w:rPr>
          <w:rFonts w:ascii="Times New Roman" w:hAnsi="Times New Roman" w:cs="Times New Roman"/>
          <w:i/>
          <w:iCs/>
        </w:rPr>
        <w:t>posteriori</w:t>
      </w:r>
      <w:r w:rsidR="007C7138">
        <w:rPr>
          <w:rFonts w:ascii="Times New Roman" w:hAnsi="Times New Roman" w:cs="Times New Roman"/>
        </w:rPr>
        <w:t xml:space="preserve"> methods paint a more descriptive picture of the dietary patterns of the target population rather than measuring whether they conform to some prespecified recommendations or guidelines</w:t>
      </w:r>
      <w:r w:rsidR="00E70EFA">
        <w:rPr>
          <w:rFonts w:ascii="Times New Roman" w:hAnsi="Times New Roman" w:cs="Times New Roman"/>
        </w:rPr>
        <w:t xml:space="preserve"> </w:t>
      </w:r>
      <w:r w:rsidR="00E70EFA">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{"citationID":"s1BeLwSV","properties":{"formattedCitation":"[44]","plainCitation":"[44]","noteIndex":0},"citationItems":[{"id":380,"uris":["http://zotero.org/users/local/S8X13ARX/items/UQVJWE96"],"itemData":{"id":380,"type":"article-journal","abstract":"Recently,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00E70EFA">
        <w:rPr>
          <w:rFonts w:ascii="Times New Roman" w:hAnsi="Times New Roman" w:cs="Times New Roman"/>
        </w:rPr>
        <w:fldChar w:fldCharType="separate"/>
      </w:r>
      <w:r w:rsidR="00F446B3">
        <w:rPr>
          <w:rFonts w:ascii="Times New Roman" w:hAnsi="Times New Roman" w:cs="Times New Roman"/>
          <w:noProof/>
        </w:rPr>
        <w:t>[44]</w:t>
      </w:r>
      <w:r w:rsidR="00E70EFA">
        <w:rPr>
          <w:rFonts w:ascii="Times New Roman" w:hAnsi="Times New Roman" w:cs="Times New Roman"/>
        </w:rPr>
        <w:fldChar w:fldCharType="end"/>
      </w:r>
      <w:r w:rsidR="007C7138">
        <w:rPr>
          <w:rFonts w:ascii="Times New Roman" w:hAnsi="Times New Roman" w:cs="Times New Roman"/>
        </w:rPr>
        <w:t>.</w:t>
      </w:r>
      <w:r>
        <w:rPr>
          <w:rFonts w:ascii="Times New Roman" w:hAnsi="Times New Roman" w:cs="Times New Roman"/>
        </w:rPr>
        <w:t xml:space="preserve"> </w:t>
      </w:r>
      <w:r w:rsidR="00146E52">
        <w:rPr>
          <w:rFonts w:ascii="Times New Roman" w:hAnsi="Times New Roman" w:cs="Times New Roman"/>
        </w:rPr>
        <w:t>Our findings add to this body of knowledge by highlighting how the diet quality of food insecure cancer survivors, independent of food insecurity status, may negatively predict survival amongst cancer survivors</w:t>
      </w:r>
      <w:r w:rsidR="00E70EFA">
        <w:rPr>
          <w:rFonts w:ascii="Times New Roman" w:hAnsi="Times New Roman" w:cs="Times New Roman"/>
        </w:rPr>
        <w:t xml:space="preserve"> and food insecure cancer survivors.</w:t>
      </w:r>
    </w:p>
    <w:p w14:paraId="0A8199FA" w14:textId="74AD196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F446B3">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F446B3">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F446B3">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F446B3" w:rsidRPr="00F446B3">
        <w:rPr>
          <w:rFonts w:ascii="Times New Roman" w:hAnsi="Times New Roman" w:cs="Times New Roman"/>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6A146394"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medical organizations and governing bodies.</w:t>
      </w:r>
      <w:r w:rsidR="004C7F30">
        <w:rPr>
          <w:rFonts w:ascii="Times New Roman" w:hAnsi="Times New Roman" w:cs="Times New Roman"/>
        </w:rPr>
        <w:t xml:space="preserve"> Food insecurity is a substantive issue in the context of cancer survivorship with real implications </w:t>
      </w:r>
      <w:r w:rsidR="007A68B1">
        <w:rPr>
          <w:rFonts w:ascii="Times New Roman" w:hAnsi="Times New Roman" w:cs="Times New Roman"/>
        </w:rPr>
        <w:t>for</w:t>
      </w:r>
      <w:r w:rsidR="004C7F30">
        <w:rPr>
          <w:rFonts w:ascii="Times New Roman" w:hAnsi="Times New Roman" w:cs="Times New Roman"/>
        </w:rPr>
        <w:t xml:space="preserve"> health outcomes</w:t>
      </w:r>
      <w:r w:rsidR="00131D44">
        <w:rPr>
          <w:rFonts w:ascii="Times New Roman" w:hAnsi="Times New Roman" w:cs="Times New Roman"/>
        </w:rPr>
        <w:t>, as demonstrated by our analysis</w:t>
      </w:r>
      <w:r w:rsidR="007A68B1">
        <w:rPr>
          <w:rFonts w:ascii="Times New Roman" w:hAnsi="Times New Roman" w:cs="Times New Roman"/>
        </w:rPr>
        <w:t xml:space="preserve"> </w:t>
      </w:r>
      <w:r w:rsidR="007A68B1">
        <w:rPr>
          <w:rFonts w:ascii="Times New Roman" w:hAnsi="Times New Roman" w:cs="Times New Roman"/>
        </w:rPr>
        <w:lastRenderedPageBreak/>
        <w:t>and the work of others</w:t>
      </w:r>
      <w:r w:rsidR="004C7F30">
        <w:rPr>
          <w:rFonts w:ascii="Times New Roman" w:hAnsi="Times New Roman" w:cs="Times New Roman"/>
        </w:rPr>
        <w:t>. The mechanisms mediating this relationship are likely multifactorial and our analysis helps shed light on one such pathway</w:t>
      </w:r>
      <w:r w:rsidR="00131D44">
        <w:rPr>
          <w:rFonts w:ascii="Times New Roman" w:hAnsi="Times New Roman" w:cs="Times New Roman"/>
        </w:rPr>
        <w:t xml:space="preserve"> </w:t>
      </w:r>
      <w:r w:rsidR="007A68B1">
        <w:rPr>
          <w:rFonts w:ascii="Times New Roman" w:hAnsi="Times New Roman" w:cs="Times New Roman"/>
        </w:rPr>
        <w:t>involving</w:t>
      </w:r>
      <w:r w:rsidR="00131D44">
        <w:rPr>
          <w:rFonts w:ascii="Times New Roman" w:hAnsi="Times New Roman" w:cs="Times New Roman"/>
        </w:rPr>
        <w:t xml:space="preserve"> diet quality</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can facilitate prompt referral to additional care resources. These can include 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the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t>for acquiring nutritious foods</w:t>
      </w:r>
      <w:r w:rsidR="00131D44">
        <w:rPr>
          <w:rFonts w:ascii="Times New Roman" w:hAnsi="Times New Roman" w:cs="Times New Roman"/>
        </w:rPr>
        <w:t xml:space="preserve"> </w:t>
      </w:r>
      <w:r w:rsidR="007A68B1">
        <w:rPr>
          <w:rFonts w:ascii="Times New Roman" w:hAnsi="Times New Roman" w:cs="Times New Roman"/>
        </w:rPr>
        <w:t>or</w:t>
      </w:r>
      <w:r w:rsidR="00131D44">
        <w:rPr>
          <w:rFonts w:ascii="Times New Roman" w:hAnsi="Times New Roman" w:cs="Times New Roman"/>
        </w:rPr>
        <w:t xml:space="preserve"> other benefits</w:t>
      </w:r>
      <w:r w:rsidR="004C7F30">
        <w:rPr>
          <w:rFonts w:ascii="Times New Roman" w:hAnsi="Times New Roman" w:cs="Times New Roman"/>
        </w:rPr>
        <w:t xml:space="preserve"> </w:t>
      </w:r>
      <w:r w:rsidR="004C7F30">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7NuKLhHp","properties":{"formattedCitation":"[4,55]","plainCitation":"[4,55]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F446B3">
        <w:rPr>
          <w:rFonts w:ascii="Times New Roman" w:hAnsi="Times New Roman" w:cs="Times New Roman"/>
          <w:noProof/>
        </w:rPr>
        <w:t>[4,55]</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{"citationID":"5adDEwae","properties":{"formattedCitation":"[57]","plainCitation":"[57]","noteIndex":0},"citationItems":[{"id":2257,"uris":["http://zotero.org/users/local/S8X13ARX/items/79YQYLIQ"],"itemData":{"id":2257,"type":"article-journal","abstract":"PURPOSE\nFood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F446B3">
        <w:rPr>
          <w:rFonts w:ascii="Times New Roman" w:hAnsi="Times New Roman" w:cs="Times New Roman"/>
          <w:noProof/>
        </w:rPr>
        <w:t>[57]</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For instance, expanding insurance programs such as Medicaid to eligible cancer survivors may help offset prescription and treatment costs, consequently blunting the trade-offs felt by cancer survivors having to choose between medical care and food </w:t>
      </w:r>
      <w:r w:rsidR="00E500E4">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1E012R8F","properties":{"formattedCitation":"[4,58,59]","plainCitation":"[4,58,59]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F446B3">
        <w:rPr>
          <w:rFonts w:ascii="Times New Roman" w:hAnsi="Times New Roman" w:cs="Times New Roman"/>
          <w:noProof/>
        </w:rPr>
        <w:t>[4,58,59]</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w:t>
      </w:r>
      <w:r w:rsidR="005275C0">
        <w:rPr>
          <w:rFonts w:ascii="Times New Roman" w:hAnsi="Times New Roman" w:cs="Times New Roman"/>
        </w:rPr>
        <w:lastRenderedPageBreak/>
        <w:t xml:space="preserve">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E1CC1A4"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Pr>
          <w:rFonts w:ascii="Times New Roman" w:hAnsi="Times New Roman" w:cs="Times New Roman"/>
        </w:rPr>
        <w:t xml:space="preserve">survival.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78211457" w:rsidR="00D4402D" w:rsidRDefault="00A54B59" w:rsidP="005C42F5">
      <w:pPr>
        <w:spacing w:line="360" w:lineRule="auto"/>
        <w:ind w:firstLine="720"/>
        <w:rPr>
          <w:rFonts w:ascii="Times New Roman" w:hAnsi="Times New Roman" w:cs="Times New Roman"/>
        </w:rPr>
      </w:pPr>
      <w:r>
        <w:rPr>
          <w:rFonts w:ascii="Times New Roman" w:hAnsi="Times New Roman" w:cs="Times New Roman"/>
        </w:rPr>
        <w:t>Limitations</w:t>
      </w:r>
    </w:p>
    <w:p w14:paraId="28BEA0E0" w14:textId="5FD8B858" w:rsidR="00A54B59" w:rsidRDefault="00A54B59" w:rsidP="005C42F5">
      <w:pPr>
        <w:spacing w:line="360" w:lineRule="auto"/>
        <w:ind w:firstLine="720"/>
        <w:rPr>
          <w:rFonts w:ascii="Times New Roman" w:hAnsi="Times New Roman" w:cs="Times New Roman"/>
        </w:rPr>
      </w:pPr>
      <w:r>
        <w:rPr>
          <w:rFonts w:ascii="Times New Roman" w:hAnsi="Times New Roman" w:cs="Times New Roman"/>
        </w:rPr>
        <w:lastRenderedPageBreak/>
        <w:t xml:space="preserve">Food insecure survivors are more likely to forgo or delay medical care or change </w:t>
      </w:r>
      <w:proofErr w:type="spellStart"/>
      <w:r>
        <w:rPr>
          <w:rFonts w:ascii="Times New Roman" w:hAnsi="Times New Roman" w:cs="Times New Roman"/>
        </w:rPr>
        <w:t>presciptions</w:t>
      </w:r>
      <w:proofErr w:type="spellEnd"/>
      <w:r>
        <w:rPr>
          <w:rFonts w:ascii="Times New Roman" w:hAnsi="Times New Roman" w:cs="Times New Roman"/>
        </w:rPr>
        <w:t>; no way to measure that in our analysis (</w:t>
      </w:r>
      <w:r w:rsidRPr="00A54B59">
        <w:rPr>
          <w:rFonts w:ascii="Times New Roman" w:hAnsi="Times New Roman" w:cs="Times New Roman"/>
        </w:rPr>
        <w:t>10.1200/JOP.19.00736</w:t>
      </w:r>
      <w:r>
        <w:rPr>
          <w:rFonts w:ascii="Times New Roman" w:hAnsi="Times New Roman" w:cs="Times New Roman"/>
        </w:rPr>
        <w:t>)</w:t>
      </w:r>
    </w:p>
    <w:p w14:paraId="1824FFDB" w14:textId="5E784003" w:rsidR="0071461F" w:rsidRDefault="0071461F" w:rsidP="005C42F5">
      <w:pPr>
        <w:spacing w:line="360" w:lineRule="auto"/>
        <w:ind w:firstLine="720"/>
        <w:rPr>
          <w:rFonts w:ascii="Times New Roman" w:hAnsi="Times New Roman" w:cs="Times New Roman"/>
        </w:rPr>
      </w:pPr>
    </w:p>
    <w:p w14:paraId="463C898F" w14:textId="7978CFCF" w:rsidR="0071461F" w:rsidRDefault="0071461F" w:rsidP="005C42F5">
      <w:pPr>
        <w:spacing w:line="360" w:lineRule="auto"/>
        <w:ind w:firstLine="720"/>
        <w:rPr>
          <w:rFonts w:ascii="Times New Roman" w:hAnsi="Times New Roman" w:cs="Times New Roman"/>
        </w:rPr>
      </w:pPr>
      <w:r>
        <w:rPr>
          <w:rFonts w:ascii="Times New Roman" w:hAnsi="Times New Roman" w:cs="Times New Roman"/>
        </w:rPr>
        <w:t xml:space="preserve">Allostatic load measures in NHNAES rely on a number of biological </w:t>
      </w:r>
      <w:proofErr w:type="spellStart"/>
      <w:r>
        <w:rPr>
          <w:rFonts w:ascii="Times New Roman" w:hAnsi="Times New Roman" w:cs="Times New Roman"/>
        </w:rPr>
        <w:t>speciments</w:t>
      </w:r>
      <w:proofErr w:type="spellEnd"/>
      <w:r>
        <w:rPr>
          <w:rFonts w:ascii="Times New Roman" w:hAnsi="Times New Roman" w:cs="Times New Roman"/>
        </w:rPr>
        <w:t xml:space="preserve"> and our analysis already had a small sample size </w:t>
      </w:r>
      <w:hyperlink r:id="rId12" w:history="1">
        <w:r w:rsidR="0059611C" w:rsidRPr="00BD515A">
          <w:rPr>
            <w:rStyle w:val="Hyperlink"/>
            <w:rFonts w:ascii="Times New Roman" w:hAnsi="Times New Roman" w:cs="Times New Roman"/>
          </w:rPr>
          <w:t>https://www.ncbi.nlm.nih.gov/pmc/articles/PMC8972020/</w:t>
        </w:r>
      </w:hyperlink>
    </w:p>
    <w:p w14:paraId="5CBC67DE" w14:textId="2AC92632" w:rsidR="0059611C" w:rsidRDefault="0059611C" w:rsidP="005C42F5">
      <w:pPr>
        <w:spacing w:line="360" w:lineRule="auto"/>
        <w:ind w:firstLine="720"/>
        <w:rPr>
          <w:rFonts w:ascii="Times New Roman" w:hAnsi="Times New Roman" w:cs="Times New Roman"/>
        </w:rPr>
      </w:pPr>
    </w:p>
    <w:p w14:paraId="01CB1885" w14:textId="07B1FCC5" w:rsidR="0059611C" w:rsidRPr="00AB3643" w:rsidRDefault="0059611C" w:rsidP="005C42F5">
      <w:pPr>
        <w:spacing w:line="360" w:lineRule="auto"/>
        <w:ind w:firstLine="720"/>
        <w:rPr>
          <w:rFonts w:ascii="Times New Roman" w:hAnsi="Times New Roman" w:cs="Times New Roman"/>
        </w:rPr>
      </w:pPr>
      <w:r>
        <w:rPr>
          <w:rFonts w:ascii="Times New Roman" w:hAnsi="Times New Roman" w:cs="Times New Roman"/>
        </w:rPr>
        <w:t>Cross-sectional data</w:t>
      </w:r>
      <w:r w:rsidR="00DD3645">
        <w:rPr>
          <w:rFonts w:ascii="Times New Roman" w:hAnsi="Times New Roman" w:cs="Times New Roman"/>
        </w:rPr>
        <w:t xml:space="preserve"> particularly diet data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84F95"/>
    <w:rsid w:val="00291D99"/>
    <w:rsid w:val="00293FB1"/>
    <w:rsid w:val="002A3CAF"/>
    <w:rsid w:val="002D415D"/>
    <w:rsid w:val="002E0FA2"/>
    <w:rsid w:val="002E7DAC"/>
    <w:rsid w:val="002F3D6E"/>
    <w:rsid w:val="00332B47"/>
    <w:rsid w:val="00332B65"/>
    <w:rsid w:val="00334684"/>
    <w:rsid w:val="00341FFB"/>
    <w:rsid w:val="00391B83"/>
    <w:rsid w:val="00397057"/>
    <w:rsid w:val="003C426D"/>
    <w:rsid w:val="003C5EE5"/>
    <w:rsid w:val="003C5F3C"/>
    <w:rsid w:val="003C6043"/>
    <w:rsid w:val="003D6DB0"/>
    <w:rsid w:val="003E41E2"/>
    <w:rsid w:val="003E7C7C"/>
    <w:rsid w:val="00427185"/>
    <w:rsid w:val="004348ED"/>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7714E"/>
    <w:rsid w:val="0059611C"/>
    <w:rsid w:val="005C42F5"/>
    <w:rsid w:val="005C5D3B"/>
    <w:rsid w:val="005E4F8D"/>
    <w:rsid w:val="005E511A"/>
    <w:rsid w:val="005F16DD"/>
    <w:rsid w:val="005F5291"/>
    <w:rsid w:val="005F75D0"/>
    <w:rsid w:val="00620A46"/>
    <w:rsid w:val="00651AED"/>
    <w:rsid w:val="00660C86"/>
    <w:rsid w:val="00664EA4"/>
    <w:rsid w:val="00683F64"/>
    <w:rsid w:val="00687A69"/>
    <w:rsid w:val="006956C7"/>
    <w:rsid w:val="006B401F"/>
    <w:rsid w:val="006C07F1"/>
    <w:rsid w:val="006C6BFE"/>
    <w:rsid w:val="006E1B8D"/>
    <w:rsid w:val="00706FBC"/>
    <w:rsid w:val="0071461F"/>
    <w:rsid w:val="007440DF"/>
    <w:rsid w:val="00745280"/>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15E1"/>
    <w:rsid w:val="00983748"/>
    <w:rsid w:val="009B1AC6"/>
    <w:rsid w:val="009B4C78"/>
    <w:rsid w:val="009E154B"/>
    <w:rsid w:val="009F43E5"/>
    <w:rsid w:val="009F786A"/>
    <w:rsid w:val="00A131D8"/>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91187"/>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D00CD3"/>
    <w:rsid w:val="00D03E1F"/>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ncbi.nlm.nih.gov/pmc/articles/PMC897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20</Pages>
  <Words>26410</Words>
  <Characters>150541</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58</cp:revision>
  <dcterms:created xsi:type="dcterms:W3CDTF">2023-03-09T22:51:00Z</dcterms:created>
  <dcterms:modified xsi:type="dcterms:W3CDTF">2023-03-21T16:04:00Z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