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B113"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Abstract</w:t>
      </w:r>
    </w:p>
    <w:p w14:paraId="3AE9F208" w14:textId="77777777" w:rsidR="00CA04BD" w:rsidRPr="00C90B6F" w:rsidRDefault="00CA04BD" w:rsidP="00CA04BD">
      <w:pPr>
        <w:rPr>
          <w:rFonts w:ascii="Times New Roman" w:hAnsi="Times New Roman" w:cs="Times New Roman"/>
        </w:rPr>
      </w:pPr>
    </w:p>
    <w:p w14:paraId="3BF6E55D" w14:textId="77777777" w:rsidR="00CA04BD" w:rsidRPr="00C90B6F" w:rsidRDefault="00CA04BD" w:rsidP="00CA04BD">
      <w:pPr>
        <w:pStyle w:val="NormalWeb"/>
        <w:spacing w:before="0" w:beforeAutospacing="0" w:after="0" w:afterAutospacing="0" w:line="360" w:lineRule="auto"/>
        <w:rPr>
          <w:color w:val="0E101A"/>
        </w:rPr>
      </w:pPr>
      <w:r>
        <w:rPr>
          <w:rStyle w:val="Emphasis"/>
          <w:color w:val="0E101A"/>
        </w:rPr>
        <w:t>Objective</w:t>
      </w:r>
    </w:p>
    <w:p w14:paraId="09C9ED11" w14:textId="77777777" w:rsidR="00CA04BD" w:rsidRPr="00C90B6F" w:rsidRDefault="00CA04BD" w:rsidP="00CA04BD">
      <w:pPr>
        <w:pStyle w:val="NormalWeb"/>
        <w:spacing w:before="0" w:beforeAutospacing="0" w:after="0" w:afterAutospacing="0" w:line="360" w:lineRule="auto"/>
        <w:ind w:firstLine="720"/>
        <w:rPr>
          <w:color w:val="0E101A"/>
        </w:rPr>
      </w:pPr>
      <w:r w:rsidRPr="00C90B6F">
        <w:rPr>
          <w:color w:val="0E101A"/>
        </w:rPr>
        <w:t>Food insecurity—the lack of unabated access to nutritious foods—is a consequence many cancer survivors face.</w:t>
      </w:r>
      <w:r w:rsidRPr="00244A35">
        <w:rPr>
          <w:color w:val="0E101A"/>
        </w:rPr>
        <w:t xml:space="preserve"> </w:t>
      </w:r>
      <w:r>
        <w:rPr>
          <w:color w:val="0E101A"/>
        </w:rPr>
        <w:t>Food insecurity is associated with adverse health outcomes and lower dietary quality among the general public.</w:t>
      </w:r>
      <w:r w:rsidRPr="00C90B6F">
        <w:rPr>
          <w:color w:val="0E101A"/>
        </w:rPr>
        <w:t xml:space="preserve"> In a previous analysis, we extracted prevailing dietary patterns in U.S. food-insecure cancer survivors using penalized logistic regression, suggesting poor diet quality in this population. This analysis evaluated the association between these patterns and survival after a cancer diagnosis.</w:t>
      </w:r>
    </w:p>
    <w:p w14:paraId="22985535" w14:textId="77777777" w:rsidR="00CA04BD" w:rsidRPr="00C90B6F" w:rsidRDefault="00CA04BD" w:rsidP="00CA04BD">
      <w:pPr>
        <w:pStyle w:val="NormalWeb"/>
        <w:spacing w:before="0" w:beforeAutospacing="0" w:after="0" w:afterAutospacing="0" w:line="360" w:lineRule="auto"/>
        <w:rPr>
          <w:color w:val="0E101A"/>
        </w:rPr>
      </w:pPr>
    </w:p>
    <w:p w14:paraId="4909964A" w14:textId="77777777" w:rsidR="00CA04BD" w:rsidRDefault="00CA04BD" w:rsidP="00CA04BD">
      <w:pPr>
        <w:pStyle w:val="NormalWeb"/>
        <w:spacing w:before="0" w:beforeAutospacing="0" w:after="0" w:afterAutospacing="0" w:line="360" w:lineRule="auto"/>
        <w:rPr>
          <w:rStyle w:val="Emphasis"/>
          <w:color w:val="0E101A"/>
        </w:rPr>
      </w:pPr>
      <w:r>
        <w:rPr>
          <w:rStyle w:val="Emphasis"/>
          <w:color w:val="0E101A"/>
        </w:rPr>
        <w:t>Design</w:t>
      </w:r>
    </w:p>
    <w:p w14:paraId="0FD76C07" w14:textId="77777777" w:rsidR="00CA04BD" w:rsidRDefault="00CA04BD" w:rsidP="00CA04BD">
      <w:pPr>
        <w:pStyle w:val="NormalWeb"/>
        <w:spacing w:before="0" w:beforeAutospacing="0" w:after="0" w:afterAutospacing="0" w:line="360" w:lineRule="auto"/>
        <w:rPr>
          <w:color w:val="0E101A"/>
        </w:rPr>
      </w:pPr>
      <w:r w:rsidRPr="00C90B6F">
        <w:rPr>
          <w:color w:val="0E101A"/>
        </w:rPr>
        <w:t>           We implemented two dietary pattern analysis approaches: penalized logistic regression and principal components analysis. Using nationally representative data from the National Health and Nutrition Examination Survey (NHANES) study, we extracted six dietary patterns, two of which (the FI and SNAP patterns) were positively associated with being a food-insecure cancer survivor. Additionally, we evaluated the HEI-2015 for comparison. Cox proportional hazards models assessed the relationship between the diet quality indices and survival after a cancer diagnosis. </w:t>
      </w:r>
    </w:p>
    <w:p w14:paraId="56580589" w14:textId="77777777" w:rsidR="00CA04BD" w:rsidRDefault="00CA04BD" w:rsidP="00CA04BD">
      <w:pPr>
        <w:pStyle w:val="NormalWeb"/>
        <w:spacing w:before="0" w:beforeAutospacing="0" w:after="0" w:afterAutospacing="0" w:line="360" w:lineRule="auto"/>
        <w:rPr>
          <w:color w:val="0E101A"/>
        </w:rPr>
      </w:pPr>
    </w:p>
    <w:p w14:paraId="09D92D11" w14:textId="77777777" w:rsidR="00CA04BD" w:rsidRPr="00682D34" w:rsidRDefault="00CA04BD" w:rsidP="00CA04BD">
      <w:pPr>
        <w:pStyle w:val="NormalWeb"/>
        <w:spacing w:before="0" w:beforeAutospacing="0" w:after="0" w:afterAutospacing="0" w:line="360" w:lineRule="auto"/>
        <w:rPr>
          <w:i/>
          <w:iCs/>
          <w:color w:val="0E101A"/>
        </w:rPr>
      </w:pPr>
      <w:r w:rsidRPr="00682D34">
        <w:rPr>
          <w:i/>
          <w:iCs/>
          <w:color w:val="0E101A"/>
        </w:rPr>
        <w:t>Setting</w:t>
      </w:r>
    </w:p>
    <w:p w14:paraId="6BA2A5E9" w14:textId="77777777" w:rsidR="00CA04BD" w:rsidRDefault="00CA04BD" w:rsidP="00CA04BD">
      <w:pPr>
        <w:pStyle w:val="NormalWeb"/>
        <w:spacing w:before="0" w:beforeAutospacing="0" w:after="0" w:afterAutospacing="0" w:line="360" w:lineRule="auto"/>
        <w:rPr>
          <w:color w:val="0E101A"/>
        </w:rPr>
      </w:pPr>
      <w:r>
        <w:rPr>
          <w:color w:val="0E101A"/>
        </w:rPr>
        <w:t>The United States of America.</w:t>
      </w:r>
    </w:p>
    <w:p w14:paraId="59C3D973" w14:textId="77777777" w:rsidR="00CA04BD" w:rsidRDefault="00CA04BD" w:rsidP="00CA04BD">
      <w:pPr>
        <w:pStyle w:val="NormalWeb"/>
        <w:spacing w:before="0" w:beforeAutospacing="0" w:after="0" w:afterAutospacing="0" w:line="360" w:lineRule="auto"/>
        <w:rPr>
          <w:color w:val="0E101A"/>
        </w:rPr>
      </w:pPr>
    </w:p>
    <w:p w14:paraId="4979E9B8" w14:textId="77777777" w:rsidR="00CA04BD" w:rsidRDefault="00CA04BD" w:rsidP="00CA04BD">
      <w:pPr>
        <w:pStyle w:val="NormalWeb"/>
        <w:spacing w:before="0" w:beforeAutospacing="0" w:after="0" w:afterAutospacing="0" w:line="360" w:lineRule="auto"/>
        <w:rPr>
          <w:i/>
          <w:iCs/>
          <w:color w:val="0E101A"/>
        </w:rPr>
      </w:pPr>
      <w:r w:rsidRPr="00682D34">
        <w:rPr>
          <w:i/>
          <w:iCs/>
          <w:color w:val="0E101A"/>
        </w:rPr>
        <w:t>Participants</w:t>
      </w:r>
    </w:p>
    <w:p w14:paraId="6508029F" w14:textId="77777777" w:rsidR="00CA04BD" w:rsidRDefault="00CA04BD" w:rsidP="00CA04BD">
      <w:pPr>
        <w:pStyle w:val="NormalWeb"/>
        <w:spacing w:before="0" w:beforeAutospacing="0" w:after="0" w:afterAutospacing="0" w:line="360" w:lineRule="auto"/>
        <w:rPr>
          <w:color w:val="0E101A"/>
        </w:rPr>
      </w:pPr>
      <w:r>
        <w:rPr>
          <w:color w:val="0E101A"/>
        </w:rPr>
        <w:t>U.S. cancer survivors.</w:t>
      </w:r>
    </w:p>
    <w:p w14:paraId="7F59723D" w14:textId="77777777" w:rsidR="00CA04BD" w:rsidRPr="00682D34" w:rsidRDefault="00CA04BD" w:rsidP="00CA04BD">
      <w:pPr>
        <w:pStyle w:val="NormalWeb"/>
        <w:spacing w:before="0" w:beforeAutospacing="0" w:after="0" w:afterAutospacing="0" w:line="360" w:lineRule="auto"/>
        <w:rPr>
          <w:color w:val="0E101A"/>
        </w:rPr>
      </w:pPr>
    </w:p>
    <w:p w14:paraId="25807E41" w14:textId="77777777" w:rsidR="00CA04BD" w:rsidRPr="00C90B6F" w:rsidRDefault="00CA04BD" w:rsidP="00CA04BD">
      <w:pPr>
        <w:pStyle w:val="NormalWeb"/>
        <w:spacing w:before="0" w:beforeAutospacing="0" w:after="0" w:afterAutospacing="0" w:line="360" w:lineRule="auto"/>
        <w:rPr>
          <w:color w:val="0E101A"/>
        </w:rPr>
      </w:pPr>
      <w:r w:rsidRPr="00C90B6F">
        <w:rPr>
          <w:rStyle w:val="Emphasis"/>
          <w:color w:val="0E101A"/>
        </w:rPr>
        <w:t>Results</w:t>
      </w:r>
    </w:p>
    <w:p w14:paraId="4D785343" w14:textId="77777777" w:rsidR="00CA04BD" w:rsidRPr="00C90B6F" w:rsidRDefault="00CA04BD" w:rsidP="00CA04BD">
      <w:pPr>
        <w:pStyle w:val="NormalWeb"/>
        <w:spacing w:before="0" w:beforeAutospacing="0" w:after="0" w:afterAutospacing="0" w:line="360" w:lineRule="auto"/>
        <w:rPr>
          <w:color w:val="0E101A"/>
        </w:rPr>
      </w:pPr>
      <w:r w:rsidRPr="00C90B6F">
        <w:rPr>
          <w:color w:val="0E101A"/>
        </w:rPr>
        <w:lastRenderedPageBreak/>
        <w:t>           There were 981 deaths from all causes and 343 cancer-related deaths. After multivariable adjustment, we found higher risks of all-cause mortality associated with higher adherence to the FI (HR: 1.23; 95% CI: 1.06-1.42) and SNAP (HR: 1.20; 95% CI: 1.03-1.40) patterns among cancer survivors.</w:t>
      </w:r>
    </w:p>
    <w:p w14:paraId="1C1F0E67" w14:textId="77777777" w:rsidR="00CA04BD" w:rsidRPr="00C90B6F" w:rsidRDefault="00CA04BD" w:rsidP="00CA04BD">
      <w:pPr>
        <w:pStyle w:val="NormalWeb"/>
        <w:spacing w:before="0" w:beforeAutospacing="0" w:after="0" w:afterAutospacing="0" w:line="360" w:lineRule="auto"/>
        <w:rPr>
          <w:color w:val="0E101A"/>
        </w:rPr>
      </w:pPr>
    </w:p>
    <w:p w14:paraId="6E784FD2" w14:textId="77777777" w:rsidR="00CA04BD" w:rsidRPr="00C90B6F" w:rsidRDefault="00CA04BD" w:rsidP="00CA04BD">
      <w:pPr>
        <w:pStyle w:val="NormalWeb"/>
        <w:spacing w:before="0" w:beforeAutospacing="0" w:after="0" w:afterAutospacing="0" w:line="360" w:lineRule="auto"/>
        <w:rPr>
          <w:color w:val="0E101A"/>
        </w:rPr>
      </w:pPr>
      <w:r w:rsidRPr="00C90B6F">
        <w:rPr>
          <w:rStyle w:val="Emphasis"/>
          <w:color w:val="0E101A"/>
        </w:rPr>
        <w:t>Conclusion</w:t>
      </w:r>
    </w:p>
    <w:p w14:paraId="189B134B" w14:textId="77777777" w:rsidR="00CA04BD" w:rsidRDefault="00CA04BD" w:rsidP="00CA04BD">
      <w:pPr>
        <w:pStyle w:val="NormalWeb"/>
        <w:spacing w:before="0" w:beforeAutospacing="0" w:after="0" w:afterAutospacing="0" w:line="360" w:lineRule="auto"/>
        <w:rPr>
          <w:color w:val="0E101A"/>
        </w:rPr>
      </w:pPr>
      <w:r w:rsidRPr="00C90B6F">
        <w:rPr>
          <w:color w:val="0E101A"/>
        </w:rPr>
        <w:t>           Higher adherence to prevailing dietary patterns specific to the U.S. food-insecure cancer survivor population may lead to a worse prognosis.</w:t>
      </w:r>
    </w:p>
    <w:p w14:paraId="6C0B876E" w14:textId="77777777" w:rsidR="003B6A0A" w:rsidRDefault="003B6A0A" w:rsidP="00CA04BD">
      <w:pPr>
        <w:pStyle w:val="NormalWeb"/>
        <w:spacing w:before="0" w:beforeAutospacing="0" w:after="0" w:afterAutospacing="0" w:line="360" w:lineRule="auto"/>
        <w:rPr>
          <w:color w:val="0E101A"/>
        </w:rPr>
      </w:pPr>
    </w:p>
    <w:p w14:paraId="4B62509A" w14:textId="431F9AC7" w:rsidR="003B6A0A" w:rsidRDefault="003B6A0A" w:rsidP="00CA04BD">
      <w:pPr>
        <w:pStyle w:val="NormalWeb"/>
        <w:spacing w:before="0" w:beforeAutospacing="0" w:after="0" w:afterAutospacing="0" w:line="360" w:lineRule="auto"/>
        <w:rPr>
          <w:b/>
          <w:bCs/>
          <w:color w:val="0E101A"/>
        </w:rPr>
      </w:pPr>
      <w:r>
        <w:rPr>
          <w:b/>
          <w:bCs/>
          <w:color w:val="0E101A"/>
        </w:rPr>
        <w:t>Keywords</w:t>
      </w:r>
    </w:p>
    <w:p w14:paraId="24C19745" w14:textId="454C35FB" w:rsidR="003B6A0A" w:rsidRPr="003B6A0A" w:rsidRDefault="003B6A0A" w:rsidP="00CA04BD">
      <w:pPr>
        <w:pStyle w:val="NormalWeb"/>
        <w:spacing w:before="0" w:beforeAutospacing="0" w:after="0" w:afterAutospacing="0" w:line="360" w:lineRule="auto"/>
        <w:rPr>
          <w:color w:val="0E101A"/>
        </w:rPr>
      </w:pPr>
      <w:r>
        <w:rPr>
          <w:color w:val="0E101A"/>
        </w:rPr>
        <w:t>nutritional epidemiology; survivorship; dietary patterns; food insecurity; regularization</w:t>
      </w:r>
    </w:p>
    <w:p w14:paraId="103FDC39" w14:textId="77777777" w:rsidR="00CA04BD" w:rsidRPr="00C90B6F" w:rsidRDefault="00CA04BD" w:rsidP="00CA04BD">
      <w:pPr>
        <w:rPr>
          <w:rFonts w:ascii="Times New Roman" w:hAnsi="Times New Roman" w:cs="Times New Roman"/>
        </w:rPr>
      </w:pPr>
    </w:p>
    <w:p w14:paraId="7CF01E1E"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Introduction</w:t>
      </w:r>
    </w:p>
    <w:p w14:paraId="22C05392" w14:textId="77777777" w:rsidR="00CA04BD" w:rsidRPr="00C90B6F" w:rsidRDefault="00CA04BD" w:rsidP="00CA04BD">
      <w:pPr>
        <w:rPr>
          <w:rFonts w:ascii="Times New Roman" w:hAnsi="Times New Roman" w:cs="Times New Roman"/>
          <w:b/>
          <w:bCs/>
        </w:rPr>
      </w:pPr>
    </w:p>
    <w:p w14:paraId="4752C674"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{"citationID":"XbfGBzpE","properties":{"formattedCitation":"(1,2)","plainCitation":"(1,2)","noteIndex":0},"citationItems":[{"id":2260,"uris":["http://zotero.org/users/local/S8X13ARX/items/399Y7VNG"],"itemData":{"id":2260,"type":"article-journal","abstract":"“Financial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(1,2)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AXAfgOJW","properties":{"formattedCitation":"(3,4)","plainCitation":"(3,4)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(3,4)</w:t>
      </w:r>
      <w:r w:rsidRPr="00C90B6F">
        <w:rPr>
          <w:rFonts w:ascii="Times New Roman" w:hAnsi="Times New Roman" w:cs="Times New Roman"/>
        </w:rPr>
        <w:fldChar w:fldCharType="end"/>
      </w:r>
      <w:r w:rsidRPr="00C90B6F">
        <w:rPr>
          <w:rFonts w:ascii="Times New Roman" w:hAnsi="Times New Roman" w:cs="Times New Roman"/>
        </w:rPr>
        <w:t xml:space="preserve">. A </w:t>
      </w:r>
      <w:r w:rsidRPr="00C90B6F">
        <w:rPr>
          <w:rFonts w:ascii="Times New Roman" w:hAnsi="Times New Roman" w:cs="Times New Roman"/>
        </w:rPr>
        <w:lastRenderedPageBreak/>
        <w:t xml:space="preserve">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{"citationID":"rZm5TwOB","properties":{"formattedCitation":"(5,6)","plainCitation":"(5,6)","noteIndex":0},"citationItems":[{"id":2192,"uris":["http://zotero.org/users/local/S8X13ARX/items/IKF89UC2"],"itemData":{"id":2192,"type":"article-journal","container-title":"New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(5,6)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{"citationID":"9i74B2JF","properties":{"formattedCitation":"(7,8)","plainCitation":"(7,8)","noteIndex":0},"citationItems":[{"id":1580,"uris":["http://zotero.org/users/local/S8X13ARX/items/J5DWKJJV"],"itemData":{"id":1580,"type":"article-journal","container-title":"BMC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(7,8)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xml:space="preserve">. When using dietary intake data in regression model, the latter is often encountered given that there tends to be a high extent of correlation among dietary intake and nutrient variables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the prevailing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with food insecurity in the </w:t>
      </w:r>
      <w:r w:rsidRPr="00C90B6F">
        <w:rPr>
          <w:rFonts w:ascii="Times New Roman" w:hAnsi="Times New Roman" w:cs="Times New Roman"/>
        </w:rPr>
        <w:lastRenderedPageBreak/>
        <w:t>same population. Whether these dietary patterns affected clinically meaningful outcomes for cancer survivors was left open ended.</w:t>
      </w:r>
    </w:p>
    <w:p w14:paraId="7C9BC2C7"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Understanding how food insecurity affects different aspects of life, including dietary intake, is a means of delineating at least one potential driving factor behind the health disparities that may arise in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We hypothesized that the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02405D27"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(MCQ). Individuals diagnosed with non-melanoma skin cancer and no other cancer were coded as having no history of cancer, given that the prognosis and benign course of this class of malignancies may otherwise bias the sample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7A425CCF" w14:textId="77777777" w:rsidR="00CA04BD" w:rsidRPr="00C90B6F" w:rsidRDefault="00CA04BD" w:rsidP="00CA04BD">
      <w:pPr>
        <w:spacing w:line="360" w:lineRule="auto"/>
        <w:ind w:firstLine="720"/>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Explanatory Variables: Diet Quality Measures</w:t>
      </w:r>
    </w:p>
    <w:p w14:paraId="207D0083"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A thorough description of the computation of diet quality indices used in the analysis is described elsewhere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Briefly, 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{"citationID":"wjNrp99U","properties":{"formattedCitation":"(14,15)","plainCitation":"(14,15)","noteIndex":0},"citationItems":[{"id":808,"uris":["http://zotero.org/users/local/S8X13ARX/items/QXTB5EYL"],"itemData":{"id":808,"type":"article-journal","container-title":"The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(14,15)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{"citationID":"SVt2exrw","properties":{"formattedCitation":"(11,16,17)","plainCitation":"(11,16,17)","noteIndex":0},"citationItems":[{"id":2018,"uris":["http://zotero.org/users/local/S8X13ARX/items/CEMPR32Z"],"itemData":{"id":2018,"type":"article-journal","abstract":"(1)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(11,16,17)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w:t>
      </w:r>
      <w:r w:rsidRPr="00C90B6F">
        <w:rPr>
          <w:rFonts w:ascii="Times New Roman" w:hAnsi="Times New Roman" w:cs="Times New Roman"/>
        </w:rPr>
        <w:lastRenderedPageBreak/>
        <w:t xml:space="preserve">further into 26 groups, as previously described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(penalized logit) and principal components analysis (PCA). These 26 food groups were the explanatory variables in these 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{"citationID":"sDkCRuQQ","properties":{"formattedCitation":"(18,19)","plainCitation":"(18,19)","noteIndex":0},"citationItems":[{"id":1373,"uris":["http://zotero.org/users/local/S8X13ARX/items/F9TXRSSS"],"itemData":{"id":1373,"type":"article-journal","container-title":"The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(18,19)</w:t>
      </w:r>
      <w:r w:rsidRPr="00C90B6F">
        <w:rPr>
          <w:rFonts w:ascii="Times New Roman" w:hAnsi="Times New Roman" w:cs="Times New Roman"/>
        </w:rPr>
        <w:fldChar w:fldCharType="end"/>
      </w:r>
      <w:r w:rsidRPr="00C90B6F">
        <w:rPr>
          <w:rFonts w:ascii="Times New Roman" w:hAnsi="Times New Roman" w:cs="Times New Roman"/>
        </w:rPr>
        <w:t xml:space="preserve">. See Maino Vieytes et al. (2022) for an expanded narrative on these procedures and a discussion of the component retention process for the PCA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{"citationID":"9XrVGRdz","properties":{"formattedCitation":"(20,21)","plainCitation":"(20,21)","noteIndex":0},"citationItems":[{"id":1295,"uris":["http://zotero.org/users/local/S8X13ARX/items/EBALSKJP"],"itemData":{"id":1295,"type":"article-journal","abstract":"The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(20,21)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XbtQmxBc","properties":{"formattedCitation":"(23,24)","plainCitation":"(23,24)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(23,24)</w:t>
      </w:r>
      <w:r w:rsidRPr="00C90B6F">
        <w:rPr>
          <w:rFonts w:ascii="Times New Roman" w:hAnsi="Times New Roman" w:cs="Times New Roman"/>
        </w:rPr>
        <w:fldChar w:fldCharType="end"/>
      </w:r>
      <w:r w:rsidRPr="00C90B6F">
        <w:rPr>
          <w:rFonts w:ascii="Times New Roman" w:hAnsi="Times New Roman" w:cs="Times New Roman"/>
        </w:rPr>
        <w:t xml:space="preserve">. Data were right-censored to either the last known date alive or the administrative censoring date on December 31, 2019. We used the International Classification of Diseases, Tenth Revision (ICD-10) codes to classify the causes of death. Survival analyses examined all-cause </w:t>
      </w:r>
      <w:r w:rsidRPr="00C90B6F">
        <w:rPr>
          <w:rFonts w:ascii="Times New Roman" w:hAnsi="Times New Roman" w:cs="Times New Roman"/>
        </w:rPr>
        <w:lastRenderedPageBreak/>
        <w:t>mortality and cause-specific mortality—deaths due to neoplastic malignancy (ICD-10 codes C00-C97) and cardiovascular disease (ICD-10 codes I00-I09, I11, I13, I20-I51, and I60-I69).</w:t>
      </w:r>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current 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xml:space="preserve">. Cancer-related covariates were obtained from the MCQ, and the time since diagnosis was defined </w:t>
      </w:r>
      <w:r w:rsidRPr="00C90B6F">
        <w:rPr>
          <w:rFonts w:ascii="Times New Roman" w:hAnsi="Times New Roman" w:cs="Times New Roman"/>
        </w:rPr>
        <w:lastRenderedPageBreak/>
        <w:t>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We assessed the relationship between diet quality measures and all-cause and cause-specific mortality using Cox Proportional Hazards models. 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77777777"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xml:space="preserve">). 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w:t>
      </w:r>
      <w:r w:rsidRPr="00C90B6F">
        <w:rPr>
          <w:rFonts w:ascii="Times New Roman" w:eastAsiaTheme="minorEastAsia" w:hAnsi="Times New Roman" w:cs="Times New Roman"/>
        </w:rPr>
        <w:lastRenderedPageBreak/>
        <w:t>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0"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0"/>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{"citationID":"cqL63ywH","properties":{"formattedCitation":"(27,28)","plainCitation":"(27,28)","noteIndex":0},"citationItems":[{"id":835,"uris":["http://zotero.org/users/local/S8X13ARX/items/HK3ZM8V9"],"itemData":{"id":835,"type":"article-journal","container-title":"The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(27,28)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4" w:history="1">
        <w:r w:rsidRPr="00C90B6F">
          <w:rPr>
            <w:rStyle w:val="Hyperlink"/>
            <w:rFonts w:ascii="Times New Roman" w:eastAsiaTheme="minorEastAsia" w:hAnsi="Times New Roman" w:cs="Times New Roman"/>
          </w:rPr>
          <w:t>https://github.com/cmainov/nhanes-fi-ca-mortality</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96C39D7"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The analysis included 603,960 person-months of contribution to the risk set, with 981 deaths from all causes, 343 cancer deaths, and 235 cardiovascular disease-related deaths. The 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p w14:paraId="17F3A47B"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similar to the FI pattern (</w:t>
      </w:r>
      <w:r w:rsidRPr="00C90B6F">
        <w:rPr>
          <w:rFonts w:ascii="Times New Roman" w:hAnsi="Times New Roman" w:cs="Times New Roman"/>
          <w:i/>
          <w:iCs/>
        </w:rPr>
        <w:t>r </w:t>
      </w:r>
      <w:r w:rsidRPr="00C90B6F">
        <w:rPr>
          <w:rFonts w:ascii="Times New Roman" w:hAnsi="Times New Roman" w:cs="Times New Roman"/>
        </w:rPr>
        <w:t>= 0.81). The pattern of correlation coefficients for the Household Size pattern was also similar to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w:t>
      </w:r>
      <w:r w:rsidRPr="00C90B6F">
        <w:rPr>
          <w:rFonts w:ascii="Times New Roman" w:hAnsi="Times New Roman" w:cs="Times New Roman"/>
        </w:rPr>
        <w:lastRenderedPageBreak/>
        <w:t xml:space="preserve">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78F9BF13"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2024252E"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contrast, inverse associations were noted for the two “prudent” patterns extracted via PCA. Amongst all cancer </w:t>
      </w:r>
      <w:r w:rsidRPr="00C90B6F">
        <w:rPr>
          <w:rFonts w:ascii="Times New Roman" w:hAnsi="Times New Roman" w:cs="Times New Roman"/>
        </w:rPr>
        <w:lastRenderedPageBreak/>
        <w:t xml:space="preserve">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similar to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we found that the association between the FI pattern and all-cause mortality was amplified. The SNAP pattern in this analysis yielded results that were similar to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04F6CD90" w14:textId="77777777" w:rsidR="00CA04BD" w:rsidRDefault="00CA04BD" w:rsidP="00CA04BD">
      <w:pPr>
        <w:spacing w:line="360" w:lineRule="auto"/>
        <w:ind w:firstLine="720"/>
        <w:rPr>
          <w:rFonts w:ascii="Times New Roman" w:eastAsiaTheme="minorEastAsia" w:hAnsi="Times New Roman" w:cs="Times New Roman"/>
        </w:rPr>
      </w:pPr>
    </w:p>
    <w:p w14:paraId="0B38CFDA" w14:textId="77777777"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7AABE0E0" w:rsidR="002C775F" w:rsidRDefault="00CA04BD" w:rsidP="00CA04BD">
      <w:pPr>
        <w:spacing w:line="360" w:lineRule="auto"/>
        <w:rPr>
          <w:rFonts w:ascii="Times New Roman" w:hAnsi="Times New Roman" w:cs="Times New Roman"/>
        </w:rPr>
      </w:pPr>
      <w:r w:rsidRPr="00C90B6F">
        <w:rPr>
          <w:rFonts w:ascii="Times New Roman" w:hAnsi="Times New Roman" w:cs="Times New Roman"/>
        </w:rPr>
        <w:lastRenderedPageBreak/>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for extracting dietary patterns associated with a particular risk factor or outcome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was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w:t>
      </w:r>
      <w:r w:rsidRPr="00C90B6F">
        <w:rPr>
          <w:rFonts w:ascii="Times New Roman" w:hAnsi="Times New Roman" w:cs="Times New Roman"/>
        </w:rPr>
        <w:lastRenderedPageBreak/>
        <w:t xml:space="preserve">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w3YCl8Ir","properties":{"formattedCitation":"(3,29,30)","plainCitation":"(3,29,30)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rPr>
        <w:t>(3,29,30)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{"citationID":"FzMI8che","properties":{"formattedCitation":"(5,31,32)","plainCitation":"(5,31,32)","noteIndex":0},"citationItems":[{"id":1386,"uris":["http://zotero.org/users/local/S8X13ARX/items/KFLRIPJ9"],"itemData":{"id":1386,"type":"article-journal","abstract":"BACKGROUND: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kern w:val="0"/>
        </w:rPr>
        <w:t>(5,31,32)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azdazRTV","properties":{"formattedCitation":"(18,28,33\\uc0\\u8211{}35)","plainCitation":"(18,28,33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Pr="00703E87">
        <w:rPr>
          <w:rFonts w:ascii="Times New Roman" w:hAnsi="Times New Roman" w:cs="Times New Roman"/>
          <w:kern w:val="0"/>
        </w:rPr>
        <w:t>(18,28,33–35)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that dietary intake may be pertinent to the pathway between food insecurity and increased mortality in cancer survivors. </w:t>
      </w:r>
    </w:p>
    <w:p w14:paraId="5A4FC84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w:t>
      </w:r>
      <w:r w:rsidRPr="00C90B6F">
        <w:rPr>
          <w:rFonts w:ascii="Times New Roman" w:hAnsi="Times New Roman" w:cs="Times New Roman"/>
        </w:rPr>
        <w:lastRenderedPageBreak/>
        <w:t xml:space="preserve">lower CRP levels in breast cancer survivors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Pr="00703E87">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scFpcUIq","properties":{"formattedCitation":"(3,11,43)","plainCitation":"(3,11,43)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(3,11,43)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later on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w:t>
      </w:r>
      <w:r w:rsidRPr="00C90B6F">
        <w:rPr>
          <w:rFonts w:ascii="Times New Roman" w:hAnsi="Times New Roman" w:cs="Times New Roman"/>
        </w:rPr>
        <w:lastRenderedPageBreak/>
        <w:t xml:space="preserve">resources or providing referrals to federal and local nutrition assistance programs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7NuKLhHp","properties":{"formattedCitation":"(3,45)","plainCitation":"(3,45)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(3,45)</w:t>
      </w:r>
      <w:r w:rsidRPr="00C90B6F">
        <w:rPr>
          <w:rFonts w:ascii="Times New Roman" w:hAnsi="Times New Roman" w:cs="Times New Roman"/>
        </w:rPr>
        <w:fldChar w:fldCharType="end"/>
      </w:r>
      <w:r w:rsidRPr="00C90B6F">
        <w:rPr>
          <w:rFonts w:ascii="Times New Roman" w:hAnsi="Times New Roman" w:cs="Times New Roman"/>
        </w:rPr>
        <w:t>. The establishment of hospital-based food pantries is another avenue that has shown promise for cancer survivors to access nutritious foods that they may otherwise lack 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1E012R8F","properties":{"formattedCitation":"(3,48,49)","plainCitation":"(3,48,49)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(3,48,49)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First, we used a static measure of dietary intake, although we know that patterns of dietary intake are dynamic and circumstantial, and our analysis was not able to account for any variation in dietary intake over time despite using time-to-event measures that occurred substantially after the measurement instance.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w:t>
      </w:r>
      <w:r w:rsidRPr="00C90B6F">
        <w:rPr>
          <w:rFonts w:ascii="Times New Roman" w:hAnsi="Times New Roman" w:cs="Times New Roman"/>
        </w:rPr>
        <w:lastRenderedPageBreak/>
        <w:t>be subject to systematic measurement errors that we were unable to quantify with the available data. We must also qualify that our findings are based on a set of 24-hour recalls, which are not designed to capture and may not be representative of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 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FSSM, are likely to be highly correlated with measures of stress. Indeed, the U.S. Household FSSM includes questions designed to capture concern and stress about food insufficiency, such 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Finally, a critical reflection of the use of the U.S. Household FSSM is that a measure of household food insecurity may not capture the burden of food insecurity exacted on any one individual within that household. </w:t>
      </w:r>
    </w:p>
    <w:p w14:paraId="253EDB05"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summary, we conclude that major and prevailing dietary patterns among U.S. food-insecure cancer survivors, derived empirically using a novel supervised learning methodology, may deleteriously impact cancer-related outcomes such as all-cause and cause-specific mortality. These patterns, characterized by the consumption of added sugars and processed foods with concomitant low consumption of fruits, vegetables, whole grains, </w:t>
      </w:r>
      <w:r w:rsidRPr="00C90B6F">
        <w:rPr>
          <w:rFonts w:ascii="Times New Roman" w:hAnsi="Times New Roman" w:cs="Times New Roman"/>
        </w:rPr>
        <w:lastRenderedPageBreak/>
        <w:t>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Pr="00C90B6F" w:rsidRDefault="00CA04BD" w:rsidP="00CA04BD">
      <w:pPr>
        <w:spacing w:line="360" w:lineRule="auto"/>
        <w:rPr>
          <w:rFonts w:ascii="Times New Roman" w:hAnsi="Times New Roman" w:cs="Times New Roman"/>
          <w:b/>
          <w:bCs/>
        </w:rPr>
      </w:pPr>
    </w:p>
    <w:p w14:paraId="7C90E0D3" w14:textId="77777777"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References</w:t>
      </w:r>
    </w:p>
    <w:p w14:paraId="5D0DF2DD" w14:textId="77777777" w:rsidR="00CA04BD" w:rsidRPr="00703E87" w:rsidRDefault="00CA04BD" w:rsidP="00CA04BD">
      <w:pPr>
        <w:pStyle w:val="Bibliography"/>
        <w:rPr>
          <w:rFonts w:ascii="Times New Roman" w:hAnsi="Times New Roman" w:cs="Times New Roman"/>
        </w:rPr>
      </w:pPr>
      <w:r w:rsidRPr="00C90B6F">
        <w:fldChar w:fldCharType="begin"/>
      </w:r>
      <w:r>
        <w:instrText xml:space="preserve"> ADDIN ZOTERO_BIBL {"uncited":[],"omitted":[],"custom":[]} CSL_BIBLIOGRAPHY </w:instrText>
      </w:r>
      <w:r w:rsidRPr="00C90B6F">
        <w:fldChar w:fldCharType="separate"/>
      </w:r>
      <w:r w:rsidRPr="00703E87">
        <w:rPr>
          <w:rFonts w:ascii="Times New Roman" w:hAnsi="Times New Roman" w:cs="Times New Roman"/>
        </w:rPr>
        <w:t>1.</w:t>
      </w:r>
      <w:r w:rsidRPr="00703E87">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CA Cancer J Clin. 2018;68(2):153–65. </w:t>
      </w:r>
    </w:p>
    <w:p w14:paraId="7B2AFDF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w:t>
      </w:r>
      <w:r w:rsidRPr="00703E87">
        <w:rPr>
          <w:rFonts w:ascii="Times New Roman" w:hAnsi="Times New Roman" w:cs="Times New Roman"/>
        </w:rPr>
        <w:tab/>
        <w:t xml:space="preserve">Blinder V, Eberle C, Patil S, Gany FM, Bradley CJ. Women With Breast Cancer Who Work For Accommodating Employers More Likely To Retain Jobs After Treatment. Health Aff (Millwood). 2017 Feb;36(2):274–81. </w:t>
      </w:r>
    </w:p>
    <w:p w14:paraId="3B5F073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w:t>
      </w:r>
      <w:r w:rsidRPr="00703E87">
        <w:rPr>
          <w:rFonts w:ascii="Times New Roman" w:hAnsi="Times New Roman" w:cs="Times New Roman"/>
        </w:rPr>
        <w:tab/>
        <w:t xml:space="preserve">Patel KG, Borno HT, Seligman HK. Food insecurity screening: A missing piece in cancer management. Cancer. 2019 Oct 15;125(20):3494–501. </w:t>
      </w:r>
    </w:p>
    <w:p w14:paraId="47A3977A"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w:t>
      </w:r>
      <w:r w:rsidRPr="00703E87">
        <w:rPr>
          <w:rFonts w:ascii="Times New Roman" w:hAnsi="Times New Roman" w:cs="Times New Roman"/>
        </w:rPr>
        <w:tab/>
        <w:t xml:space="preserve">Charkhchi P, Fazeli Dehkordy S, Carlos RC. Housing and Food Insecurity, Care Access, and Health Status Among the Chronically Ill: An Analysis of the Behavioral Risk Factor Surveillance System. J Gen Intern Med. 2018 May 1;33(5):644–50. </w:t>
      </w:r>
    </w:p>
    <w:p w14:paraId="69F6F16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5.</w:t>
      </w:r>
      <w:r w:rsidRPr="00703E87">
        <w:rPr>
          <w:rFonts w:ascii="Times New Roman" w:hAnsi="Times New Roman" w:cs="Times New Roman"/>
        </w:rPr>
        <w:tab/>
        <w:t xml:space="preserve">Seligman HK, Schillinger D. Hunger and Socioeconomic Disparities in Chronic Disease. N Engl J Med. 2010 Jul;363(1):6–9. </w:t>
      </w:r>
    </w:p>
    <w:p w14:paraId="419793D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6.</w:t>
      </w:r>
      <w:r w:rsidRPr="00703E87">
        <w:rPr>
          <w:rFonts w:ascii="Times New Roman" w:hAnsi="Times New Roman" w:cs="Times New Roman"/>
        </w:rPr>
        <w:tab/>
        <w:t xml:space="preserve">Leung CW, Epel ES, Ritchie LD, Crawford PB, Laraia BA. Food Insecurity Is Inversely Associated with Diet Quality of </w:t>
      </w:r>
      <w:r w:rsidRPr="00703E87">
        <w:rPr>
          <w:rFonts w:ascii="Times New Roman" w:hAnsi="Times New Roman" w:cs="Times New Roman"/>
        </w:rPr>
        <w:lastRenderedPageBreak/>
        <w:t xml:space="preserve">Lower-Income Adults. J Acad Nutr Diet. 2014 Dec;114(12):1943-1953.e2. </w:t>
      </w:r>
    </w:p>
    <w:p w14:paraId="6F10A63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7.</w:t>
      </w:r>
      <w:r w:rsidRPr="00703E87">
        <w:rPr>
          <w:rFonts w:ascii="Times New Roman" w:hAnsi="Times New Roman" w:cs="Times New Roman"/>
        </w:rPr>
        <w:tab/>
        <w:t xml:space="preserve">Zhang F, Tapera TM, Gou J. Application of a new dietary pattern analysis method in nutritional epidemiology. BMC Med Res Methodol. 2018 Dec;18(1):119. </w:t>
      </w:r>
    </w:p>
    <w:p w14:paraId="6CC6059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8.</w:t>
      </w:r>
      <w:r w:rsidRPr="00703E87">
        <w:rPr>
          <w:rFonts w:ascii="Times New Roman" w:hAnsi="Times New Roman" w:cs="Times New Roman"/>
        </w:rPr>
        <w:tab/>
        <w:t xml:space="preserve">Zhao J, Li Z, Gao Q, Zhao H, Chen S, Huang L, et al. A review of statistical methods for dietary pattern analysis. Nutr J. 2021 Dec;20(1):37. </w:t>
      </w:r>
    </w:p>
    <w:p w14:paraId="03D06751"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9.</w:t>
      </w:r>
      <w:r w:rsidRPr="00703E87">
        <w:rPr>
          <w:rFonts w:ascii="Times New Roman" w:hAnsi="Times New Roman" w:cs="Times New Roman"/>
        </w:rPr>
        <w:tab/>
        <w:t xml:space="preserve">Zou H, Hastie T. Regularization and variable selection via the elastic net. J R Stat Soc Ser B Stat Methodol. 2005 Apr;67(2):301–20. </w:t>
      </w:r>
    </w:p>
    <w:p w14:paraId="6D184798"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10.</w:t>
      </w:r>
      <w:r w:rsidRPr="00703E87">
        <w:rPr>
          <w:rFonts w:ascii="Times New Roman" w:hAnsi="Times New Roman" w:cs="Times New Roman"/>
        </w:rPr>
        <w:tab/>
        <w:t xml:space="preserve">Hu FB. Dietary pattern analysis: a new direction in nutritional epidemiology. Curr Opin Lipidol. 2002 Feb;13(1):3–9. </w:t>
      </w:r>
    </w:p>
    <w:p w14:paraId="577F82C3"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11.</w:t>
      </w:r>
      <w:r w:rsidRPr="00703E87">
        <w:rPr>
          <w:rFonts w:ascii="Times New Roman" w:hAnsi="Times New Roman" w:cs="Times New Roman"/>
        </w:rPr>
        <w:tab/>
        <w:t xml:space="preserve">Maino Vieytes CA, Zhu R, Gany F, Burton-Obanla A, Arthur AE. Empirical Dietary Patterns Associated with Food Insecurity in U.S. Cancer Survivors: NHANES 1999–2018. Int J Environ Res Public Health. 2022 Oct 28;19(21):14062. </w:t>
      </w:r>
    </w:p>
    <w:p w14:paraId="51C8461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12.</w:t>
      </w:r>
      <w:r w:rsidRPr="00703E87">
        <w:rPr>
          <w:rFonts w:ascii="Times New Roman" w:hAnsi="Times New Roman" w:cs="Times New Roman"/>
        </w:rPr>
        <w:tab/>
        <w:t>Bickel G, Nord M, Price C, Hamilton W, Cook J. Guide to Measuring Household Food Security [Internet]. U.S. Department of Agriculture, Food and Nutrition Service; 2000. Available from: https://nhis.ipums.org/nhis/resources/FSGuide.pdf</w:t>
      </w:r>
    </w:p>
    <w:p w14:paraId="0B358C4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13.</w:t>
      </w:r>
      <w:r w:rsidRPr="00703E87">
        <w:rPr>
          <w:rFonts w:ascii="Times New Roman" w:hAnsi="Times New Roman" w:cs="Times New Roman"/>
        </w:rPr>
        <w:tab/>
        <w:t xml:space="preserve">Yaghjyan L, Wijayabahu AT, Egan KM. RE: The Association Between Dietary Quality and Overall and Cancer-Specific Mortality Among Cancer Survivors, NHANES III. JNCI Cancer Spectr. 2018 Jul 1;2(3):pky044. </w:t>
      </w:r>
    </w:p>
    <w:p w14:paraId="2052D11D"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14.</w:t>
      </w:r>
      <w:r w:rsidRPr="00703E87">
        <w:rPr>
          <w:rFonts w:ascii="Times New Roman" w:hAnsi="Times New Roman" w:cs="Times New Roman"/>
        </w:rPr>
        <w:tab/>
        <w:t xml:space="preserve">Blanton CA, Moshfegh AJ, Baer DJ, Kretsch MJ. The USDA Automated Multiple-Pass Method Accurately Estimates Group Total Energy and Nutrient Intake. J Nutr. 2006 Oct 1;136(10):2594–9. </w:t>
      </w:r>
    </w:p>
    <w:p w14:paraId="242D1928"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15.</w:t>
      </w:r>
      <w:r w:rsidRPr="00703E87">
        <w:rPr>
          <w:rFonts w:ascii="Times New Roman" w:hAnsi="Times New Roman" w:cs="Times New Roman"/>
        </w:rPr>
        <w:tab/>
        <w:t xml:space="preserve">Moshfegh AJ, Rhodes DG, Baer DJ, Murayi T, Clemens JC, Rumpler WV, et al. The US Department of Agriculture Automated Multiple-Pass Method reduces bias in the collection of energy intakes. Am J Clin Nutr. 2008 Aug 1;88(2):324–32. </w:t>
      </w:r>
    </w:p>
    <w:p w14:paraId="712AE24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16.</w:t>
      </w:r>
      <w:r w:rsidRPr="00703E87">
        <w:rPr>
          <w:rFonts w:ascii="Times New Roman" w:hAnsi="Times New Roman" w:cs="Times New Roman"/>
        </w:rPr>
        <w:tab/>
        <w:t xml:space="preserve">Jovanovic CES, Hoelscher DM, Chen B, Ranjit N, van den Berg AE. The associations of plant-based food and metabolic syndrome using NHANES 2015–16 data. J Public Health. 2022 Jan 11;fdab403. </w:t>
      </w:r>
    </w:p>
    <w:p w14:paraId="1537BA5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17.</w:t>
      </w:r>
      <w:r w:rsidRPr="00703E87">
        <w:rPr>
          <w:rFonts w:ascii="Times New Roman" w:hAnsi="Times New Roman" w:cs="Times New Roman"/>
        </w:rPr>
        <w:tab/>
        <w:t xml:space="preserve">Moore C, Murphy MM, Keast DR, Holick MF. Vitamin D intake in the United States. J Am Diet Assoc. 2004 Jun;104(6):980–3. </w:t>
      </w:r>
    </w:p>
    <w:p w14:paraId="15F3D7CC"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18.</w:t>
      </w:r>
      <w:r w:rsidRPr="00703E87">
        <w:rPr>
          <w:rFonts w:ascii="Times New Roman" w:hAnsi="Times New Roman" w:cs="Times New Roman"/>
        </w:rPr>
        <w:tab/>
        <w:t xml:space="preserve">Lee JS, Frongillo EA. Nutritional and Health Consequences Are Associated with Food Insecurity among U.S. Elderly Persons. J Nutr. 2001 May 1;131(5):1503–9. </w:t>
      </w:r>
    </w:p>
    <w:p w14:paraId="46AA783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19.</w:t>
      </w:r>
      <w:r w:rsidRPr="00703E87">
        <w:rPr>
          <w:rFonts w:ascii="Times New Roman" w:hAnsi="Times New Roman" w:cs="Times New Roman"/>
        </w:rPr>
        <w:tab/>
        <w:t xml:space="preserve">Kohn MJ, Bell JF, Grow HMG, Chan G. Food insecurity, food assistance and weight status in US youth: new evidence from </w:t>
      </w:r>
      <w:r w:rsidRPr="00703E87">
        <w:rPr>
          <w:rFonts w:ascii="Times New Roman" w:hAnsi="Times New Roman" w:cs="Times New Roman"/>
        </w:rPr>
        <w:lastRenderedPageBreak/>
        <w:t xml:space="preserve">NHANES 2007-08: Food insecurity, assistance and weight. Pediatr Obes. 2014 Apr;9(2):155–66. </w:t>
      </w:r>
    </w:p>
    <w:p w14:paraId="14D1A36E"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20.</w:t>
      </w:r>
      <w:r w:rsidRPr="00703E87">
        <w:rPr>
          <w:rFonts w:ascii="Times New Roman" w:hAnsi="Times New Roman" w:cs="Times New Roman"/>
        </w:rPr>
        <w:tab/>
        <w:t xml:space="preserve">Krebs-Smith SM, Pannucci TE, Subar AF, Kirkpatrick SI, Lerman JL, Tooze JA, et al. Update of the Healthy Eating Index: HEI-2015. J Acad Nutr Diet. 2018 Sep;118(9):1591–602. </w:t>
      </w:r>
    </w:p>
    <w:p w14:paraId="49776C3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21.</w:t>
      </w:r>
      <w:r w:rsidRPr="00703E87">
        <w:rPr>
          <w:rFonts w:ascii="Times New Roman" w:hAnsi="Times New Roman" w:cs="Times New Roman"/>
        </w:rPr>
        <w:tab/>
        <w:t xml:space="preserve">Folsom T, Nagraj V. hei: Calculate Healthy Eating Index (HEI) Scores. J Open Source Softw. 2017 Oct 4;2(18):417. </w:t>
      </w:r>
    </w:p>
    <w:p w14:paraId="057EFE68"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22.</w:t>
      </w:r>
      <w:r w:rsidRPr="00703E87">
        <w:rPr>
          <w:rFonts w:ascii="Times New Roman" w:hAnsi="Times New Roman" w:cs="Times New Roman"/>
        </w:rPr>
        <w:tab/>
        <w:t>Linkage Methods and Analytical Support for NCHS Linked Mortality Data [Internet]. National Center for Health Statistics; Available from: https://www.cdc.gov/nchs/data-linkage/mortality-methods.htm</w:t>
      </w:r>
    </w:p>
    <w:p w14:paraId="73F2846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23.</w:t>
      </w:r>
      <w:r w:rsidRPr="00703E87">
        <w:rPr>
          <w:rFonts w:ascii="Times New Roman" w:hAnsi="Times New Roman" w:cs="Times New Roman"/>
        </w:rPr>
        <w:tab/>
        <w:t xml:space="preserve">Cain KC, Harlow SD, Little RJ, Nan B, Yosef M, Taffe JR, et al. Bias Due to Left Truncation and Left Censoring in Longitudinal Studies of Developmental and Disease Processes. Am J Epidemiol. 2011 May 1;173(9):1078–84. </w:t>
      </w:r>
    </w:p>
    <w:p w14:paraId="39CDDB6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24.</w:t>
      </w:r>
      <w:r w:rsidRPr="00703E87">
        <w:rPr>
          <w:rFonts w:ascii="Times New Roman" w:hAnsi="Times New Roman" w:cs="Times New Roman"/>
        </w:rPr>
        <w:tab/>
        <w:t xml:space="preserve">Song M, Wu K, Meyerhardt JA, Yilmaz O, Wang M, Ogino S, et al. Low-Carbohydrate Diet Score and Macronutrient Intake in Relation to Survival After Colorectal Cancer Diagnosis. JNCI Cancer Spectr. 2018 Oct 1;2(4):pky077. </w:t>
      </w:r>
    </w:p>
    <w:p w14:paraId="2966C7A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25.</w:t>
      </w:r>
      <w:r w:rsidRPr="00703E87">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Disabil Rehabil. 2006 Jan 1;28(15):929–35. </w:t>
      </w:r>
    </w:p>
    <w:p w14:paraId="67050A5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26.</w:t>
      </w:r>
      <w:r w:rsidRPr="00703E87">
        <w:rPr>
          <w:rFonts w:ascii="Times New Roman" w:hAnsi="Times New Roman" w:cs="Times New Roman"/>
        </w:rPr>
        <w:tab/>
        <w:t xml:space="preserve">Witte JS, Greenland S. A nested approach to evaluating dose-response and trend. Ann Epidemiol. 1997 Apr;7(3):188–93. </w:t>
      </w:r>
    </w:p>
    <w:p w14:paraId="476B3EF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27.</w:t>
      </w:r>
      <w:r w:rsidRPr="00703E87">
        <w:rPr>
          <w:rFonts w:ascii="Times New Roman" w:hAnsi="Times New Roman" w:cs="Times New Roman"/>
        </w:rPr>
        <w:tab/>
        <w:t xml:space="preserve">Willett WC, Howe GR, Kushi LH. Adjustment for total energy intake in epidemiologic studies. Am J Clin Nutr. 1997 Apr 1;65(4):1220S-1228S. </w:t>
      </w:r>
    </w:p>
    <w:p w14:paraId="785B77D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28.</w:t>
      </w:r>
      <w:r w:rsidRPr="00703E87">
        <w:rPr>
          <w:rFonts w:ascii="Times New Roman" w:hAnsi="Times New Roman" w:cs="Times New Roman"/>
        </w:rPr>
        <w:tab/>
        <w:t xml:space="preserve">Banerjee S, Radak T, Khubchandani J, Dunn P. Food Insecurity and Mortality in American Adults: Results From the NHANES-Linked Mortality Study. Health Promot Pract. 2021 Mar 1;22(2):204–14. </w:t>
      </w:r>
    </w:p>
    <w:p w14:paraId="6812A6A9"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29.</w:t>
      </w:r>
      <w:r w:rsidRPr="00703E87">
        <w:rPr>
          <w:rFonts w:ascii="Times New Roman" w:hAnsi="Times New Roman" w:cs="Times New Roman"/>
        </w:rPr>
        <w:tab/>
        <w:t xml:space="preserve">Gany F, Lee T, Ramirez J, Massie D, Moran A, Crist M, et al. Do Our Patients Have Enough to Eat?: Food Insecurity among Urban Low-income Cancer Patients. J Health Care Poor Underserved. 2014;25(3):1153–68. </w:t>
      </w:r>
    </w:p>
    <w:p w14:paraId="2E909CF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30.</w:t>
      </w:r>
      <w:r w:rsidRPr="00703E87">
        <w:rPr>
          <w:rFonts w:ascii="Times New Roman" w:hAnsi="Times New Roman" w:cs="Times New Roman"/>
        </w:rPr>
        <w:tab/>
        <w:t xml:space="preserve">Robien K, Clausen M, Sullo E, Ford YR, Griffith KA, Le D, et al. Prevalence of Food Insecurity Among Cancer Survivors in the United States: A Scoping Review. J Acad Nutr Diet. 2023 Feb 1;123(2):330–46. </w:t>
      </w:r>
    </w:p>
    <w:p w14:paraId="7CE2044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31.</w:t>
      </w:r>
      <w:r w:rsidRPr="00703E87">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J Gen Intern Med. 2007 Jul;22(7):1018–23. </w:t>
      </w:r>
    </w:p>
    <w:p w14:paraId="05CABDC9"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lastRenderedPageBreak/>
        <w:t>32.</w:t>
      </w:r>
      <w:r w:rsidRPr="00703E87">
        <w:rPr>
          <w:rFonts w:ascii="Times New Roman" w:hAnsi="Times New Roman" w:cs="Times New Roman"/>
        </w:rPr>
        <w:tab/>
        <w:t xml:space="preserve">Heflin CM, Ziliak JP. Food Insufficiency, Food Stamp Participation, and Mental Health*. Soc Sci Q. 2008;89(3):706–27. </w:t>
      </w:r>
    </w:p>
    <w:p w14:paraId="4DDF7F1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33.</w:t>
      </w:r>
      <w:r w:rsidRPr="00703E87">
        <w:rPr>
          <w:rFonts w:ascii="Times New Roman" w:hAnsi="Times New Roman" w:cs="Times New Roman"/>
        </w:rPr>
        <w:tab/>
        <w:t xml:space="preserve">Stuff JE, Casey PH, Szeto KL, Gossett JM, Robbins JM, Simpson PM, et al. Household Food Insecurity Is Associated with Adult Health Status. J Nutr. 2004 Sep 1;134(9):2330–5. </w:t>
      </w:r>
    </w:p>
    <w:p w14:paraId="121B829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34.</w:t>
      </w:r>
      <w:r w:rsidRPr="00703E87">
        <w:rPr>
          <w:rFonts w:ascii="Times New Roman" w:hAnsi="Times New Roman" w:cs="Times New Roman"/>
        </w:rPr>
        <w:tab/>
        <w:t>Sun Y, Liu B, Rong S, Du Y, Xu G, Snetselaar LG, et al. Food Insecurity Is Associated With Cardiovascular and All‐Cause Mortality Among Adults in the United States. J Am Heart Assoc [Internet]. 2020 Oct 6 [cited 2021 Jul 29];9(19). Available from: https://www.ahajournals.org/doi/10.1161/JAHA.119.014629</w:t>
      </w:r>
    </w:p>
    <w:p w14:paraId="446E215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35.</w:t>
      </w:r>
      <w:r w:rsidRPr="00703E87">
        <w:rPr>
          <w:rFonts w:ascii="Times New Roman" w:hAnsi="Times New Roman" w:cs="Times New Roman"/>
        </w:rPr>
        <w:tab/>
        <w:t xml:space="preserve">Vozoris NT, Tarasuk VS. Household Food Insufficiency Is Associated with Poorer Health. J Nutr. 2003 Jan 1;133(1):120–6. </w:t>
      </w:r>
    </w:p>
    <w:p w14:paraId="5001E6D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36.</w:t>
      </w:r>
      <w:r w:rsidRPr="00703E87">
        <w:rPr>
          <w:rFonts w:ascii="Times New Roman" w:hAnsi="Times New Roman" w:cs="Times New Roman"/>
        </w:rPr>
        <w:tab/>
        <w:t xml:space="preserve">Zhao H, Andreyeva T. Diet Quality and Health in Older Americans. Nutrients. 2022 Jan;14(6):1198. </w:t>
      </w:r>
    </w:p>
    <w:p w14:paraId="74009C17"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37.</w:t>
      </w:r>
      <w:r w:rsidRPr="00703E87">
        <w:rPr>
          <w:rFonts w:ascii="Times New Roman" w:hAnsi="Times New Roman" w:cs="Times New Roman"/>
        </w:rPr>
        <w:tab/>
        <w:t xml:space="preserve">George SM, Neuhouser ML, Mayne ST, Irwin ML, Albanes D, Gail MH, et al. Postdiagnosis Diet Quality Is Inversely Related to a Biomarker of Inflammation among Breast Cancer Survivors. Cancer Epidemiol Biomarkers Prev. 2010 Sep 8;19(9):2220–8. </w:t>
      </w:r>
    </w:p>
    <w:p w14:paraId="5671191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38.</w:t>
      </w:r>
      <w:r w:rsidRPr="00703E87">
        <w:rPr>
          <w:rFonts w:ascii="Times New Roman" w:hAnsi="Times New Roman" w:cs="Times New Roman"/>
        </w:rPr>
        <w:tab/>
        <w:t xml:space="preserve">Guillermo C, Boushey CJ, Franke AA, Monroe KR, Lim U, Wilkens LR, et al. Diet Quality and Biomarker Profiles Related to Chronic Disease Prevention: The Multiethnic Cohort Study. J Am Coll Nutr. 2020;39(3):216–23. </w:t>
      </w:r>
    </w:p>
    <w:p w14:paraId="4BDC4F3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39.</w:t>
      </w:r>
      <w:r w:rsidRPr="00703E87">
        <w:rPr>
          <w:rFonts w:ascii="Times New Roman" w:hAnsi="Times New Roman" w:cs="Times New Roman"/>
        </w:rPr>
        <w:tab/>
        <w:t xml:space="preserve">Arthur AE, Peterson KE, Shen J, Djuric Z, Taylor JMG, Hebert JR, et al. Diet and proinflammatory cytokine levels in head and neck squamous cell carcinoma. Cancer. 2014 Sep 1;120(17):2704–12. </w:t>
      </w:r>
    </w:p>
    <w:p w14:paraId="5DD7ABD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40.</w:t>
      </w:r>
      <w:r w:rsidRPr="00703E87">
        <w:rPr>
          <w:rFonts w:ascii="Times New Roman" w:hAnsi="Times New Roman" w:cs="Times New Roman"/>
        </w:rPr>
        <w:tab/>
        <w:t xml:space="preserve">Brenner DR, Scherer D, Muir K, Schildkraut J, Boffetta P, Spitz MR, et al. A Review of the Application of Inflammatory Biomarkers in Epidemiologic Cancer Research. Cancer Epidemiol Biomarkers Prev. 2014 Sep 1;23(9):1729–51. </w:t>
      </w:r>
    </w:p>
    <w:p w14:paraId="35E9816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41.</w:t>
      </w:r>
      <w:r w:rsidRPr="00703E87">
        <w:rPr>
          <w:rFonts w:ascii="Times New Roman" w:hAnsi="Times New Roman" w:cs="Times New Roman"/>
        </w:rPr>
        <w:tab/>
        <w:t>Cheng E, Shi Q, Shields AF, Nixon AB, Shergill AP, Ma C, et al. Association of Inflammatory Biomarkers With Survival Among Patients With Stage III Colon Cancer. JAMA Oncol [Internet]. 2023 Jan 26 [cited 2023 Mar 14]; Available from: https://doi.org/10.1001/jamaoncol.2022.6911</w:t>
      </w:r>
    </w:p>
    <w:p w14:paraId="5A1500E9"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42.</w:t>
      </w:r>
      <w:r w:rsidRPr="00703E87">
        <w:rPr>
          <w:rFonts w:ascii="Times New Roman" w:hAnsi="Times New Roman" w:cs="Times New Roman"/>
        </w:rPr>
        <w:tab/>
        <w:t xml:space="preserve">Domenici L, Tonacci A, Aretini P, Garibaldi S, Perutelli A, Bottone P, et al. Inflammatory Biomarkers as Promising Predictors of Prognosis in Cervical Cancer Patients. Oncology. 2021;99(9):571–9. </w:t>
      </w:r>
    </w:p>
    <w:p w14:paraId="72D0DDF5"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43.</w:t>
      </w:r>
      <w:r w:rsidRPr="00703E87">
        <w:rPr>
          <w:rFonts w:ascii="Times New Roman" w:hAnsi="Times New Roman" w:cs="Times New Roman"/>
        </w:rPr>
        <w:tab/>
        <w:t>Distress Thermometer Tool Translations [Internet]. Available from: https://www.nccn.org/global/what-we-do/distress-thermometer-tool-translations</w:t>
      </w:r>
    </w:p>
    <w:p w14:paraId="51DFEEBF"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44.</w:t>
      </w:r>
      <w:r w:rsidRPr="00703E87">
        <w:rPr>
          <w:rFonts w:ascii="Times New Roman" w:hAnsi="Times New Roman" w:cs="Times New Roman"/>
        </w:rPr>
        <w:tab/>
        <w:t xml:space="preserve">Burton-Obanla AA, Sloane S, Koester B, Gundersen C, Fiese BH, Arthur AE. Oncology Registered Dietitian Nutritionists’ Knowledge, Attitudes, and Practices Related to Food Insecurity </w:t>
      </w:r>
      <w:r w:rsidRPr="00703E87">
        <w:rPr>
          <w:rFonts w:ascii="Times New Roman" w:hAnsi="Times New Roman" w:cs="Times New Roman"/>
        </w:rPr>
        <w:lastRenderedPageBreak/>
        <w:t xml:space="preserve">among Cancer Survivors: A Qualitative Study. J Acad Nutr Diet. 2022 Dec 1;122(12):2267–87. </w:t>
      </w:r>
    </w:p>
    <w:p w14:paraId="16D7013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45.</w:t>
      </w:r>
      <w:r w:rsidRPr="00703E87">
        <w:rPr>
          <w:rFonts w:ascii="Times New Roman" w:hAnsi="Times New Roman" w:cs="Times New Roman"/>
        </w:rPr>
        <w:tab/>
        <w:t xml:space="preserve">Seligman HK, Berkowitz SA. Aligning Programs and Policies to Support Food Security and Public Health Goals in the United States. Annu Rev Public Health. 2019 Apr 1;40:319–37. </w:t>
      </w:r>
    </w:p>
    <w:p w14:paraId="515636B4"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46.</w:t>
      </w:r>
      <w:r w:rsidRPr="00703E87">
        <w:rPr>
          <w:rFonts w:ascii="Times New Roman" w:hAnsi="Times New Roman" w:cs="Times New Roman"/>
        </w:rPr>
        <w:tab/>
        <w:t xml:space="preserve">Gany F, Lee T, Loeb R, Ramirez J, Moran A, Crist M, et al. Use of Hospital-Based Food Pantries Among Low-Income Urban Cancer Patients. J Community Health. 2015 Dec 1;40(6):1193–200. </w:t>
      </w:r>
    </w:p>
    <w:p w14:paraId="737D792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47.</w:t>
      </w:r>
      <w:r w:rsidRPr="00703E87">
        <w:rPr>
          <w:rFonts w:ascii="Times New Roman" w:hAnsi="Times New Roman" w:cs="Times New Roman"/>
        </w:rPr>
        <w:tab/>
        <w:t xml:space="preserve">Gany F, Melnic I, Wu M, Li Y, Finik J, Ramirez J, et al. Food to Overcome Outcomes Disparities: A Randomized Controlled Trial of Food Insecurity Interventions to Improve Cancer Outcomes. J Clin Oncol. 2022 Nov 1;40(31):3603–12. </w:t>
      </w:r>
    </w:p>
    <w:p w14:paraId="2F9E6866"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48.</w:t>
      </w:r>
      <w:r w:rsidRPr="00703E87">
        <w:rPr>
          <w:rFonts w:ascii="Times New Roman" w:hAnsi="Times New Roman" w:cs="Times New Roman"/>
        </w:rPr>
        <w:tab/>
        <w:t xml:space="preserve">Berkowitz SA, Seligman HK, Choudhry NK. Treat or eat: food insecurity, cost-related medication underuse, and unmet needs. Am J Med. 2014 Apr;127(4):303-310.e3. </w:t>
      </w:r>
    </w:p>
    <w:p w14:paraId="6B17DB9B"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49.</w:t>
      </w:r>
      <w:r w:rsidRPr="00703E87">
        <w:rPr>
          <w:rFonts w:ascii="Times New Roman" w:hAnsi="Times New Roman" w:cs="Times New Roman"/>
        </w:rPr>
        <w:tab/>
        <w:t xml:space="preserve">Moellman N. Healthcare and Hunger: Effects of the ACA Medicaid Expansions on Food Insecurity in America. Appl Econ Perspect Policy. 2020;42(2):168–86. </w:t>
      </w:r>
    </w:p>
    <w:p w14:paraId="0D50BF40" w14:textId="77777777" w:rsidR="00CA04BD" w:rsidRPr="00703E87" w:rsidRDefault="00CA04BD" w:rsidP="00CA04BD">
      <w:pPr>
        <w:pStyle w:val="Bibliography"/>
        <w:rPr>
          <w:rFonts w:ascii="Times New Roman" w:hAnsi="Times New Roman" w:cs="Times New Roman"/>
        </w:rPr>
      </w:pPr>
      <w:r w:rsidRPr="00703E87">
        <w:rPr>
          <w:rFonts w:ascii="Times New Roman" w:hAnsi="Times New Roman" w:cs="Times New Roman"/>
        </w:rPr>
        <w:t>50.</w:t>
      </w:r>
      <w:r w:rsidRPr="00703E87">
        <w:rPr>
          <w:rFonts w:ascii="Times New Roman" w:hAnsi="Times New Roman" w:cs="Times New Roman"/>
        </w:rPr>
        <w:tab/>
        <w:t>U.S. Household Food Insecurity Survey Module: Three-Stage Design, With Screeners [Internet]. Economic Research Service, USDA; Available from: https://www.ers.usda.gov/media/8271/hh2012.pdf</w:t>
      </w:r>
    </w:p>
    <w:p w14:paraId="25B31122" w14:textId="6DC5AA20" w:rsidR="00CA04BD" w:rsidRPr="00C90B6F" w:rsidRDefault="00CA04BD" w:rsidP="00CA04BD">
      <w:pPr>
        <w:spacing w:line="360" w:lineRule="auto"/>
        <w:ind w:firstLine="720"/>
        <w:rPr>
          <w:rFonts w:ascii="Times New Roman" w:hAnsi="Times New Roman" w:cs="Times New Roman"/>
        </w:rPr>
        <w:sectPr w:rsidR="00CA04BD" w:rsidRPr="00C90B6F" w:rsidSect="00811C65">
          <w:pgSz w:w="12240" w:h="15840"/>
          <w:pgMar w:top="1440" w:right="2880" w:bottom="1440" w:left="2880" w:header="720" w:footer="720" w:gutter="0"/>
          <w:lnNumType w:countBy="1" w:restart="continuous"/>
          <w:cols w:space="720"/>
          <w:docGrid w:linePitch="360"/>
        </w:sectPr>
      </w:pPr>
      <w:r w:rsidRPr="00C90B6F">
        <w:rPr>
          <w:rFonts w:ascii="Times New Roman" w:hAnsi="Times New Roman" w:cs="Times New Roman"/>
        </w:rPr>
        <w:fldChar w:fldCharType="end"/>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CA04BD" w:rsidRPr="00C90B6F" w14:paraId="724040B8" w14:textId="77777777" w:rsidTr="00B128F8">
        <w:trPr>
          <w:trHeight w:val="320"/>
        </w:trPr>
        <w:tc>
          <w:tcPr>
            <w:tcW w:w="10069" w:type="dxa"/>
            <w:gridSpan w:val="5"/>
            <w:noWrap/>
            <w:vAlign w:val="center"/>
          </w:tcPr>
          <w:p w14:paraId="4D0FCD35" w14:textId="77777777" w:rsidR="00CA04BD" w:rsidRPr="00C90B6F" w:rsidRDefault="00CA04BD" w:rsidP="00B128F8">
            <w:pPr>
              <w:rPr>
                <w:rFonts w:ascii="Times New Roman" w:hAnsi="Times New Roman" w:cs="Times New Roman"/>
              </w:rPr>
            </w:pPr>
            <w:r w:rsidRPr="00C90B6F">
              <w:rPr>
                <w:rFonts w:ascii="Times New Roman" w:hAnsi="Times New Roman" w:cs="Times New Roman"/>
                <w:b/>
                <w:bCs/>
              </w:rPr>
              <w:lastRenderedPageBreak/>
              <w:t>Table 1</w:t>
            </w:r>
            <w:r w:rsidRPr="00C90B6F">
              <w:rPr>
                <w:rFonts w:ascii="Times New Roman" w:hAnsi="Times New Roman" w:cs="Times New Roman"/>
              </w:rPr>
              <w:t>. Epidemiologic characteristics of the study sample.</w:t>
            </w:r>
          </w:p>
        </w:tc>
      </w:tr>
      <w:tr w:rsidR="00CA04BD" w:rsidRPr="00C90B6F" w14:paraId="6FE31EE0" w14:textId="77777777" w:rsidTr="00B128F8">
        <w:trPr>
          <w:trHeight w:val="320"/>
        </w:trPr>
        <w:tc>
          <w:tcPr>
            <w:tcW w:w="2616" w:type="dxa"/>
            <w:noWrap/>
            <w:vAlign w:val="center"/>
            <w:hideMark/>
          </w:tcPr>
          <w:p w14:paraId="25FFC436" w14:textId="77777777" w:rsidR="00CA04BD" w:rsidRPr="00C90B6F" w:rsidRDefault="00CA04BD" w:rsidP="00B128F8">
            <w:pPr>
              <w:rPr>
                <w:rFonts w:ascii="Times New Roman" w:hAnsi="Times New Roman" w:cs="Times New Roman"/>
                <w:b/>
                <w:bCs/>
              </w:rPr>
            </w:pPr>
            <w:r w:rsidRPr="00C90B6F">
              <w:rPr>
                <w:rFonts w:ascii="Times New Roman" w:hAnsi="Times New Roman" w:cs="Times New Roman"/>
                <w:b/>
                <w:bCs/>
              </w:rPr>
              <w:t>Characteristic</w:t>
            </w:r>
          </w:p>
        </w:tc>
        <w:tc>
          <w:tcPr>
            <w:tcW w:w="2284" w:type="dxa"/>
            <w:noWrap/>
            <w:vAlign w:val="center"/>
            <w:hideMark/>
          </w:tcPr>
          <w:p w14:paraId="60171EB6" w14:textId="77777777" w:rsidR="00CA04BD" w:rsidRPr="00C90B6F" w:rsidRDefault="00CA04BD" w:rsidP="00B128F8">
            <w:pPr>
              <w:jc w:val="center"/>
              <w:rPr>
                <w:rFonts w:ascii="Times New Roman" w:hAnsi="Times New Roman" w:cs="Times New Roman"/>
                <w:b/>
                <w:bCs/>
              </w:rPr>
            </w:pPr>
            <w:r w:rsidRPr="00C90B6F">
              <w:rPr>
                <w:rFonts w:ascii="Times New Roman" w:hAnsi="Times New Roman" w:cs="Times New Roman"/>
                <w:b/>
                <w:bCs/>
              </w:rPr>
              <w:t xml:space="preserve">Combined Sample       </w:t>
            </w:r>
            <w:r w:rsidRPr="00C90B6F">
              <w:rPr>
                <w:rFonts w:ascii="Times New Roman" w:hAnsi="Times New Roman" w:cs="Times New Roman"/>
              </w:rPr>
              <w:t>(</w:t>
            </w:r>
            <w:r w:rsidRPr="00C90B6F">
              <w:rPr>
                <w:rFonts w:ascii="Times New Roman" w:hAnsi="Times New Roman" w:cs="Times New Roman"/>
                <w:i/>
                <w:iCs/>
              </w:rPr>
              <w:t>n</w:t>
            </w:r>
            <w:r w:rsidRPr="00C90B6F">
              <w:rPr>
                <w:rFonts w:ascii="Times New Roman" w:hAnsi="Times New Roman" w:cs="Times New Roman"/>
              </w:rPr>
              <w:t xml:space="preserve"> = 2493)</w:t>
            </w:r>
          </w:p>
        </w:tc>
        <w:tc>
          <w:tcPr>
            <w:tcW w:w="1899" w:type="dxa"/>
            <w:noWrap/>
            <w:vAlign w:val="center"/>
            <w:hideMark/>
          </w:tcPr>
          <w:p w14:paraId="720216D0" w14:textId="77777777" w:rsidR="00CA04BD" w:rsidRPr="00C90B6F" w:rsidRDefault="00CA04BD" w:rsidP="00B128F8">
            <w:pPr>
              <w:jc w:val="center"/>
              <w:rPr>
                <w:rFonts w:ascii="Times New Roman" w:hAnsi="Times New Roman" w:cs="Times New Roman"/>
                <w:b/>
                <w:bCs/>
              </w:rPr>
            </w:pPr>
            <w:r w:rsidRPr="00C90B6F">
              <w:rPr>
                <w:rFonts w:ascii="Times New Roman" w:hAnsi="Times New Roman" w:cs="Times New Roman"/>
                <w:b/>
                <w:bCs/>
              </w:rPr>
              <w:t xml:space="preserve">Food-insecure       </w:t>
            </w:r>
            <w:r w:rsidRPr="00C90B6F">
              <w:rPr>
                <w:rFonts w:ascii="Times New Roman" w:hAnsi="Times New Roman" w:cs="Times New Roman"/>
              </w:rPr>
              <w:t>(</w:t>
            </w:r>
            <w:r w:rsidRPr="00C90B6F">
              <w:rPr>
                <w:rFonts w:ascii="Times New Roman" w:hAnsi="Times New Roman" w:cs="Times New Roman"/>
                <w:i/>
                <w:iCs/>
              </w:rPr>
              <w:t>n</w:t>
            </w:r>
            <w:r w:rsidRPr="00C90B6F">
              <w:rPr>
                <w:rFonts w:ascii="Times New Roman" w:hAnsi="Times New Roman" w:cs="Times New Roman"/>
              </w:rPr>
              <w:t xml:space="preserve"> = 317)</w:t>
            </w:r>
          </w:p>
        </w:tc>
        <w:tc>
          <w:tcPr>
            <w:tcW w:w="1871" w:type="dxa"/>
            <w:noWrap/>
            <w:vAlign w:val="center"/>
            <w:hideMark/>
          </w:tcPr>
          <w:p w14:paraId="55321C94" w14:textId="77777777" w:rsidR="00CA04BD" w:rsidRPr="00C90B6F" w:rsidRDefault="00CA04BD" w:rsidP="00B128F8">
            <w:pPr>
              <w:jc w:val="center"/>
              <w:rPr>
                <w:rFonts w:ascii="Times New Roman" w:hAnsi="Times New Roman" w:cs="Times New Roman"/>
                <w:b/>
                <w:bCs/>
              </w:rPr>
            </w:pPr>
            <w:r w:rsidRPr="00C90B6F">
              <w:rPr>
                <w:rFonts w:ascii="Times New Roman" w:hAnsi="Times New Roman" w:cs="Times New Roman"/>
                <w:b/>
                <w:bCs/>
              </w:rPr>
              <w:t xml:space="preserve">Food-secure         </w:t>
            </w:r>
            <w:r w:rsidRPr="00C90B6F">
              <w:rPr>
                <w:rFonts w:ascii="Times New Roman" w:hAnsi="Times New Roman" w:cs="Times New Roman"/>
              </w:rPr>
              <w:t>(</w:t>
            </w:r>
            <w:r w:rsidRPr="00C90B6F">
              <w:rPr>
                <w:rFonts w:ascii="Times New Roman" w:hAnsi="Times New Roman" w:cs="Times New Roman"/>
                <w:i/>
                <w:iCs/>
              </w:rPr>
              <w:t>n</w:t>
            </w:r>
            <w:r w:rsidRPr="00C90B6F">
              <w:rPr>
                <w:rFonts w:ascii="Times New Roman" w:hAnsi="Times New Roman" w:cs="Times New Roman"/>
              </w:rPr>
              <w:t xml:space="preserve"> = 2176)</w:t>
            </w:r>
          </w:p>
        </w:tc>
        <w:tc>
          <w:tcPr>
            <w:tcW w:w="1399" w:type="dxa"/>
            <w:noWrap/>
            <w:vAlign w:val="center"/>
            <w:hideMark/>
          </w:tcPr>
          <w:p w14:paraId="7E7F2CB5" w14:textId="77777777" w:rsidR="00CA04BD" w:rsidRPr="00C90B6F" w:rsidRDefault="00CA04BD" w:rsidP="00B128F8">
            <w:pPr>
              <w:jc w:val="center"/>
              <w:rPr>
                <w:rFonts w:ascii="Times New Roman" w:hAnsi="Times New Roman" w:cs="Times New Roman"/>
                <w:b/>
                <w:bCs/>
                <w:i/>
                <w:iCs/>
              </w:rPr>
            </w:pPr>
            <w:r w:rsidRPr="00C90B6F">
              <w:rPr>
                <w:rFonts w:ascii="Times New Roman" w:hAnsi="Times New Roman" w:cs="Times New Roman"/>
                <w:b/>
                <w:bCs/>
                <w:i/>
                <w:iCs/>
              </w:rPr>
              <w:t>p</w:t>
            </w:r>
          </w:p>
        </w:tc>
      </w:tr>
      <w:tr w:rsidR="00CA04BD" w:rsidRPr="00C90B6F" w14:paraId="3CE3C695" w14:textId="77777777" w:rsidTr="00B128F8">
        <w:trPr>
          <w:trHeight w:val="320"/>
        </w:trPr>
        <w:tc>
          <w:tcPr>
            <w:tcW w:w="2616" w:type="dxa"/>
            <w:noWrap/>
            <w:vAlign w:val="center"/>
            <w:hideMark/>
          </w:tcPr>
          <w:p w14:paraId="772472C7"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Age</w:t>
            </w:r>
          </w:p>
        </w:tc>
        <w:tc>
          <w:tcPr>
            <w:tcW w:w="2284" w:type="dxa"/>
            <w:noWrap/>
            <w:vAlign w:val="center"/>
            <w:hideMark/>
          </w:tcPr>
          <w:p w14:paraId="4C5442CA"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62.03 (14.85)</w:t>
            </w:r>
          </w:p>
        </w:tc>
        <w:tc>
          <w:tcPr>
            <w:tcW w:w="1899" w:type="dxa"/>
            <w:noWrap/>
            <w:vAlign w:val="center"/>
            <w:hideMark/>
          </w:tcPr>
          <w:p w14:paraId="57931B05"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50.4 (16.46)</w:t>
            </w:r>
          </w:p>
        </w:tc>
        <w:tc>
          <w:tcPr>
            <w:tcW w:w="1871" w:type="dxa"/>
            <w:noWrap/>
            <w:vAlign w:val="center"/>
            <w:hideMark/>
          </w:tcPr>
          <w:p w14:paraId="41806E4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63.32 (14.09)</w:t>
            </w:r>
          </w:p>
        </w:tc>
        <w:tc>
          <w:tcPr>
            <w:tcW w:w="1399" w:type="dxa"/>
            <w:noWrap/>
            <w:vAlign w:val="center"/>
            <w:hideMark/>
          </w:tcPr>
          <w:p w14:paraId="77135D0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55B9A8EB" w14:textId="77777777" w:rsidTr="00B128F8">
        <w:trPr>
          <w:trHeight w:val="320"/>
        </w:trPr>
        <w:tc>
          <w:tcPr>
            <w:tcW w:w="2616" w:type="dxa"/>
            <w:tcBorders>
              <w:bottom w:val="single" w:sz="4" w:space="0" w:color="auto"/>
            </w:tcBorders>
            <w:noWrap/>
            <w:vAlign w:val="center"/>
            <w:hideMark/>
          </w:tcPr>
          <w:p w14:paraId="09460618"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Sex</w:t>
            </w:r>
          </w:p>
        </w:tc>
        <w:tc>
          <w:tcPr>
            <w:tcW w:w="2284" w:type="dxa"/>
            <w:tcBorders>
              <w:bottom w:val="single" w:sz="4" w:space="0" w:color="auto"/>
            </w:tcBorders>
            <w:noWrap/>
            <w:vAlign w:val="center"/>
            <w:hideMark/>
          </w:tcPr>
          <w:p w14:paraId="5E647087"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4E3DD285"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34C20C3D"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135C446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7EA7058C" w14:textId="77777777" w:rsidTr="00B128F8">
        <w:trPr>
          <w:trHeight w:val="320"/>
        </w:trPr>
        <w:tc>
          <w:tcPr>
            <w:tcW w:w="2616" w:type="dxa"/>
            <w:tcBorders>
              <w:bottom w:val="nil"/>
            </w:tcBorders>
            <w:noWrap/>
            <w:vAlign w:val="center"/>
            <w:hideMark/>
          </w:tcPr>
          <w:p w14:paraId="4E92165D"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Male</w:t>
            </w:r>
          </w:p>
        </w:tc>
        <w:tc>
          <w:tcPr>
            <w:tcW w:w="2284" w:type="dxa"/>
            <w:tcBorders>
              <w:bottom w:val="nil"/>
            </w:tcBorders>
            <w:noWrap/>
            <w:vAlign w:val="center"/>
            <w:hideMark/>
          </w:tcPr>
          <w:p w14:paraId="5570C33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1139 (40.9)</w:t>
            </w:r>
          </w:p>
        </w:tc>
        <w:tc>
          <w:tcPr>
            <w:tcW w:w="1899" w:type="dxa"/>
            <w:tcBorders>
              <w:bottom w:val="nil"/>
            </w:tcBorders>
            <w:noWrap/>
            <w:vAlign w:val="center"/>
            <w:hideMark/>
          </w:tcPr>
          <w:p w14:paraId="61FD7E6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99 (25.1)</w:t>
            </w:r>
          </w:p>
        </w:tc>
        <w:tc>
          <w:tcPr>
            <w:tcW w:w="1871" w:type="dxa"/>
            <w:tcBorders>
              <w:bottom w:val="nil"/>
            </w:tcBorders>
            <w:noWrap/>
            <w:vAlign w:val="center"/>
            <w:hideMark/>
          </w:tcPr>
          <w:p w14:paraId="54E801F3"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1040 (42.6)</w:t>
            </w:r>
          </w:p>
        </w:tc>
        <w:tc>
          <w:tcPr>
            <w:tcW w:w="1399" w:type="dxa"/>
            <w:tcBorders>
              <w:bottom w:val="nil"/>
            </w:tcBorders>
            <w:noWrap/>
            <w:vAlign w:val="center"/>
            <w:hideMark/>
          </w:tcPr>
          <w:p w14:paraId="639FA5C3" w14:textId="77777777" w:rsidR="00CA04BD" w:rsidRPr="00C90B6F" w:rsidRDefault="00CA04BD" w:rsidP="00B128F8">
            <w:pPr>
              <w:ind w:firstLine="720"/>
              <w:jc w:val="center"/>
              <w:rPr>
                <w:rFonts w:ascii="Times New Roman" w:hAnsi="Times New Roman" w:cs="Times New Roman"/>
              </w:rPr>
            </w:pPr>
          </w:p>
        </w:tc>
      </w:tr>
      <w:tr w:rsidR="00CA04BD" w:rsidRPr="00C90B6F" w14:paraId="36BA3340" w14:textId="77777777" w:rsidTr="00B128F8">
        <w:trPr>
          <w:trHeight w:val="320"/>
        </w:trPr>
        <w:tc>
          <w:tcPr>
            <w:tcW w:w="2616" w:type="dxa"/>
            <w:tcBorders>
              <w:top w:val="nil"/>
            </w:tcBorders>
            <w:noWrap/>
            <w:vAlign w:val="center"/>
            <w:hideMark/>
          </w:tcPr>
          <w:p w14:paraId="688CD8A6"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Female</w:t>
            </w:r>
          </w:p>
        </w:tc>
        <w:tc>
          <w:tcPr>
            <w:tcW w:w="2284" w:type="dxa"/>
            <w:tcBorders>
              <w:top w:val="nil"/>
            </w:tcBorders>
            <w:noWrap/>
            <w:vAlign w:val="center"/>
            <w:hideMark/>
          </w:tcPr>
          <w:p w14:paraId="7E603DD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1354 (59.1)</w:t>
            </w:r>
          </w:p>
        </w:tc>
        <w:tc>
          <w:tcPr>
            <w:tcW w:w="1899" w:type="dxa"/>
            <w:tcBorders>
              <w:top w:val="nil"/>
            </w:tcBorders>
            <w:noWrap/>
            <w:vAlign w:val="center"/>
            <w:hideMark/>
          </w:tcPr>
          <w:p w14:paraId="4D30F2F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218 (74.9)</w:t>
            </w:r>
          </w:p>
        </w:tc>
        <w:tc>
          <w:tcPr>
            <w:tcW w:w="1871" w:type="dxa"/>
            <w:tcBorders>
              <w:top w:val="nil"/>
            </w:tcBorders>
            <w:noWrap/>
            <w:vAlign w:val="center"/>
            <w:hideMark/>
          </w:tcPr>
          <w:p w14:paraId="69E4C40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1136 (57.4)</w:t>
            </w:r>
          </w:p>
        </w:tc>
        <w:tc>
          <w:tcPr>
            <w:tcW w:w="1399" w:type="dxa"/>
            <w:tcBorders>
              <w:top w:val="nil"/>
            </w:tcBorders>
            <w:noWrap/>
            <w:vAlign w:val="center"/>
            <w:hideMark/>
          </w:tcPr>
          <w:p w14:paraId="0840BDB3" w14:textId="77777777" w:rsidR="00CA04BD" w:rsidRPr="00C90B6F" w:rsidRDefault="00CA04BD" w:rsidP="00B128F8">
            <w:pPr>
              <w:ind w:firstLine="720"/>
              <w:jc w:val="center"/>
              <w:rPr>
                <w:rFonts w:ascii="Times New Roman" w:hAnsi="Times New Roman" w:cs="Times New Roman"/>
              </w:rPr>
            </w:pPr>
          </w:p>
        </w:tc>
      </w:tr>
      <w:tr w:rsidR="00CA04BD" w:rsidRPr="00C90B6F" w14:paraId="4EAD0391" w14:textId="77777777" w:rsidTr="00B128F8">
        <w:trPr>
          <w:trHeight w:val="320"/>
        </w:trPr>
        <w:tc>
          <w:tcPr>
            <w:tcW w:w="2616" w:type="dxa"/>
            <w:tcBorders>
              <w:bottom w:val="single" w:sz="4" w:space="0" w:color="auto"/>
            </w:tcBorders>
            <w:noWrap/>
            <w:vAlign w:val="center"/>
            <w:hideMark/>
          </w:tcPr>
          <w:p w14:paraId="204CF312"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Race/Ethnicity</w:t>
            </w:r>
          </w:p>
        </w:tc>
        <w:tc>
          <w:tcPr>
            <w:tcW w:w="2284" w:type="dxa"/>
            <w:tcBorders>
              <w:bottom w:val="single" w:sz="4" w:space="0" w:color="auto"/>
            </w:tcBorders>
            <w:noWrap/>
            <w:vAlign w:val="center"/>
            <w:hideMark/>
          </w:tcPr>
          <w:p w14:paraId="4315C4B1"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35279B42"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4B7C0E77"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7143BCC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35EA2E53" w14:textId="77777777" w:rsidTr="00B128F8">
        <w:trPr>
          <w:trHeight w:val="320"/>
        </w:trPr>
        <w:tc>
          <w:tcPr>
            <w:tcW w:w="2616" w:type="dxa"/>
            <w:tcBorders>
              <w:bottom w:val="nil"/>
            </w:tcBorders>
            <w:noWrap/>
            <w:vAlign w:val="center"/>
            <w:hideMark/>
          </w:tcPr>
          <w:p w14:paraId="5E6EA837"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Mexican-American</w:t>
            </w:r>
          </w:p>
        </w:tc>
        <w:tc>
          <w:tcPr>
            <w:tcW w:w="2284" w:type="dxa"/>
            <w:tcBorders>
              <w:bottom w:val="nil"/>
            </w:tcBorders>
            <w:noWrap/>
            <w:vAlign w:val="center"/>
            <w:hideMark/>
          </w:tcPr>
          <w:p w14:paraId="56383E5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174 (2.3)</w:t>
            </w:r>
          </w:p>
        </w:tc>
        <w:tc>
          <w:tcPr>
            <w:tcW w:w="1899" w:type="dxa"/>
            <w:tcBorders>
              <w:bottom w:val="nil"/>
            </w:tcBorders>
            <w:noWrap/>
            <w:vAlign w:val="center"/>
            <w:hideMark/>
          </w:tcPr>
          <w:p w14:paraId="46BB7853"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51 (8.0)</w:t>
            </w:r>
          </w:p>
        </w:tc>
        <w:tc>
          <w:tcPr>
            <w:tcW w:w="1871" w:type="dxa"/>
            <w:tcBorders>
              <w:bottom w:val="nil"/>
            </w:tcBorders>
            <w:noWrap/>
            <w:vAlign w:val="center"/>
            <w:hideMark/>
          </w:tcPr>
          <w:p w14:paraId="2103EC42"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123 (1.7)</w:t>
            </w:r>
          </w:p>
        </w:tc>
        <w:tc>
          <w:tcPr>
            <w:tcW w:w="1399" w:type="dxa"/>
            <w:tcBorders>
              <w:bottom w:val="nil"/>
            </w:tcBorders>
            <w:noWrap/>
            <w:vAlign w:val="center"/>
            <w:hideMark/>
          </w:tcPr>
          <w:p w14:paraId="2E8B6D3B" w14:textId="77777777" w:rsidR="00CA04BD" w:rsidRPr="00C90B6F" w:rsidRDefault="00CA04BD" w:rsidP="00B128F8">
            <w:pPr>
              <w:ind w:firstLine="720"/>
              <w:jc w:val="center"/>
              <w:rPr>
                <w:rFonts w:ascii="Times New Roman" w:hAnsi="Times New Roman" w:cs="Times New Roman"/>
              </w:rPr>
            </w:pPr>
          </w:p>
        </w:tc>
      </w:tr>
      <w:tr w:rsidR="00CA04BD" w:rsidRPr="00C90B6F" w14:paraId="552F2F78" w14:textId="77777777" w:rsidTr="00B128F8">
        <w:trPr>
          <w:trHeight w:val="320"/>
        </w:trPr>
        <w:tc>
          <w:tcPr>
            <w:tcW w:w="2616" w:type="dxa"/>
            <w:tcBorders>
              <w:top w:val="nil"/>
              <w:bottom w:val="nil"/>
            </w:tcBorders>
            <w:noWrap/>
            <w:vAlign w:val="center"/>
            <w:hideMark/>
          </w:tcPr>
          <w:p w14:paraId="74000156"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Other Hispanic</w:t>
            </w:r>
          </w:p>
        </w:tc>
        <w:tc>
          <w:tcPr>
            <w:tcW w:w="2284" w:type="dxa"/>
            <w:tcBorders>
              <w:top w:val="nil"/>
              <w:bottom w:val="nil"/>
            </w:tcBorders>
            <w:noWrap/>
            <w:vAlign w:val="center"/>
            <w:hideMark/>
          </w:tcPr>
          <w:p w14:paraId="3F40429E"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133 (2.5)</w:t>
            </w:r>
          </w:p>
        </w:tc>
        <w:tc>
          <w:tcPr>
            <w:tcW w:w="1899" w:type="dxa"/>
            <w:tcBorders>
              <w:top w:val="nil"/>
              <w:bottom w:val="nil"/>
            </w:tcBorders>
            <w:noWrap/>
            <w:vAlign w:val="center"/>
            <w:hideMark/>
          </w:tcPr>
          <w:p w14:paraId="1F48835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40 (7.5)</w:t>
            </w:r>
          </w:p>
        </w:tc>
        <w:tc>
          <w:tcPr>
            <w:tcW w:w="1871" w:type="dxa"/>
            <w:tcBorders>
              <w:top w:val="nil"/>
              <w:bottom w:val="nil"/>
            </w:tcBorders>
            <w:noWrap/>
            <w:vAlign w:val="center"/>
            <w:hideMark/>
          </w:tcPr>
          <w:p w14:paraId="3BE34F3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93 (1.9)</w:t>
            </w:r>
          </w:p>
        </w:tc>
        <w:tc>
          <w:tcPr>
            <w:tcW w:w="1399" w:type="dxa"/>
            <w:tcBorders>
              <w:top w:val="nil"/>
              <w:bottom w:val="nil"/>
            </w:tcBorders>
            <w:noWrap/>
            <w:vAlign w:val="center"/>
            <w:hideMark/>
          </w:tcPr>
          <w:p w14:paraId="1A62A3B6" w14:textId="77777777" w:rsidR="00CA04BD" w:rsidRPr="00C90B6F" w:rsidRDefault="00CA04BD" w:rsidP="00B128F8">
            <w:pPr>
              <w:ind w:firstLine="720"/>
              <w:jc w:val="center"/>
              <w:rPr>
                <w:rFonts w:ascii="Times New Roman" w:hAnsi="Times New Roman" w:cs="Times New Roman"/>
              </w:rPr>
            </w:pPr>
          </w:p>
        </w:tc>
      </w:tr>
      <w:tr w:rsidR="00CA04BD" w:rsidRPr="00C90B6F" w14:paraId="7DAB04C5" w14:textId="77777777" w:rsidTr="00B128F8">
        <w:trPr>
          <w:trHeight w:val="320"/>
        </w:trPr>
        <w:tc>
          <w:tcPr>
            <w:tcW w:w="2616" w:type="dxa"/>
            <w:tcBorders>
              <w:top w:val="nil"/>
              <w:bottom w:val="nil"/>
            </w:tcBorders>
            <w:noWrap/>
            <w:vAlign w:val="center"/>
            <w:hideMark/>
          </w:tcPr>
          <w:p w14:paraId="0E3CEAD5"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Non-Hispanic White</w:t>
            </w:r>
          </w:p>
        </w:tc>
        <w:tc>
          <w:tcPr>
            <w:tcW w:w="2284" w:type="dxa"/>
            <w:tcBorders>
              <w:top w:val="nil"/>
              <w:bottom w:val="nil"/>
            </w:tcBorders>
            <w:noWrap/>
            <w:vAlign w:val="center"/>
            <w:hideMark/>
          </w:tcPr>
          <w:p w14:paraId="5209B7D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1730 (86.5)</w:t>
            </w:r>
          </w:p>
        </w:tc>
        <w:tc>
          <w:tcPr>
            <w:tcW w:w="1899" w:type="dxa"/>
            <w:tcBorders>
              <w:top w:val="nil"/>
              <w:bottom w:val="nil"/>
            </w:tcBorders>
            <w:noWrap/>
            <w:vAlign w:val="center"/>
            <w:hideMark/>
          </w:tcPr>
          <w:p w14:paraId="59DF3B8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156 (70.6)</w:t>
            </w:r>
          </w:p>
        </w:tc>
        <w:tc>
          <w:tcPr>
            <w:tcW w:w="1871" w:type="dxa"/>
            <w:tcBorders>
              <w:top w:val="nil"/>
              <w:bottom w:val="nil"/>
            </w:tcBorders>
            <w:noWrap/>
            <w:vAlign w:val="center"/>
            <w:hideMark/>
          </w:tcPr>
          <w:p w14:paraId="63FB844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1574 (88.3)</w:t>
            </w:r>
          </w:p>
        </w:tc>
        <w:tc>
          <w:tcPr>
            <w:tcW w:w="1399" w:type="dxa"/>
            <w:tcBorders>
              <w:top w:val="nil"/>
              <w:bottom w:val="nil"/>
            </w:tcBorders>
            <w:noWrap/>
            <w:vAlign w:val="center"/>
            <w:hideMark/>
          </w:tcPr>
          <w:p w14:paraId="430DA620" w14:textId="77777777" w:rsidR="00CA04BD" w:rsidRPr="00C90B6F" w:rsidRDefault="00CA04BD" w:rsidP="00B128F8">
            <w:pPr>
              <w:ind w:firstLine="720"/>
              <w:jc w:val="center"/>
              <w:rPr>
                <w:rFonts w:ascii="Times New Roman" w:hAnsi="Times New Roman" w:cs="Times New Roman"/>
              </w:rPr>
            </w:pPr>
          </w:p>
        </w:tc>
      </w:tr>
      <w:tr w:rsidR="00CA04BD" w:rsidRPr="00C90B6F" w14:paraId="3E82B9EA" w14:textId="77777777" w:rsidTr="00B128F8">
        <w:trPr>
          <w:trHeight w:val="320"/>
        </w:trPr>
        <w:tc>
          <w:tcPr>
            <w:tcW w:w="2616" w:type="dxa"/>
            <w:tcBorders>
              <w:top w:val="nil"/>
              <w:bottom w:val="nil"/>
            </w:tcBorders>
            <w:noWrap/>
            <w:vAlign w:val="center"/>
            <w:hideMark/>
          </w:tcPr>
          <w:p w14:paraId="24E2F008"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Non-Hispanic Black</w:t>
            </w:r>
          </w:p>
        </w:tc>
        <w:tc>
          <w:tcPr>
            <w:tcW w:w="2284" w:type="dxa"/>
            <w:tcBorders>
              <w:top w:val="nil"/>
              <w:bottom w:val="nil"/>
            </w:tcBorders>
            <w:noWrap/>
            <w:vAlign w:val="center"/>
            <w:hideMark/>
          </w:tcPr>
          <w:p w14:paraId="311F1D2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376 (6.2)</w:t>
            </w:r>
          </w:p>
        </w:tc>
        <w:tc>
          <w:tcPr>
            <w:tcW w:w="1899" w:type="dxa"/>
            <w:tcBorders>
              <w:top w:val="nil"/>
              <w:bottom w:val="nil"/>
            </w:tcBorders>
            <w:noWrap/>
            <w:vAlign w:val="center"/>
            <w:hideMark/>
          </w:tcPr>
          <w:p w14:paraId="11AD33A3"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56 (9.2)</w:t>
            </w:r>
          </w:p>
        </w:tc>
        <w:tc>
          <w:tcPr>
            <w:tcW w:w="1871" w:type="dxa"/>
            <w:tcBorders>
              <w:top w:val="nil"/>
              <w:bottom w:val="nil"/>
            </w:tcBorders>
            <w:noWrap/>
            <w:vAlign w:val="center"/>
            <w:hideMark/>
          </w:tcPr>
          <w:p w14:paraId="3CA2B3F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320 (5.9)</w:t>
            </w:r>
          </w:p>
        </w:tc>
        <w:tc>
          <w:tcPr>
            <w:tcW w:w="1399" w:type="dxa"/>
            <w:tcBorders>
              <w:top w:val="nil"/>
              <w:bottom w:val="nil"/>
            </w:tcBorders>
            <w:noWrap/>
            <w:vAlign w:val="center"/>
            <w:hideMark/>
          </w:tcPr>
          <w:p w14:paraId="48DF6DC3" w14:textId="77777777" w:rsidR="00CA04BD" w:rsidRPr="00C90B6F" w:rsidRDefault="00CA04BD" w:rsidP="00B128F8">
            <w:pPr>
              <w:ind w:firstLine="720"/>
              <w:jc w:val="center"/>
              <w:rPr>
                <w:rFonts w:ascii="Times New Roman" w:hAnsi="Times New Roman" w:cs="Times New Roman"/>
              </w:rPr>
            </w:pPr>
          </w:p>
        </w:tc>
      </w:tr>
      <w:tr w:rsidR="00CA04BD" w:rsidRPr="00C90B6F" w14:paraId="24DFC996" w14:textId="77777777" w:rsidTr="00B128F8">
        <w:trPr>
          <w:trHeight w:val="320"/>
        </w:trPr>
        <w:tc>
          <w:tcPr>
            <w:tcW w:w="2616" w:type="dxa"/>
            <w:tcBorders>
              <w:top w:val="nil"/>
            </w:tcBorders>
            <w:noWrap/>
            <w:vAlign w:val="center"/>
            <w:hideMark/>
          </w:tcPr>
          <w:p w14:paraId="38232B50" w14:textId="77777777" w:rsidR="00CA04BD" w:rsidRPr="00C90B6F" w:rsidRDefault="00CA04BD" w:rsidP="00B128F8">
            <w:pPr>
              <w:ind w:left="720"/>
              <w:rPr>
                <w:rFonts w:ascii="Times New Roman" w:hAnsi="Times New Roman" w:cs="Times New Roman"/>
              </w:rPr>
            </w:pPr>
            <w:r w:rsidRPr="00C90B6F">
              <w:rPr>
                <w:rFonts w:ascii="Times New Roman" w:hAnsi="Times New Roman" w:cs="Times New Roman"/>
              </w:rPr>
              <w:t>Other/Multiracial</w:t>
            </w:r>
          </w:p>
        </w:tc>
        <w:tc>
          <w:tcPr>
            <w:tcW w:w="2284" w:type="dxa"/>
            <w:tcBorders>
              <w:top w:val="nil"/>
            </w:tcBorders>
            <w:noWrap/>
            <w:vAlign w:val="center"/>
            <w:hideMark/>
          </w:tcPr>
          <w:p w14:paraId="384165B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80 (2.4)</w:t>
            </w:r>
          </w:p>
        </w:tc>
        <w:tc>
          <w:tcPr>
            <w:tcW w:w="1899" w:type="dxa"/>
            <w:tcBorders>
              <w:top w:val="nil"/>
            </w:tcBorders>
            <w:noWrap/>
            <w:vAlign w:val="center"/>
            <w:hideMark/>
          </w:tcPr>
          <w:p w14:paraId="3FE80C8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14 (4.6)</w:t>
            </w:r>
          </w:p>
        </w:tc>
        <w:tc>
          <w:tcPr>
            <w:tcW w:w="1871" w:type="dxa"/>
            <w:tcBorders>
              <w:top w:val="nil"/>
            </w:tcBorders>
            <w:noWrap/>
            <w:vAlign w:val="center"/>
            <w:hideMark/>
          </w:tcPr>
          <w:p w14:paraId="443551D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66 (2.1)</w:t>
            </w:r>
          </w:p>
        </w:tc>
        <w:tc>
          <w:tcPr>
            <w:tcW w:w="1399" w:type="dxa"/>
            <w:tcBorders>
              <w:top w:val="nil"/>
            </w:tcBorders>
            <w:noWrap/>
            <w:vAlign w:val="center"/>
            <w:hideMark/>
          </w:tcPr>
          <w:p w14:paraId="4C925550" w14:textId="77777777" w:rsidR="00CA04BD" w:rsidRPr="00C90B6F" w:rsidRDefault="00CA04BD" w:rsidP="00B128F8">
            <w:pPr>
              <w:ind w:firstLine="720"/>
              <w:jc w:val="center"/>
              <w:rPr>
                <w:rFonts w:ascii="Times New Roman" w:hAnsi="Times New Roman" w:cs="Times New Roman"/>
              </w:rPr>
            </w:pPr>
          </w:p>
        </w:tc>
      </w:tr>
      <w:tr w:rsidR="00CA04BD" w:rsidRPr="00C90B6F" w14:paraId="213BD268" w14:textId="77777777" w:rsidTr="00B128F8">
        <w:trPr>
          <w:trHeight w:val="320"/>
        </w:trPr>
        <w:tc>
          <w:tcPr>
            <w:tcW w:w="2616" w:type="dxa"/>
            <w:tcBorders>
              <w:bottom w:val="single" w:sz="4" w:space="0" w:color="auto"/>
            </w:tcBorders>
            <w:noWrap/>
            <w:vAlign w:val="center"/>
            <w:hideMark/>
          </w:tcPr>
          <w:p w14:paraId="38454C12"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Education Attained</w:t>
            </w:r>
          </w:p>
        </w:tc>
        <w:tc>
          <w:tcPr>
            <w:tcW w:w="2284" w:type="dxa"/>
            <w:tcBorders>
              <w:bottom w:val="single" w:sz="4" w:space="0" w:color="auto"/>
            </w:tcBorders>
            <w:noWrap/>
            <w:vAlign w:val="center"/>
            <w:hideMark/>
          </w:tcPr>
          <w:p w14:paraId="55841A71"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47F73AF7"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729DEE5E"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2FCE87C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2D9EC2CA" w14:textId="77777777" w:rsidTr="00B128F8">
        <w:trPr>
          <w:trHeight w:val="320"/>
        </w:trPr>
        <w:tc>
          <w:tcPr>
            <w:tcW w:w="2616" w:type="dxa"/>
            <w:tcBorders>
              <w:bottom w:val="nil"/>
            </w:tcBorders>
            <w:noWrap/>
            <w:vAlign w:val="center"/>
            <w:hideMark/>
          </w:tcPr>
          <w:p w14:paraId="0F03B5F4"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 High School</w:t>
            </w:r>
          </w:p>
        </w:tc>
        <w:tc>
          <w:tcPr>
            <w:tcW w:w="2284" w:type="dxa"/>
            <w:tcBorders>
              <w:bottom w:val="nil"/>
            </w:tcBorders>
            <w:noWrap/>
            <w:vAlign w:val="center"/>
            <w:hideMark/>
          </w:tcPr>
          <w:p w14:paraId="1C6800C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1197 (36.5)</w:t>
            </w:r>
          </w:p>
        </w:tc>
        <w:tc>
          <w:tcPr>
            <w:tcW w:w="1899" w:type="dxa"/>
            <w:tcBorders>
              <w:bottom w:val="nil"/>
            </w:tcBorders>
            <w:noWrap/>
            <w:vAlign w:val="center"/>
            <w:hideMark/>
          </w:tcPr>
          <w:p w14:paraId="5CF26912"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205 (55.5)</w:t>
            </w:r>
          </w:p>
        </w:tc>
        <w:tc>
          <w:tcPr>
            <w:tcW w:w="1871" w:type="dxa"/>
            <w:tcBorders>
              <w:bottom w:val="nil"/>
            </w:tcBorders>
            <w:noWrap/>
            <w:vAlign w:val="center"/>
            <w:hideMark/>
          </w:tcPr>
          <w:p w14:paraId="5AB5B9C5"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992 (34.4)</w:t>
            </w:r>
          </w:p>
        </w:tc>
        <w:tc>
          <w:tcPr>
            <w:tcW w:w="1399" w:type="dxa"/>
            <w:tcBorders>
              <w:bottom w:val="nil"/>
            </w:tcBorders>
            <w:noWrap/>
            <w:vAlign w:val="center"/>
            <w:hideMark/>
          </w:tcPr>
          <w:p w14:paraId="08A4996E" w14:textId="77777777" w:rsidR="00CA04BD" w:rsidRPr="00C90B6F" w:rsidRDefault="00CA04BD" w:rsidP="00B128F8">
            <w:pPr>
              <w:ind w:firstLine="720"/>
              <w:jc w:val="center"/>
              <w:rPr>
                <w:rFonts w:ascii="Times New Roman" w:hAnsi="Times New Roman" w:cs="Times New Roman"/>
              </w:rPr>
            </w:pPr>
          </w:p>
        </w:tc>
      </w:tr>
      <w:tr w:rsidR="00CA04BD" w:rsidRPr="00C90B6F" w14:paraId="5A56B3C9" w14:textId="77777777" w:rsidTr="00B128F8">
        <w:trPr>
          <w:trHeight w:val="320"/>
        </w:trPr>
        <w:tc>
          <w:tcPr>
            <w:tcW w:w="2616" w:type="dxa"/>
            <w:tcBorders>
              <w:top w:val="nil"/>
            </w:tcBorders>
            <w:noWrap/>
            <w:vAlign w:val="center"/>
            <w:hideMark/>
          </w:tcPr>
          <w:p w14:paraId="3EA39134"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 Some College</w:t>
            </w:r>
          </w:p>
        </w:tc>
        <w:tc>
          <w:tcPr>
            <w:tcW w:w="2284" w:type="dxa"/>
            <w:tcBorders>
              <w:top w:val="nil"/>
            </w:tcBorders>
            <w:noWrap/>
            <w:vAlign w:val="center"/>
            <w:hideMark/>
          </w:tcPr>
          <w:p w14:paraId="24065F3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1296 (63.5)</w:t>
            </w:r>
          </w:p>
        </w:tc>
        <w:tc>
          <w:tcPr>
            <w:tcW w:w="1899" w:type="dxa"/>
            <w:tcBorders>
              <w:top w:val="nil"/>
            </w:tcBorders>
            <w:noWrap/>
            <w:vAlign w:val="center"/>
            <w:hideMark/>
          </w:tcPr>
          <w:p w14:paraId="237FAD5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112 (44.5)</w:t>
            </w:r>
          </w:p>
        </w:tc>
        <w:tc>
          <w:tcPr>
            <w:tcW w:w="1871" w:type="dxa"/>
            <w:tcBorders>
              <w:top w:val="nil"/>
            </w:tcBorders>
            <w:noWrap/>
            <w:vAlign w:val="center"/>
            <w:hideMark/>
          </w:tcPr>
          <w:p w14:paraId="74293C0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1184 (65.6)</w:t>
            </w:r>
          </w:p>
        </w:tc>
        <w:tc>
          <w:tcPr>
            <w:tcW w:w="1399" w:type="dxa"/>
            <w:tcBorders>
              <w:top w:val="nil"/>
            </w:tcBorders>
            <w:noWrap/>
            <w:vAlign w:val="center"/>
            <w:hideMark/>
          </w:tcPr>
          <w:p w14:paraId="6CF050BF" w14:textId="77777777" w:rsidR="00CA04BD" w:rsidRPr="00C90B6F" w:rsidRDefault="00CA04BD" w:rsidP="00B128F8">
            <w:pPr>
              <w:ind w:firstLine="720"/>
              <w:jc w:val="center"/>
              <w:rPr>
                <w:rFonts w:ascii="Times New Roman" w:hAnsi="Times New Roman" w:cs="Times New Roman"/>
              </w:rPr>
            </w:pPr>
          </w:p>
        </w:tc>
      </w:tr>
      <w:tr w:rsidR="00CA04BD" w:rsidRPr="00C90B6F" w14:paraId="2F58298D" w14:textId="77777777" w:rsidTr="00B128F8">
        <w:trPr>
          <w:trHeight w:val="320"/>
        </w:trPr>
        <w:tc>
          <w:tcPr>
            <w:tcW w:w="2616" w:type="dxa"/>
            <w:tcBorders>
              <w:bottom w:val="single" w:sz="4" w:space="0" w:color="auto"/>
            </w:tcBorders>
            <w:noWrap/>
            <w:vAlign w:val="center"/>
            <w:hideMark/>
          </w:tcPr>
          <w:p w14:paraId="4B3BFE5C"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 xml:space="preserve">Family Income to Poverty Ratio </w:t>
            </w:r>
          </w:p>
        </w:tc>
        <w:tc>
          <w:tcPr>
            <w:tcW w:w="2284" w:type="dxa"/>
            <w:tcBorders>
              <w:bottom w:val="single" w:sz="4" w:space="0" w:color="auto"/>
            </w:tcBorders>
            <w:noWrap/>
            <w:vAlign w:val="center"/>
            <w:hideMark/>
          </w:tcPr>
          <w:p w14:paraId="5799EF2E"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477996CB"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1E9AD6D8"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3530E1EE"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60CF07CD" w14:textId="77777777" w:rsidTr="00B128F8">
        <w:trPr>
          <w:trHeight w:val="320"/>
        </w:trPr>
        <w:tc>
          <w:tcPr>
            <w:tcW w:w="2616" w:type="dxa"/>
            <w:tcBorders>
              <w:top w:val="nil"/>
            </w:tcBorders>
            <w:noWrap/>
            <w:vAlign w:val="center"/>
            <w:hideMark/>
          </w:tcPr>
          <w:p w14:paraId="643EC1A4"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&lt; 1.3</w:t>
            </w:r>
          </w:p>
        </w:tc>
        <w:tc>
          <w:tcPr>
            <w:tcW w:w="2284" w:type="dxa"/>
            <w:tcBorders>
              <w:top w:val="nil"/>
            </w:tcBorders>
            <w:noWrap/>
            <w:vAlign w:val="center"/>
            <w:hideMark/>
          </w:tcPr>
          <w:p w14:paraId="56978BF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637 (17.3)</w:t>
            </w:r>
          </w:p>
        </w:tc>
        <w:tc>
          <w:tcPr>
            <w:tcW w:w="1899" w:type="dxa"/>
            <w:tcBorders>
              <w:top w:val="nil"/>
            </w:tcBorders>
            <w:noWrap/>
            <w:vAlign w:val="center"/>
            <w:hideMark/>
          </w:tcPr>
          <w:p w14:paraId="0EE259D5"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221 (63.5)</w:t>
            </w:r>
          </w:p>
        </w:tc>
        <w:tc>
          <w:tcPr>
            <w:tcW w:w="1871" w:type="dxa"/>
            <w:tcBorders>
              <w:top w:val="nil"/>
            </w:tcBorders>
            <w:noWrap/>
            <w:vAlign w:val="center"/>
            <w:hideMark/>
          </w:tcPr>
          <w:p w14:paraId="1C9CE99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416 (12.2)</w:t>
            </w:r>
          </w:p>
        </w:tc>
        <w:tc>
          <w:tcPr>
            <w:tcW w:w="1399" w:type="dxa"/>
            <w:tcBorders>
              <w:top w:val="nil"/>
            </w:tcBorders>
            <w:noWrap/>
            <w:vAlign w:val="center"/>
            <w:hideMark/>
          </w:tcPr>
          <w:p w14:paraId="4ABA1BF3" w14:textId="77777777" w:rsidR="00CA04BD" w:rsidRPr="00C90B6F" w:rsidRDefault="00CA04BD" w:rsidP="00B128F8">
            <w:pPr>
              <w:ind w:firstLine="720"/>
              <w:jc w:val="center"/>
              <w:rPr>
                <w:rFonts w:ascii="Times New Roman" w:hAnsi="Times New Roman" w:cs="Times New Roman"/>
              </w:rPr>
            </w:pPr>
          </w:p>
        </w:tc>
      </w:tr>
      <w:tr w:rsidR="00CA04BD" w:rsidRPr="00C90B6F" w14:paraId="3C23FD22" w14:textId="77777777" w:rsidTr="00B128F8">
        <w:trPr>
          <w:trHeight w:val="320"/>
        </w:trPr>
        <w:tc>
          <w:tcPr>
            <w:tcW w:w="2616" w:type="dxa"/>
            <w:tcBorders>
              <w:bottom w:val="single" w:sz="4" w:space="0" w:color="auto"/>
            </w:tcBorders>
            <w:noWrap/>
            <w:vAlign w:val="center"/>
            <w:hideMark/>
          </w:tcPr>
          <w:p w14:paraId="016B2B1A"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Health Insurance Status</w:t>
            </w:r>
          </w:p>
        </w:tc>
        <w:tc>
          <w:tcPr>
            <w:tcW w:w="2284" w:type="dxa"/>
            <w:tcBorders>
              <w:bottom w:val="single" w:sz="4" w:space="0" w:color="auto"/>
            </w:tcBorders>
            <w:noWrap/>
            <w:vAlign w:val="center"/>
            <w:hideMark/>
          </w:tcPr>
          <w:p w14:paraId="07613FF1"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38DEBC92"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53F4FEF9"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78E67503"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74C66884" w14:textId="77777777" w:rsidTr="00B128F8">
        <w:trPr>
          <w:trHeight w:val="320"/>
        </w:trPr>
        <w:tc>
          <w:tcPr>
            <w:tcW w:w="2616" w:type="dxa"/>
            <w:tcBorders>
              <w:top w:val="nil"/>
            </w:tcBorders>
            <w:noWrap/>
            <w:vAlign w:val="center"/>
            <w:hideMark/>
          </w:tcPr>
          <w:p w14:paraId="4BB2E3BB"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Insured</w:t>
            </w:r>
          </w:p>
        </w:tc>
        <w:tc>
          <w:tcPr>
            <w:tcW w:w="2284" w:type="dxa"/>
            <w:tcBorders>
              <w:top w:val="nil"/>
            </w:tcBorders>
            <w:noWrap/>
            <w:vAlign w:val="center"/>
            <w:hideMark/>
          </w:tcPr>
          <w:p w14:paraId="28D769B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2329 (94.1)</w:t>
            </w:r>
          </w:p>
        </w:tc>
        <w:tc>
          <w:tcPr>
            <w:tcW w:w="1899" w:type="dxa"/>
            <w:tcBorders>
              <w:top w:val="nil"/>
            </w:tcBorders>
            <w:noWrap/>
            <w:vAlign w:val="center"/>
            <w:hideMark/>
          </w:tcPr>
          <w:p w14:paraId="6AFFFAE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265 (83.7)</w:t>
            </w:r>
          </w:p>
        </w:tc>
        <w:tc>
          <w:tcPr>
            <w:tcW w:w="1871" w:type="dxa"/>
            <w:tcBorders>
              <w:top w:val="nil"/>
            </w:tcBorders>
            <w:noWrap/>
            <w:vAlign w:val="center"/>
            <w:hideMark/>
          </w:tcPr>
          <w:p w14:paraId="794882A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2064 (95.3)</w:t>
            </w:r>
          </w:p>
        </w:tc>
        <w:tc>
          <w:tcPr>
            <w:tcW w:w="1399" w:type="dxa"/>
            <w:tcBorders>
              <w:top w:val="nil"/>
            </w:tcBorders>
            <w:noWrap/>
            <w:vAlign w:val="center"/>
            <w:hideMark/>
          </w:tcPr>
          <w:p w14:paraId="6DC9E0EA" w14:textId="77777777" w:rsidR="00CA04BD" w:rsidRPr="00C90B6F" w:rsidRDefault="00CA04BD" w:rsidP="00B128F8">
            <w:pPr>
              <w:ind w:firstLine="720"/>
              <w:jc w:val="center"/>
              <w:rPr>
                <w:rFonts w:ascii="Times New Roman" w:hAnsi="Times New Roman" w:cs="Times New Roman"/>
              </w:rPr>
            </w:pPr>
          </w:p>
        </w:tc>
      </w:tr>
      <w:tr w:rsidR="00CA04BD" w:rsidRPr="00C90B6F" w14:paraId="35300ED3" w14:textId="77777777" w:rsidTr="00B128F8">
        <w:trPr>
          <w:trHeight w:val="320"/>
        </w:trPr>
        <w:tc>
          <w:tcPr>
            <w:tcW w:w="2616" w:type="dxa"/>
            <w:tcBorders>
              <w:bottom w:val="single" w:sz="4" w:space="0" w:color="auto"/>
            </w:tcBorders>
            <w:noWrap/>
            <w:vAlign w:val="center"/>
            <w:hideMark/>
          </w:tcPr>
          <w:p w14:paraId="7AA4855D"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Household Size</w:t>
            </w:r>
          </w:p>
        </w:tc>
        <w:tc>
          <w:tcPr>
            <w:tcW w:w="2284" w:type="dxa"/>
            <w:tcBorders>
              <w:bottom w:val="single" w:sz="4" w:space="0" w:color="auto"/>
            </w:tcBorders>
            <w:noWrap/>
            <w:vAlign w:val="center"/>
            <w:hideMark/>
          </w:tcPr>
          <w:p w14:paraId="149D32E7"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6DB693F8"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105778F3"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06C7AC7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7756A283" w14:textId="77777777" w:rsidTr="00B128F8">
        <w:trPr>
          <w:trHeight w:val="320"/>
        </w:trPr>
        <w:tc>
          <w:tcPr>
            <w:tcW w:w="2616" w:type="dxa"/>
            <w:tcBorders>
              <w:bottom w:val="nil"/>
            </w:tcBorders>
            <w:noWrap/>
            <w:vAlign w:val="center"/>
            <w:hideMark/>
          </w:tcPr>
          <w:p w14:paraId="0FB573F8"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&lt; 5 Persons</w:t>
            </w:r>
          </w:p>
        </w:tc>
        <w:tc>
          <w:tcPr>
            <w:tcW w:w="2284" w:type="dxa"/>
            <w:tcBorders>
              <w:bottom w:val="nil"/>
            </w:tcBorders>
            <w:noWrap/>
            <w:vAlign w:val="center"/>
            <w:hideMark/>
          </w:tcPr>
          <w:p w14:paraId="3F2EB73A"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2274 (92.5)</w:t>
            </w:r>
          </w:p>
        </w:tc>
        <w:tc>
          <w:tcPr>
            <w:tcW w:w="1899" w:type="dxa"/>
            <w:tcBorders>
              <w:bottom w:val="nil"/>
            </w:tcBorders>
            <w:noWrap/>
            <w:vAlign w:val="center"/>
            <w:hideMark/>
          </w:tcPr>
          <w:p w14:paraId="7E38068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247 (78.6)</w:t>
            </w:r>
          </w:p>
        </w:tc>
        <w:tc>
          <w:tcPr>
            <w:tcW w:w="1871" w:type="dxa"/>
            <w:tcBorders>
              <w:bottom w:val="nil"/>
            </w:tcBorders>
            <w:noWrap/>
            <w:vAlign w:val="center"/>
            <w:hideMark/>
          </w:tcPr>
          <w:p w14:paraId="465E8C4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2027 (94.1)</w:t>
            </w:r>
          </w:p>
        </w:tc>
        <w:tc>
          <w:tcPr>
            <w:tcW w:w="1399" w:type="dxa"/>
            <w:tcBorders>
              <w:bottom w:val="nil"/>
            </w:tcBorders>
            <w:noWrap/>
            <w:vAlign w:val="center"/>
            <w:hideMark/>
          </w:tcPr>
          <w:p w14:paraId="34388517" w14:textId="77777777" w:rsidR="00CA04BD" w:rsidRPr="00C90B6F" w:rsidRDefault="00CA04BD" w:rsidP="00B128F8">
            <w:pPr>
              <w:ind w:firstLine="720"/>
              <w:jc w:val="center"/>
              <w:rPr>
                <w:rFonts w:ascii="Times New Roman" w:hAnsi="Times New Roman" w:cs="Times New Roman"/>
              </w:rPr>
            </w:pPr>
          </w:p>
        </w:tc>
      </w:tr>
      <w:tr w:rsidR="00CA04BD" w:rsidRPr="00C90B6F" w14:paraId="5F5D2476" w14:textId="77777777" w:rsidTr="00B128F8">
        <w:trPr>
          <w:trHeight w:val="320"/>
        </w:trPr>
        <w:tc>
          <w:tcPr>
            <w:tcW w:w="2616" w:type="dxa"/>
            <w:tcBorders>
              <w:top w:val="nil"/>
            </w:tcBorders>
            <w:noWrap/>
            <w:vAlign w:val="center"/>
            <w:hideMark/>
          </w:tcPr>
          <w:p w14:paraId="51A56FA7"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 5 Persons</w:t>
            </w:r>
          </w:p>
        </w:tc>
        <w:tc>
          <w:tcPr>
            <w:tcW w:w="2284" w:type="dxa"/>
            <w:tcBorders>
              <w:top w:val="nil"/>
            </w:tcBorders>
            <w:noWrap/>
            <w:vAlign w:val="center"/>
            <w:hideMark/>
          </w:tcPr>
          <w:p w14:paraId="52B9417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219 (7.5)</w:t>
            </w:r>
          </w:p>
        </w:tc>
        <w:tc>
          <w:tcPr>
            <w:tcW w:w="1899" w:type="dxa"/>
            <w:tcBorders>
              <w:top w:val="nil"/>
            </w:tcBorders>
            <w:noWrap/>
            <w:vAlign w:val="center"/>
            <w:hideMark/>
          </w:tcPr>
          <w:p w14:paraId="28107BD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70 (21.4)</w:t>
            </w:r>
          </w:p>
        </w:tc>
        <w:tc>
          <w:tcPr>
            <w:tcW w:w="1871" w:type="dxa"/>
            <w:tcBorders>
              <w:top w:val="nil"/>
            </w:tcBorders>
            <w:noWrap/>
            <w:vAlign w:val="center"/>
            <w:hideMark/>
          </w:tcPr>
          <w:p w14:paraId="1B6BE79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149 (5.9)</w:t>
            </w:r>
          </w:p>
        </w:tc>
        <w:tc>
          <w:tcPr>
            <w:tcW w:w="1399" w:type="dxa"/>
            <w:tcBorders>
              <w:top w:val="nil"/>
            </w:tcBorders>
            <w:noWrap/>
            <w:vAlign w:val="center"/>
            <w:hideMark/>
          </w:tcPr>
          <w:p w14:paraId="15A112DB" w14:textId="77777777" w:rsidR="00CA04BD" w:rsidRPr="00C90B6F" w:rsidRDefault="00CA04BD" w:rsidP="00B128F8">
            <w:pPr>
              <w:ind w:firstLine="720"/>
              <w:jc w:val="center"/>
              <w:rPr>
                <w:rFonts w:ascii="Times New Roman" w:hAnsi="Times New Roman" w:cs="Times New Roman"/>
              </w:rPr>
            </w:pPr>
          </w:p>
        </w:tc>
      </w:tr>
      <w:tr w:rsidR="00CA04BD" w:rsidRPr="00C90B6F" w14:paraId="16B44884" w14:textId="77777777" w:rsidTr="00B128F8">
        <w:trPr>
          <w:trHeight w:val="320"/>
        </w:trPr>
        <w:tc>
          <w:tcPr>
            <w:tcW w:w="2616" w:type="dxa"/>
            <w:noWrap/>
            <w:vAlign w:val="center"/>
            <w:hideMark/>
          </w:tcPr>
          <w:p w14:paraId="134CB8F5"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NHANES ADL Score</w:t>
            </w:r>
          </w:p>
        </w:tc>
        <w:tc>
          <w:tcPr>
            <w:tcW w:w="2284" w:type="dxa"/>
            <w:noWrap/>
            <w:vAlign w:val="center"/>
            <w:hideMark/>
          </w:tcPr>
          <w:p w14:paraId="01604CA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22.26 (4.56)</w:t>
            </w:r>
          </w:p>
        </w:tc>
        <w:tc>
          <w:tcPr>
            <w:tcW w:w="1899" w:type="dxa"/>
            <w:noWrap/>
            <w:vAlign w:val="center"/>
            <w:hideMark/>
          </w:tcPr>
          <w:p w14:paraId="666A28C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26.1 (7.34)</w:t>
            </w:r>
          </w:p>
        </w:tc>
        <w:tc>
          <w:tcPr>
            <w:tcW w:w="1871" w:type="dxa"/>
            <w:noWrap/>
            <w:vAlign w:val="center"/>
            <w:hideMark/>
          </w:tcPr>
          <w:p w14:paraId="11AACF95"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21.93 (4.07)</w:t>
            </w:r>
          </w:p>
        </w:tc>
        <w:tc>
          <w:tcPr>
            <w:tcW w:w="1399" w:type="dxa"/>
            <w:noWrap/>
            <w:vAlign w:val="center"/>
            <w:hideMark/>
          </w:tcPr>
          <w:p w14:paraId="60EA470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50303C1E" w14:textId="77777777" w:rsidTr="00B128F8">
        <w:trPr>
          <w:trHeight w:val="320"/>
        </w:trPr>
        <w:tc>
          <w:tcPr>
            <w:tcW w:w="2616" w:type="dxa"/>
            <w:noWrap/>
            <w:vAlign w:val="center"/>
            <w:hideMark/>
          </w:tcPr>
          <w:p w14:paraId="1D4EA96D"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BMI (kg/m</w:t>
            </w:r>
            <w:r w:rsidRPr="00C90B6F">
              <w:rPr>
                <w:rFonts w:ascii="Times New Roman" w:hAnsi="Times New Roman" w:cs="Times New Roman"/>
                <w:vertAlign w:val="superscript"/>
              </w:rPr>
              <w:t>2</w:t>
            </w:r>
            <w:r w:rsidRPr="00C90B6F">
              <w:rPr>
                <w:rFonts w:ascii="Times New Roman" w:hAnsi="Times New Roman" w:cs="Times New Roman"/>
              </w:rPr>
              <w:t>)</w:t>
            </w:r>
          </w:p>
        </w:tc>
        <w:tc>
          <w:tcPr>
            <w:tcW w:w="2284" w:type="dxa"/>
            <w:noWrap/>
            <w:vAlign w:val="center"/>
            <w:hideMark/>
          </w:tcPr>
          <w:p w14:paraId="6DC67A49"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28.92 (6.61)</w:t>
            </w:r>
          </w:p>
        </w:tc>
        <w:tc>
          <w:tcPr>
            <w:tcW w:w="1899" w:type="dxa"/>
            <w:noWrap/>
            <w:vAlign w:val="center"/>
            <w:hideMark/>
          </w:tcPr>
          <w:p w14:paraId="724E2B7E"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29.82 (7.43)</w:t>
            </w:r>
          </w:p>
        </w:tc>
        <w:tc>
          <w:tcPr>
            <w:tcW w:w="1871" w:type="dxa"/>
            <w:noWrap/>
            <w:vAlign w:val="center"/>
            <w:hideMark/>
          </w:tcPr>
          <w:p w14:paraId="3BE76D0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28.82 (6.51)</w:t>
            </w:r>
          </w:p>
        </w:tc>
        <w:tc>
          <w:tcPr>
            <w:tcW w:w="1399" w:type="dxa"/>
            <w:noWrap/>
            <w:vAlign w:val="center"/>
            <w:hideMark/>
          </w:tcPr>
          <w:p w14:paraId="384F2AF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0.08</w:t>
            </w:r>
          </w:p>
        </w:tc>
      </w:tr>
      <w:tr w:rsidR="00CA04BD" w:rsidRPr="00C90B6F" w14:paraId="06E8B85B" w14:textId="77777777" w:rsidTr="00B128F8">
        <w:trPr>
          <w:trHeight w:val="320"/>
        </w:trPr>
        <w:tc>
          <w:tcPr>
            <w:tcW w:w="2616" w:type="dxa"/>
            <w:noWrap/>
            <w:vAlign w:val="center"/>
            <w:hideMark/>
          </w:tcPr>
          <w:p w14:paraId="657F2470"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Weekly MET Minutes</w:t>
            </w:r>
          </w:p>
        </w:tc>
        <w:tc>
          <w:tcPr>
            <w:tcW w:w="2284" w:type="dxa"/>
            <w:noWrap/>
            <w:vAlign w:val="center"/>
            <w:hideMark/>
          </w:tcPr>
          <w:p w14:paraId="59A5B8D9"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2249.04 (4387.81)</w:t>
            </w:r>
          </w:p>
        </w:tc>
        <w:tc>
          <w:tcPr>
            <w:tcW w:w="1899" w:type="dxa"/>
            <w:noWrap/>
            <w:vAlign w:val="center"/>
            <w:hideMark/>
          </w:tcPr>
          <w:p w14:paraId="45B146B5"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5195.27 (8691.45)</w:t>
            </w:r>
          </w:p>
        </w:tc>
        <w:tc>
          <w:tcPr>
            <w:tcW w:w="1871" w:type="dxa"/>
            <w:noWrap/>
            <w:vAlign w:val="center"/>
            <w:hideMark/>
          </w:tcPr>
          <w:p w14:paraId="3CF25A7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1923.51 (3462.9)</w:t>
            </w:r>
          </w:p>
        </w:tc>
        <w:tc>
          <w:tcPr>
            <w:tcW w:w="1399" w:type="dxa"/>
            <w:noWrap/>
            <w:vAlign w:val="center"/>
            <w:hideMark/>
          </w:tcPr>
          <w:p w14:paraId="3885FA8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0E3D1467" w14:textId="77777777" w:rsidTr="00B128F8">
        <w:trPr>
          <w:trHeight w:val="320"/>
        </w:trPr>
        <w:tc>
          <w:tcPr>
            <w:tcW w:w="2616" w:type="dxa"/>
            <w:noWrap/>
            <w:vAlign w:val="center"/>
            <w:hideMark/>
          </w:tcPr>
          <w:p w14:paraId="28F52E16"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Daily Caloric Intake (kcal)</w:t>
            </w:r>
          </w:p>
        </w:tc>
        <w:tc>
          <w:tcPr>
            <w:tcW w:w="2284" w:type="dxa"/>
            <w:noWrap/>
            <w:vAlign w:val="center"/>
            <w:hideMark/>
          </w:tcPr>
          <w:p w14:paraId="60F5D03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1900.17 (679.88)</w:t>
            </w:r>
          </w:p>
        </w:tc>
        <w:tc>
          <w:tcPr>
            <w:tcW w:w="1899" w:type="dxa"/>
            <w:noWrap/>
            <w:vAlign w:val="center"/>
            <w:hideMark/>
          </w:tcPr>
          <w:p w14:paraId="5141C01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1751 (791.25)</w:t>
            </w:r>
          </w:p>
        </w:tc>
        <w:tc>
          <w:tcPr>
            <w:tcW w:w="1871" w:type="dxa"/>
            <w:noWrap/>
            <w:vAlign w:val="center"/>
            <w:hideMark/>
          </w:tcPr>
          <w:p w14:paraId="62734B0F"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1916.65 (664.54)</w:t>
            </w:r>
          </w:p>
        </w:tc>
        <w:tc>
          <w:tcPr>
            <w:tcW w:w="1399" w:type="dxa"/>
            <w:noWrap/>
            <w:vAlign w:val="center"/>
            <w:hideMark/>
          </w:tcPr>
          <w:p w14:paraId="7C135F5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0.02</w:t>
            </w:r>
          </w:p>
        </w:tc>
      </w:tr>
      <w:tr w:rsidR="00CA04BD" w:rsidRPr="00C90B6F" w14:paraId="0E86C040" w14:textId="77777777" w:rsidTr="00B128F8">
        <w:trPr>
          <w:trHeight w:val="320"/>
        </w:trPr>
        <w:tc>
          <w:tcPr>
            <w:tcW w:w="2616" w:type="dxa"/>
            <w:noWrap/>
            <w:vAlign w:val="center"/>
            <w:hideMark/>
          </w:tcPr>
          <w:p w14:paraId="584462B2" w14:textId="77777777" w:rsidR="00CA04BD" w:rsidRPr="00C90B6F" w:rsidRDefault="00CA04BD" w:rsidP="00B128F8">
            <w:pPr>
              <w:rPr>
                <w:rFonts w:ascii="Times New Roman" w:hAnsi="Times New Roman" w:cs="Times New Roman"/>
              </w:rPr>
            </w:pP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w:t>
            </w:r>
          </w:p>
        </w:tc>
        <w:tc>
          <w:tcPr>
            <w:tcW w:w="2284" w:type="dxa"/>
            <w:noWrap/>
            <w:vAlign w:val="center"/>
            <w:hideMark/>
          </w:tcPr>
          <w:p w14:paraId="528B381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2.98 (1.35)</w:t>
            </w:r>
          </w:p>
        </w:tc>
        <w:tc>
          <w:tcPr>
            <w:tcW w:w="1899" w:type="dxa"/>
            <w:noWrap/>
            <w:vAlign w:val="center"/>
            <w:hideMark/>
          </w:tcPr>
          <w:p w14:paraId="41F43DC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3.36 (1.71)</w:t>
            </w:r>
          </w:p>
        </w:tc>
        <w:tc>
          <w:tcPr>
            <w:tcW w:w="1871" w:type="dxa"/>
            <w:noWrap/>
            <w:vAlign w:val="center"/>
            <w:hideMark/>
          </w:tcPr>
          <w:p w14:paraId="51F39AB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2.94 (1.3)</w:t>
            </w:r>
          </w:p>
        </w:tc>
        <w:tc>
          <w:tcPr>
            <w:tcW w:w="1399" w:type="dxa"/>
            <w:noWrap/>
            <w:vAlign w:val="center"/>
            <w:hideMark/>
          </w:tcPr>
          <w:p w14:paraId="098355FF"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075497AF" w14:textId="77777777" w:rsidTr="00B128F8">
        <w:trPr>
          <w:trHeight w:val="320"/>
        </w:trPr>
        <w:tc>
          <w:tcPr>
            <w:tcW w:w="2616" w:type="dxa"/>
            <w:tcBorders>
              <w:bottom w:val="single" w:sz="4" w:space="0" w:color="auto"/>
            </w:tcBorders>
            <w:noWrap/>
            <w:vAlign w:val="center"/>
            <w:hideMark/>
          </w:tcPr>
          <w:p w14:paraId="628A1BF5"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SNAP Benefits</w:t>
            </w:r>
          </w:p>
        </w:tc>
        <w:tc>
          <w:tcPr>
            <w:tcW w:w="2284" w:type="dxa"/>
            <w:tcBorders>
              <w:bottom w:val="single" w:sz="4" w:space="0" w:color="auto"/>
            </w:tcBorders>
            <w:noWrap/>
            <w:vAlign w:val="center"/>
            <w:hideMark/>
          </w:tcPr>
          <w:p w14:paraId="675F757F"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542B6DC4"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211ECFDF"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3619656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5BF31D34" w14:textId="77777777" w:rsidTr="00B128F8">
        <w:trPr>
          <w:trHeight w:val="320"/>
        </w:trPr>
        <w:tc>
          <w:tcPr>
            <w:tcW w:w="2616" w:type="dxa"/>
            <w:tcBorders>
              <w:top w:val="nil"/>
            </w:tcBorders>
            <w:noWrap/>
            <w:vAlign w:val="center"/>
            <w:hideMark/>
          </w:tcPr>
          <w:p w14:paraId="534BD7EF"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Receiving</w:t>
            </w:r>
          </w:p>
        </w:tc>
        <w:tc>
          <w:tcPr>
            <w:tcW w:w="2284" w:type="dxa"/>
            <w:tcBorders>
              <w:top w:val="nil"/>
            </w:tcBorders>
            <w:noWrap/>
            <w:vAlign w:val="center"/>
            <w:hideMark/>
          </w:tcPr>
          <w:p w14:paraId="1FA7D0F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347 (11.2)</w:t>
            </w:r>
          </w:p>
        </w:tc>
        <w:tc>
          <w:tcPr>
            <w:tcW w:w="1899" w:type="dxa"/>
            <w:tcBorders>
              <w:top w:val="nil"/>
            </w:tcBorders>
            <w:noWrap/>
            <w:vAlign w:val="center"/>
            <w:hideMark/>
          </w:tcPr>
          <w:p w14:paraId="0408E8E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158 (55.6)</w:t>
            </w:r>
          </w:p>
        </w:tc>
        <w:tc>
          <w:tcPr>
            <w:tcW w:w="1871" w:type="dxa"/>
            <w:tcBorders>
              <w:top w:val="nil"/>
            </w:tcBorders>
            <w:noWrap/>
            <w:vAlign w:val="center"/>
            <w:hideMark/>
          </w:tcPr>
          <w:p w14:paraId="64DBB6D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189 (6.3)</w:t>
            </w:r>
          </w:p>
        </w:tc>
        <w:tc>
          <w:tcPr>
            <w:tcW w:w="1399" w:type="dxa"/>
            <w:tcBorders>
              <w:top w:val="nil"/>
            </w:tcBorders>
            <w:noWrap/>
            <w:vAlign w:val="center"/>
            <w:hideMark/>
          </w:tcPr>
          <w:p w14:paraId="5C023689" w14:textId="77777777" w:rsidR="00CA04BD" w:rsidRPr="00C90B6F" w:rsidRDefault="00CA04BD" w:rsidP="00B128F8">
            <w:pPr>
              <w:ind w:firstLine="720"/>
              <w:jc w:val="center"/>
              <w:rPr>
                <w:rFonts w:ascii="Times New Roman" w:hAnsi="Times New Roman" w:cs="Times New Roman"/>
              </w:rPr>
            </w:pPr>
          </w:p>
        </w:tc>
      </w:tr>
      <w:tr w:rsidR="00CA04BD" w:rsidRPr="00C90B6F" w14:paraId="1B4D3B7E" w14:textId="77777777" w:rsidTr="00B128F8">
        <w:trPr>
          <w:trHeight w:val="320"/>
        </w:trPr>
        <w:tc>
          <w:tcPr>
            <w:tcW w:w="2616" w:type="dxa"/>
            <w:noWrap/>
            <w:vAlign w:val="center"/>
            <w:hideMark/>
          </w:tcPr>
          <w:p w14:paraId="18B44243"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Years Since Diagnosis</w:t>
            </w:r>
          </w:p>
        </w:tc>
        <w:tc>
          <w:tcPr>
            <w:tcW w:w="2284" w:type="dxa"/>
            <w:noWrap/>
            <w:vAlign w:val="center"/>
            <w:hideMark/>
          </w:tcPr>
          <w:p w14:paraId="565ECD2B" w14:textId="77777777" w:rsidR="00CA04BD" w:rsidRPr="00C90B6F" w:rsidRDefault="00CA04BD" w:rsidP="00B128F8">
            <w:pPr>
              <w:ind w:firstLine="720"/>
              <w:jc w:val="center"/>
              <w:rPr>
                <w:rFonts w:ascii="Times New Roman" w:hAnsi="Times New Roman" w:cs="Times New Roman"/>
              </w:rPr>
            </w:pPr>
          </w:p>
        </w:tc>
        <w:tc>
          <w:tcPr>
            <w:tcW w:w="1899" w:type="dxa"/>
            <w:noWrap/>
            <w:vAlign w:val="center"/>
            <w:hideMark/>
          </w:tcPr>
          <w:p w14:paraId="0DF1D9BE" w14:textId="77777777" w:rsidR="00CA04BD" w:rsidRPr="00C90B6F" w:rsidRDefault="00CA04BD" w:rsidP="00B128F8">
            <w:pPr>
              <w:ind w:firstLine="720"/>
              <w:jc w:val="center"/>
              <w:rPr>
                <w:rFonts w:ascii="Times New Roman" w:hAnsi="Times New Roman" w:cs="Times New Roman"/>
              </w:rPr>
            </w:pPr>
          </w:p>
        </w:tc>
        <w:tc>
          <w:tcPr>
            <w:tcW w:w="1871" w:type="dxa"/>
            <w:noWrap/>
            <w:vAlign w:val="center"/>
            <w:hideMark/>
          </w:tcPr>
          <w:p w14:paraId="123B0FD0" w14:textId="77777777" w:rsidR="00CA04BD" w:rsidRPr="00C90B6F" w:rsidRDefault="00CA04BD" w:rsidP="00B128F8">
            <w:pPr>
              <w:ind w:firstLine="720"/>
              <w:jc w:val="center"/>
              <w:rPr>
                <w:rFonts w:ascii="Times New Roman" w:hAnsi="Times New Roman" w:cs="Times New Roman"/>
              </w:rPr>
            </w:pPr>
          </w:p>
        </w:tc>
        <w:tc>
          <w:tcPr>
            <w:tcW w:w="1399" w:type="dxa"/>
            <w:noWrap/>
            <w:vAlign w:val="center"/>
            <w:hideMark/>
          </w:tcPr>
          <w:p w14:paraId="7EDA647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0.62</w:t>
            </w:r>
          </w:p>
        </w:tc>
      </w:tr>
      <w:tr w:rsidR="00CA04BD" w:rsidRPr="00C90B6F" w14:paraId="67D2C9B7" w14:textId="77777777" w:rsidTr="00B128F8">
        <w:trPr>
          <w:trHeight w:val="320"/>
        </w:trPr>
        <w:tc>
          <w:tcPr>
            <w:tcW w:w="2616" w:type="dxa"/>
            <w:noWrap/>
            <w:vAlign w:val="bottom"/>
            <w:hideMark/>
          </w:tcPr>
          <w:p w14:paraId="7CF019D3"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color w:val="000000"/>
              </w:rPr>
              <w:sym w:font="Symbol" w:char="F0A3"/>
            </w:r>
            <w:r w:rsidRPr="00C90B6F">
              <w:rPr>
                <w:rFonts w:ascii="Times New Roman" w:hAnsi="Times New Roman" w:cs="Times New Roman"/>
                <w:color w:val="000000"/>
              </w:rPr>
              <w:t xml:space="preserve"> 5 years</w:t>
            </w:r>
          </w:p>
        </w:tc>
        <w:tc>
          <w:tcPr>
            <w:tcW w:w="2284" w:type="dxa"/>
            <w:noWrap/>
            <w:vAlign w:val="center"/>
            <w:hideMark/>
          </w:tcPr>
          <w:p w14:paraId="221BB7AE"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color w:val="000000"/>
              </w:rPr>
              <w:t>894 (32.0)</w:t>
            </w:r>
          </w:p>
        </w:tc>
        <w:tc>
          <w:tcPr>
            <w:tcW w:w="1899" w:type="dxa"/>
            <w:noWrap/>
            <w:vAlign w:val="center"/>
            <w:hideMark/>
          </w:tcPr>
          <w:p w14:paraId="1C6243CA"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color w:val="000000"/>
              </w:rPr>
              <w:t>119 (30.2)</w:t>
            </w:r>
          </w:p>
        </w:tc>
        <w:tc>
          <w:tcPr>
            <w:tcW w:w="1871" w:type="dxa"/>
            <w:noWrap/>
            <w:vAlign w:val="center"/>
            <w:hideMark/>
          </w:tcPr>
          <w:p w14:paraId="00CF4AFE"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color w:val="000000"/>
              </w:rPr>
              <w:t>775 (32.2)</w:t>
            </w:r>
          </w:p>
        </w:tc>
        <w:tc>
          <w:tcPr>
            <w:tcW w:w="1399" w:type="dxa"/>
            <w:noWrap/>
            <w:vAlign w:val="center"/>
            <w:hideMark/>
          </w:tcPr>
          <w:p w14:paraId="2B7CA500" w14:textId="77777777" w:rsidR="00CA04BD" w:rsidRPr="00C90B6F" w:rsidRDefault="00CA04BD" w:rsidP="00B128F8">
            <w:pPr>
              <w:ind w:firstLine="720"/>
              <w:jc w:val="center"/>
              <w:rPr>
                <w:rFonts w:ascii="Times New Roman" w:hAnsi="Times New Roman" w:cs="Times New Roman"/>
              </w:rPr>
            </w:pPr>
          </w:p>
        </w:tc>
      </w:tr>
      <w:tr w:rsidR="00CA04BD" w:rsidRPr="00C90B6F" w14:paraId="0054CEC1" w14:textId="77777777" w:rsidTr="00B128F8">
        <w:trPr>
          <w:trHeight w:val="320"/>
        </w:trPr>
        <w:tc>
          <w:tcPr>
            <w:tcW w:w="2616" w:type="dxa"/>
            <w:noWrap/>
            <w:vAlign w:val="bottom"/>
            <w:hideMark/>
          </w:tcPr>
          <w:p w14:paraId="1C915939"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color w:val="000000"/>
              </w:rPr>
              <w:t>&gt; 5 years</w:t>
            </w:r>
          </w:p>
        </w:tc>
        <w:tc>
          <w:tcPr>
            <w:tcW w:w="2284" w:type="dxa"/>
            <w:noWrap/>
            <w:vAlign w:val="center"/>
            <w:hideMark/>
          </w:tcPr>
          <w:p w14:paraId="0F189283"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color w:val="000000"/>
              </w:rPr>
              <w:t>1599 (68.0)</w:t>
            </w:r>
          </w:p>
        </w:tc>
        <w:tc>
          <w:tcPr>
            <w:tcW w:w="1899" w:type="dxa"/>
            <w:noWrap/>
            <w:vAlign w:val="center"/>
            <w:hideMark/>
          </w:tcPr>
          <w:p w14:paraId="3CB964E9"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color w:val="000000"/>
              </w:rPr>
              <w:t>198 (69.8)</w:t>
            </w:r>
          </w:p>
        </w:tc>
        <w:tc>
          <w:tcPr>
            <w:tcW w:w="1871" w:type="dxa"/>
            <w:noWrap/>
            <w:vAlign w:val="center"/>
            <w:hideMark/>
          </w:tcPr>
          <w:p w14:paraId="2F6116C3"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color w:val="000000"/>
              </w:rPr>
              <w:t>1401 (67.8)</w:t>
            </w:r>
          </w:p>
        </w:tc>
        <w:tc>
          <w:tcPr>
            <w:tcW w:w="1399" w:type="dxa"/>
            <w:noWrap/>
            <w:vAlign w:val="center"/>
            <w:hideMark/>
          </w:tcPr>
          <w:p w14:paraId="3AB301B2" w14:textId="77777777" w:rsidR="00CA04BD" w:rsidRPr="00C90B6F" w:rsidRDefault="00CA04BD" w:rsidP="00B128F8">
            <w:pPr>
              <w:ind w:firstLine="720"/>
              <w:jc w:val="center"/>
              <w:rPr>
                <w:rFonts w:ascii="Times New Roman" w:hAnsi="Times New Roman" w:cs="Times New Roman"/>
              </w:rPr>
            </w:pPr>
          </w:p>
        </w:tc>
      </w:tr>
      <w:tr w:rsidR="00CA04BD" w:rsidRPr="00C90B6F" w14:paraId="76C34BFD" w14:textId="77777777" w:rsidTr="00B128F8">
        <w:trPr>
          <w:trHeight w:val="320"/>
        </w:trPr>
        <w:tc>
          <w:tcPr>
            <w:tcW w:w="2616" w:type="dxa"/>
            <w:tcBorders>
              <w:bottom w:val="single" w:sz="4" w:space="0" w:color="auto"/>
            </w:tcBorders>
            <w:noWrap/>
            <w:vAlign w:val="center"/>
            <w:hideMark/>
          </w:tcPr>
          <w:p w14:paraId="508C615C"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Smoking Status</w:t>
            </w:r>
          </w:p>
        </w:tc>
        <w:tc>
          <w:tcPr>
            <w:tcW w:w="2284" w:type="dxa"/>
            <w:tcBorders>
              <w:bottom w:val="single" w:sz="4" w:space="0" w:color="auto"/>
            </w:tcBorders>
            <w:noWrap/>
            <w:vAlign w:val="center"/>
            <w:hideMark/>
          </w:tcPr>
          <w:p w14:paraId="347FD673"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2752BB57"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2BE9CFF9"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43DC555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&lt; 0.01</w:t>
            </w:r>
          </w:p>
        </w:tc>
      </w:tr>
      <w:tr w:rsidR="00CA04BD" w:rsidRPr="00C90B6F" w14:paraId="2FF18629" w14:textId="77777777" w:rsidTr="00B128F8">
        <w:trPr>
          <w:trHeight w:val="320"/>
        </w:trPr>
        <w:tc>
          <w:tcPr>
            <w:tcW w:w="2616" w:type="dxa"/>
            <w:tcBorders>
              <w:bottom w:val="nil"/>
            </w:tcBorders>
            <w:noWrap/>
            <w:vAlign w:val="center"/>
            <w:hideMark/>
          </w:tcPr>
          <w:p w14:paraId="3D471123"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lastRenderedPageBreak/>
              <w:t>Current</w:t>
            </w:r>
          </w:p>
        </w:tc>
        <w:tc>
          <w:tcPr>
            <w:tcW w:w="2284" w:type="dxa"/>
            <w:tcBorders>
              <w:bottom w:val="nil"/>
            </w:tcBorders>
            <w:noWrap/>
            <w:vAlign w:val="center"/>
            <w:hideMark/>
          </w:tcPr>
          <w:p w14:paraId="6A6938AA"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393 (16.9)</w:t>
            </w:r>
          </w:p>
        </w:tc>
        <w:tc>
          <w:tcPr>
            <w:tcW w:w="1899" w:type="dxa"/>
            <w:tcBorders>
              <w:bottom w:val="nil"/>
            </w:tcBorders>
            <w:noWrap/>
            <w:vAlign w:val="center"/>
            <w:hideMark/>
          </w:tcPr>
          <w:p w14:paraId="61AFC08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107 (39.2)</w:t>
            </w:r>
          </w:p>
        </w:tc>
        <w:tc>
          <w:tcPr>
            <w:tcW w:w="1871" w:type="dxa"/>
            <w:tcBorders>
              <w:bottom w:val="nil"/>
            </w:tcBorders>
            <w:noWrap/>
            <w:vAlign w:val="center"/>
            <w:hideMark/>
          </w:tcPr>
          <w:p w14:paraId="2E78DA2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286 (14.4)</w:t>
            </w:r>
          </w:p>
        </w:tc>
        <w:tc>
          <w:tcPr>
            <w:tcW w:w="1399" w:type="dxa"/>
            <w:tcBorders>
              <w:bottom w:val="nil"/>
            </w:tcBorders>
            <w:noWrap/>
            <w:vAlign w:val="center"/>
            <w:hideMark/>
          </w:tcPr>
          <w:p w14:paraId="6D56A47F" w14:textId="77777777" w:rsidR="00CA04BD" w:rsidRPr="00C90B6F" w:rsidRDefault="00CA04BD" w:rsidP="00B128F8">
            <w:pPr>
              <w:ind w:firstLine="720"/>
              <w:jc w:val="center"/>
              <w:rPr>
                <w:rFonts w:ascii="Times New Roman" w:hAnsi="Times New Roman" w:cs="Times New Roman"/>
              </w:rPr>
            </w:pPr>
          </w:p>
        </w:tc>
      </w:tr>
      <w:tr w:rsidR="00CA04BD" w:rsidRPr="00C90B6F" w14:paraId="2F0D11EE" w14:textId="77777777" w:rsidTr="00B128F8">
        <w:trPr>
          <w:trHeight w:val="320"/>
        </w:trPr>
        <w:tc>
          <w:tcPr>
            <w:tcW w:w="2616" w:type="dxa"/>
            <w:tcBorders>
              <w:top w:val="nil"/>
              <w:bottom w:val="nil"/>
            </w:tcBorders>
            <w:noWrap/>
            <w:vAlign w:val="center"/>
            <w:hideMark/>
          </w:tcPr>
          <w:p w14:paraId="5FB4ADA2"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Former</w:t>
            </w:r>
          </w:p>
        </w:tc>
        <w:tc>
          <w:tcPr>
            <w:tcW w:w="2284" w:type="dxa"/>
            <w:tcBorders>
              <w:top w:val="nil"/>
              <w:bottom w:val="nil"/>
            </w:tcBorders>
            <w:noWrap/>
            <w:vAlign w:val="center"/>
            <w:hideMark/>
          </w:tcPr>
          <w:p w14:paraId="3175F86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1021 (39.4)</w:t>
            </w:r>
          </w:p>
        </w:tc>
        <w:tc>
          <w:tcPr>
            <w:tcW w:w="1899" w:type="dxa"/>
            <w:tcBorders>
              <w:top w:val="nil"/>
              <w:bottom w:val="nil"/>
            </w:tcBorders>
            <w:noWrap/>
            <w:vAlign w:val="center"/>
            <w:hideMark/>
          </w:tcPr>
          <w:p w14:paraId="15C7EF2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79 (21.9)</w:t>
            </w:r>
          </w:p>
        </w:tc>
        <w:tc>
          <w:tcPr>
            <w:tcW w:w="1871" w:type="dxa"/>
            <w:tcBorders>
              <w:top w:val="nil"/>
              <w:bottom w:val="nil"/>
            </w:tcBorders>
            <w:noWrap/>
            <w:vAlign w:val="center"/>
            <w:hideMark/>
          </w:tcPr>
          <w:p w14:paraId="322F3DB5"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942 (41.3)</w:t>
            </w:r>
          </w:p>
        </w:tc>
        <w:tc>
          <w:tcPr>
            <w:tcW w:w="1399" w:type="dxa"/>
            <w:tcBorders>
              <w:top w:val="nil"/>
              <w:bottom w:val="nil"/>
            </w:tcBorders>
            <w:noWrap/>
            <w:vAlign w:val="center"/>
            <w:hideMark/>
          </w:tcPr>
          <w:p w14:paraId="595F109C" w14:textId="77777777" w:rsidR="00CA04BD" w:rsidRPr="00C90B6F" w:rsidRDefault="00CA04BD" w:rsidP="00B128F8">
            <w:pPr>
              <w:ind w:firstLine="720"/>
              <w:jc w:val="center"/>
              <w:rPr>
                <w:rFonts w:ascii="Times New Roman" w:hAnsi="Times New Roman" w:cs="Times New Roman"/>
              </w:rPr>
            </w:pPr>
          </w:p>
        </w:tc>
      </w:tr>
      <w:tr w:rsidR="00CA04BD" w:rsidRPr="00C90B6F" w14:paraId="3DFF3839" w14:textId="77777777" w:rsidTr="00B128F8">
        <w:trPr>
          <w:trHeight w:val="320"/>
        </w:trPr>
        <w:tc>
          <w:tcPr>
            <w:tcW w:w="2616" w:type="dxa"/>
            <w:tcBorders>
              <w:top w:val="nil"/>
            </w:tcBorders>
            <w:noWrap/>
            <w:vAlign w:val="center"/>
            <w:hideMark/>
          </w:tcPr>
          <w:p w14:paraId="2375A876"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Never</w:t>
            </w:r>
          </w:p>
        </w:tc>
        <w:tc>
          <w:tcPr>
            <w:tcW w:w="2284" w:type="dxa"/>
            <w:tcBorders>
              <w:top w:val="nil"/>
            </w:tcBorders>
            <w:noWrap/>
            <w:vAlign w:val="center"/>
            <w:hideMark/>
          </w:tcPr>
          <w:p w14:paraId="73CC77E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1079 (43.7)</w:t>
            </w:r>
          </w:p>
        </w:tc>
        <w:tc>
          <w:tcPr>
            <w:tcW w:w="1899" w:type="dxa"/>
            <w:tcBorders>
              <w:top w:val="nil"/>
            </w:tcBorders>
            <w:noWrap/>
            <w:vAlign w:val="center"/>
            <w:hideMark/>
          </w:tcPr>
          <w:p w14:paraId="0620CC3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131 (38.9)</w:t>
            </w:r>
          </w:p>
        </w:tc>
        <w:tc>
          <w:tcPr>
            <w:tcW w:w="1871" w:type="dxa"/>
            <w:tcBorders>
              <w:top w:val="nil"/>
            </w:tcBorders>
            <w:noWrap/>
            <w:vAlign w:val="center"/>
            <w:hideMark/>
          </w:tcPr>
          <w:p w14:paraId="3347E24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948 (44.2)</w:t>
            </w:r>
          </w:p>
        </w:tc>
        <w:tc>
          <w:tcPr>
            <w:tcW w:w="1399" w:type="dxa"/>
            <w:tcBorders>
              <w:top w:val="nil"/>
            </w:tcBorders>
            <w:noWrap/>
            <w:vAlign w:val="center"/>
            <w:hideMark/>
          </w:tcPr>
          <w:p w14:paraId="67BFA3E3" w14:textId="77777777" w:rsidR="00CA04BD" w:rsidRPr="00C90B6F" w:rsidRDefault="00CA04BD" w:rsidP="00B128F8">
            <w:pPr>
              <w:ind w:firstLine="720"/>
              <w:jc w:val="center"/>
              <w:rPr>
                <w:rFonts w:ascii="Times New Roman" w:hAnsi="Times New Roman" w:cs="Times New Roman"/>
              </w:rPr>
            </w:pPr>
          </w:p>
        </w:tc>
      </w:tr>
      <w:tr w:rsidR="00CA04BD" w:rsidRPr="00C90B6F" w14:paraId="6D0EAB29" w14:textId="77777777" w:rsidTr="00B128F8">
        <w:trPr>
          <w:trHeight w:val="320"/>
        </w:trPr>
        <w:tc>
          <w:tcPr>
            <w:tcW w:w="2616" w:type="dxa"/>
            <w:tcBorders>
              <w:bottom w:val="single" w:sz="4" w:space="0" w:color="auto"/>
            </w:tcBorders>
            <w:noWrap/>
            <w:vAlign w:val="center"/>
            <w:hideMark/>
          </w:tcPr>
          <w:p w14:paraId="031CA6BF"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Alcohol Use</w:t>
            </w:r>
          </w:p>
        </w:tc>
        <w:tc>
          <w:tcPr>
            <w:tcW w:w="2284" w:type="dxa"/>
            <w:tcBorders>
              <w:bottom w:val="single" w:sz="4" w:space="0" w:color="auto"/>
            </w:tcBorders>
            <w:noWrap/>
            <w:vAlign w:val="center"/>
            <w:hideMark/>
          </w:tcPr>
          <w:p w14:paraId="7D359E29"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0D01949E"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10AF3669"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2CC718C9"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0.05</w:t>
            </w:r>
          </w:p>
        </w:tc>
      </w:tr>
      <w:tr w:rsidR="00CA04BD" w:rsidRPr="00C90B6F" w14:paraId="7759B0BA" w14:textId="77777777" w:rsidTr="00B128F8">
        <w:trPr>
          <w:trHeight w:val="320"/>
        </w:trPr>
        <w:tc>
          <w:tcPr>
            <w:tcW w:w="2616" w:type="dxa"/>
            <w:tcBorders>
              <w:bottom w:val="nil"/>
            </w:tcBorders>
            <w:noWrap/>
            <w:vAlign w:val="center"/>
            <w:hideMark/>
          </w:tcPr>
          <w:p w14:paraId="66C9436C"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Heavy</w:t>
            </w:r>
          </w:p>
        </w:tc>
        <w:tc>
          <w:tcPr>
            <w:tcW w:w="2284" w:type="dxa"/>
            <w:tcBorders>
              <w:bottom w:val="nil"/>
            </w:tcBorders>
            <w:noWrap/>
            <w:vAlign w:val="center"/>
            <w:hideMark/>
          </w:tcPr>
          <w:p w14:paraId="522C661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268 (13.8)</w:t>
            </w:r>
          </w:p>
        </w:tc>
        <w:tc>
          <w:tcPr>
            <w:tcW w:w="1899" w:type="dxa"/>
            <w:tcBorders>
              <w:bottom w:val="nil"/>
            </w:tcBorders>
            <w:noWrap/>
            <w:vAlign w:val="center"/>
            <w:hideMark/>
          </w:tcPr>
          <w:p w14:paraId="0C54803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23 (4.6)</w:t>
            </w:r>
          </w:p>
        </w:tc>
        <w:tc>
          <w:tcPr>
            <w:tcW w:w="1871" w:type="dxa"/>
            <w:tcBorders>
              <w:bottom w:val="nil"/>
            </w:tcBorders>
            <w:noWrap/>
            <w:vAlign w:val="center"/>
            <w:hideMark/>
          </w:tcPr>
          <w:p w14:paraId="20C81A0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245 (14.9)</w:t>
            </w:r>
          </w:p>
        </w:tc>
        <w:tc>
          <w:tcPr>
            <w:tcW w:w="1399" w:type="dxa"/>
            <w:tcBorders>
              <w:bottom w:val="nil"/>
            </w:tcBorders>
            <w:noWrap/>
            <w:vAlign w:val="center"/>
            <w:hideMark/>
          </w:tcPr>
          <w:p w14:paraId="379C0432" w14:textId="77777777" w:rsidR="00CA04BD" w:rsidRPr="00C90B6F" w:rsidRDefault="00CA04BD" w:rsidP="00B128F8">
            <w:pPr>
              <w:ind w:firstLine="720"/>
              <w:jc w:val="center"/>
              <w:rPr>
                <w:rFonts w:ascii="Times New Roman" w:hAnsi="Times New Roman" w:cs="Times New Roman"/>
              </w:rPr>
            </w:pPr>
          </w:p>
        </w:tc>
      </w:tr>
      <w:tr w:rsidR="00CA04BD" w:rsidRPr="00C90B6F" w14:paraId="1D9E3ADC" w14:textId="77777777" w:rsidTr="00B128F8">
        <w:trPr>
          <w:trHeight w:val="320"/>
        </w:trPr>
        <w:tc>
          <w:tcPr>
            <w:tcW w:w="2616" w:type="dxa"/>
            <w:tcBorders>
              <w:top w:val="nil"/>
              <w:bottom w:val="nil"/>
            </w:tcBorders>
            <w:noWrap/>
            <w:vAlign w:val="center"/>
            <w:hideMark/>
          </w:tcPr>
          <w:p w14:paraId="46DDC31C"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Moderate</w:t>
            </w:r>
          </w:p>
        </w:tc>
        <w:tc>
          <w:tcPr>
            <w:tcW w:w="2284" w:type="dxa"/>
            <w:tcBorders>
              <w:top w:val="nil"/>
              <w:bottom w:val="nil"/>
            </w:tcBorders>
            <w:noWrap/>
            <w:vAlign w:val="center"/>
            <w:hideMark/>
          </w:tcPr>
          <w:p w14:paraId="4492E69C"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381 (15.9)</w:t>
            </w:r>
          </w:p>
        </w:tc>
        <w:tc>
          <w:tcPr>
            <w:tcW w:w="1899" w:type="dxa"/>
            <w:tcBorders>
              <w:top w:val="nil"/>
              <w:bottom w:val="nil"/>
            </w:tcBorders>
            <w:noWrap/>
            <w:vAlign w:val="center"/>
            <w:hideMark/>
          </w:tcPr>
          <w:p w14:paraId="52A5B58E"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32 (16.1)</w:t>
            </w:r>
          </w:p>
        </w:tc>
        <w:tc>
          <w:tcPr>
            <w:tcW w:w="1871" w:type="dxa"/>
            <w:tcBorders>
              <w:top w:val="nil"/>
              <w:bottom w:val="nil"/>
            </w:tcBorders>
            <w:noWrap/>
            <w:vAlign w:val="center"/>
            <w:hideMark/>
          </w:tcPr>
          <w:p w14:paraId="3A32DBF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349 (15.9)</w:t>
            </w:r>
          </w:p>
        </w:tc>
        <w:tc>
          <w:tcPr>
            <w:tcW w:w="1399" w:type="dxa"/>
            <w:tcBorders>
              <w:top w:val="nil"/>
              <w:bottom w:val="nil"/>
            </w:tcBorders>
            <w:noWrap/>
            <w:vAlign w:val="center"/>
            <w:hideMark/>
          </w:tcPr>
          <w:p w14:paraId="4C2E0C64" w14:textId="77777777" w:rsidR="00CA04BD" w:rsidRPr="00C90B6F" w:rsidRDefault="00CA04BD" w:rsidP="00B128F8">
            <w:pPr>
              <w:ind w:firstLine="720"/>
              <w:jc w:val="center"/>
              <w:rPr>
                <w:rFonts w:ascii="Times New Roman" w:hAnsi="Times New Roman" w:cs="Times New Roman"/>
              </w:rPr>
            </w:pPr>
          </w:p>
        </w:tc>
      </w:tr>
      <w:tr w:rsidR="00CA04BD" w:rsidRPr="00C90B6F" w14:paraId="32C6F05D" w14:textId="77777777" w:rsidTr="00B128F8">
        <w:trPr>
          <w:trHeight w:val="320"/>
        </w:trPr>
        <w:tc>
          <w:tcPr>
            <w:tcW w:w="2616" w:type="dxa"/>
            <w:tcBorders>
              <w:top w:val="nil"/>
            </w:tcBorders>
            <w:noWrap/>
            <w:vAlign w:val="center"/>
            <w:hideMark/>
          </w:tcPr>
          <w:p w14:paraId="5A44DE4A"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None</w:t>
            </w:r>
          </w:p>
        </w:tc>
        <w:tc>
          <w:tcPr>
            <w:tcW w:w="2284" w:type="dxa"/>
            <w:tcBorders>
              <w:top w:val="nil"/>
            </w:tcBorders>
            <w:noWrap/>
            <w:vAlign w:val="center"/>
            <w:hideMark/>
          </w:tcPr>
          <w:p w14:paraId="1F10AAF4"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1844 (70.3)</w:t>
            </w:r>
          </w:p>
        </w:tc>
        <w:tc>
          <w:tcPr>
            <w:tcW w:w="1899" w:type="dxa"/>
            <w:tcBorders>
              <w:top w:val="nil"/>
            </w:tcBorders>
            <w:noWrap/>
            <w:vAlign w:val="center"/>
            <w:hideMark/>
          </w:tcPr>
          <w:p w14:paraId="5D7B25F6"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262 (79.3)</w:t>
            </w:r>
          </w:p>
        </w:tc>
        <w:tc>
          <w:tcPr>
            <w:tcW w:w="1871" w:type="dxa"/>
            <w:tcBorders>
              <w:top w:val="nil"/>
            </w:tcBorders>
            <w:noWrap/>
            <w:vAlign w:val="center"/>
            <w:hideMark/>
          </w:tcPr>
          <w:p w14:paraId="586C279B"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1582 (69.3)</w:t>
            </w:r>
          </w:p>
        </w:tc>
        <w:tc>
          <w:tcPr>
            <w:tcW w:w="1399" w:type="dxa"/>
            <w:tcBorders>
              <w:top w:val="nil"/>
            </w:tcBorders>
            <w:noWrap/>
            <w:vAlign w:val="center"/>
            <w:hideMark/>
          </w:tcPr>
          <w:p w14:paraId="48384BF6" w14:textId="77777777" w:rsidR="00CA04BD" w:rsidRPr="00C90B6F" w:rsidRDefault="00CA04BD" w:rsidP="00B128F8">
            <w:pPr>
              <w:ind w:firstLine="720"/>
              <w:jc w:val="center"/>
              <w:rPr>
                <w:rFonts w:ascii="Times New Roman" w:hAnsi="Times New Roman" w:cs="Times New Roman"/>
              </w:rPr>
            </w:pPr>
          </w:p>
        </w:tc>
      </w:tr>
      <w:tr w:rsidR="00CA04BD" w:rsidRPr="00C90B6F" w14:paraId="6E82975F" w14:textId="77777777" w:rsidTr="00B128F8">
        <w:trPr>
          <w:trHeight w:val="320"/>
        </w:trPr>
        <w:tc>
          <w:tcPr>
            <w:tcW w:w="2616" w:type="dxa"/>
            <w:tcBorders>
              <w:bottom w:val="single" w:sz="4" w:space="0" w:color="auto"/>
            </w:tcBorders>
            <w:noWrap/>
            <w:vAlign w:val="center"/>
            <w:hideMark/>
          </w:tcPr>
          <w:p w14:paraId="14FFEB04"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Cause of Death</w:t>
            </w:r>
          </w:p>
        </w:tc>
        <w:tc>
          <w:tcPr>
            <w:tcW w:w="2284" w:type="dxa"/>
            <w:tcBorders>
              <w:bottom w:val="single" w:sz="4" w:space="0" w:color="auto"/>
            </w:tcBorders>
            <w:noWrap/>
            <w:vAlign w:val="center"/>
            <w:hideMark/>
          </w:tcPr>
          <w:p w14:paraId="38E7BA04" w14:textId="77777777" w:rsidR="00CA04BD" w:rsidRPr="00C90B6F" w:rsidRDefault="00CA04BD" w:rsidP="00B128F8">
            <w:pPr>
              <w:ind w:firstLine="720"/>
              <w:jc w:val="center"/>
              <w:rPr>
                <w:rFonts w:ascii="Times New Roman" w:hAnsi="Times New Roman" w:cs="Times New Roman"/>
              </w:rPr>
            </w:pPr>
          </w:p>
        </w:tc>
        <w:tc>
          <w:tcPr>
            <w:tcW w:w="1899" w:type="dxa"/>
            <w:tcBorders>
              <w:bottom w:val="single" w:sz="4" w:space="0" w:color="auto"/>
            </w:tcBorders>
            <w:noWrap/>
            <w:vAlign w:val="center"/>
            <w:hideMark/>
          </w:tcPr>
          <w:p w14:paraId="2CD802D2" w14:textId="77777777" w:rsidR="00CA04BD" w:rsidRPr="00C90B6F" w:rsidRDefault="00CA04BD" w:rsidP="00B128F8">
            <w:pPr>
              <w:ind w:firstLine="720"/>
              <w:jc w:val="center"/>
              <w:rPr>
                <w:rFonts w:ascii="Times New Roman" w:hAnsi="Times New Roman" w:cs="Times New Roman"/>
              </w:rPr>
            </w:pPr>
          </w:p>
        </w:tc>
        <w:tc>
          <w:tcPr>
            <w:tcW w:w="1871" w:type="dxa"/>
            <w:tcBorders>
              <w:bottom w:val="single" w:sz="4" w:space="0" w:color="auto"/>
            </w:tcBorders>
            <w:noWrap/>
            <w:vAlign w:val="center"/>
            <w:hideMark/>
          </w:tcPr>
          <w:p w14:paraId="75F1042F" w14:textId="77777777" w:rsidR="00CA04BD" w:rsidRPr="00C90B6F" w:rsidRDefault="00CA04BD" w:rsidP="00B128F8">
            <w:pPr>
              <w:ind w:firstLine="720"/>
              <w:jc w:val="center"/>
              <w:rPr>
                <w:rFonts w:ascii="Times New Roman" w:hAnsi="Times New Roman" w:cs="Times New Roman"/>
              </w:rPr>
            </w:pPr>
          </w:p>
        </w:tc>
        <w:tc>
          <w:tcPr>
            <w:tcW w:w="1399" w:type="dxa"/>
            <w:tcBorders>
              <w:bottom w:val="single" w:sz="4" w:space="0" w:color="auto"/>
            </w:tcBorders>
            <w:noWrap/>
            <w:vAlign w:val="center"/>
            <w:hideMark/>
          </w:tcPr>
          <w:p w14:paraId="3A3A6D5F"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0.42</w:t>
            </w:r>
          </w:p>
        </w:tc>
      </w:tr>
      <w:tr w:rsidR="00CA04BD" w:rsidRPr="00C90B6F" w14:paraId="2A22C559" w14:textId="77777777" w:rsidTr="00B128F8">
        <w:trPr>
          <w:trHeight w:val="320"/>
        </w:trPr>
        <w:tc>
          <w:tcPr>
            <w:tcW w:w="2616" w:type="dxa"/>
            <w:tcBorders>
              <w:bottom w:val="nil"/>
            </w:tcBorders>
            <w:noWrap/>
            <w:vAlign w:val="center"/>
            <w:hideMark/>
          </w:tcPr>
          <w:p w14:paraId="22F60AC1"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Cancer</w:t>
            </w:r>
          </w:p>
        </w:tc>
        <w:tc>
          <w:tcPr>
            <w:tcW w:w="2284" w:type="dxa"/>
            <w:tcBorders>
              <w:bottom w:val="nil"/>
            </w:tcBorders>
            <w:noWrap/>
            <w:vAlign w:val="center"/>
            <w:hideMark/>
          </w:tcPr>
          <w:p w14:paraId="54074FA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343 (36.4)</w:t>
            </w:r>
          </w:p>
        </w:tc>
        <w:tc>
          <w:tcPr>
            <w:tcW w:w="1899" w:type="dxa"/>
            <w:tcBorders>
              <w:bottom w:val="nil"/>
            </w:tcBorders>
            <w:noWrap/>
            <w:vAlign w:val="center"/>
            <w:hideMark/>
          </w:tcPr>
          <w:p w14:paraId="3788773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30 (31.9)</w:t>
            </w:r>
          </w:p>
        </w:tc>
        <w:tc>
          <w:tcPr>
            <w:tcW w:w="1871" w:type="dxa"/>
            <w:tcBorders>
              <w:bottom w:val="nil"/>
            </w:tcBorders>
            <w:noWrap/>
            <w:vAlign w:val="center"/>
            <w:hideMark/>
          </w:tcPr>
          <w:p w14:paraId="09524AE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313 (36.7)</w:t>
            </w:r>
          </w:p>
        </w:tc>
        <w:tc>
          <w:tcPr>
            <w:tcW w:w="1399" w:type="dxa"/>
            <w:tcBorders>
              <w:bottom w:val="nil"/>
            </w:tcBorders>
            <w:noWrap/>
            <w:vAlign w:val="center"/>
            <w:hideMark/>
          </w:tcPr>
          <w:p w14:paraId="350F61AC" w14:textId="77777777" w:rsidR="00CA04BD" w:rsidRPr="00C90B6F" w:rsidRDefault="00CA04BD" w:rsidP="00B128F8">
            <w:pPr>
              <w:ind w:firstLine="720"/>
              <w:jc w:val="center"/>
              <w:rPr>
                <w:rFonts w:ascii="Times New Roman" w:hAnsi="Times New Roman" w:cs="Times New Roman"/>
              </w:rPr>
            </w:pPr>
          </w:p>
        </w:tc>
      </w:tr>
      <w:tr w:rsidR="00CA04BD" w:rsidRPr="00C90B6F" w14:paraId="633CE3EC" w14:textId="77777777" w:rsidTr="00B128F8">
        <w:trPr>
          <w:trHeight w:val="320"/>
        </w:trPr>
        <w:tc>
          <w:tcPr>
            <w:tcW w:w="2616" w:type="dxa"/>
            <w:tcBorders>
              <w:top w:val="nil"/>
              <w:bottom w:val="nil"/>
            </w:tcBorders>
            <w:noWrap/>
            <w:vAlign w:val="center"/>
            <w:hideMark/>
          </w:tcPr>
          <w:p w14:paraId="12F9B436"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Cardiovascular Dis.</w:t>
            </w:r>
          </w:p>
        </w:tc>
        <w:tc>
          <w:tcPr>
            <w:tcW w:w="2284" w:type="dxa"/>
            <w:tcBorders>
              <w:top w:val="nil"/>
              <w:bottom w:val="nil"/>
            </w:tcBorders>
            <w:noWrap/>
            <w:vAlign w:val="center"/>
            <w:hideMark/>
          </w:tcPr>
          <w:p w14:paraId="10833D08"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235 (25.6)</w:t>
            </w:r>
          </w:p>
        </w:tc>
        <w:tc>
          <w:tcPr>
            <w:tcW w:w="1899" w:type="dxa"/>
            <w:tcBorders>
              <w:top w:val="nil"/>
              <w:bottom w:val="nil"/>
            </w:tcBorders>
            <w:noWrap/>
            <w:vAlign w:val="center"/>
            <w:hideMark/>
          </w:tcPr>
          <w:p w14:paraId="15C9255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11 (20.4)</w:t>
            </w:r>
          </w:p>
        </w:tc>
        <w:tc>
          <w:tcPr>
            <w:tcW w:w="1871" w:type="dxa"/>
            <w:tcBorders>
              <w:top w:val="nil"/>
              <w:bottom w:val="nil"/>
            </w:tcBorders>
            <w:noWrap/>
            <w:vAlign w:val="center"/>
            <w:hideMark/>
          </w:tcPr>
          <w:p w14:paraId="60AA2E61"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224 (25.9)</w:t>
            </w:r>
          </w:p>
        </w:tc>
        <w:tc>
          <w:tcPr>
            <w:tcW w:w="1399" w:type="dxa"/>
            <w:tcBorders>
              <w:top w:val="nil"/>
              <w:bottom w:val="nil"/>
            </w:tcBorders>
            <w:noWrap/>
            <w:vAlign w:val="center"/>
            <w:hideMark/>
          </w:tcPr>
          <w:p w14:paraId="7BC22CC8" w14:textId="77777777" w:rsidR="00CA04BD" w:rsidRPr="00C90B6F" w:rsidRDefault="00CA04BD" w:rsidP="00B128F8">
            <w:pPr>
              <w:ind w:firstLine="720"/>
              <w:jc w:val="center"/>
              <w:rPr>
                <w:rFonts w:ascii="Times New Roman" w:hAnsi="Times New Roman" w:cs="Times New Roman"/>
              </w:rPr>
            </w:pPr>
          </w:p>
        </w:tc>
      </w:tr>
      <w:tr w:rsidR="00CA04BD" w:rsidRPr="00C90B6F" w14:paraId="0A1A51CF" w14:textId="77777777" w:rsidTr="00B128F8">
        <w:trPr>
          <w:trHeight w:val="320"/>
        </w:trPr>
        <w:tc>
          <w:tcPr>
            <w:tcW w:w="2616" w:type="dxa"/>
            <w:tcBorders>
              <w:top w:val="nil"/>
              <w:bottom w:val="single" w:sz="4" w:space="0" w:color="auto"/>
            </w:tcBorders>
            <w:noWrap/>
            <w:vAlign w:val="center"/>
            <w:hideMark/>
          </w:tcPr>
          <w:p w14:paraId="3200CAE6" w14:textId="77777777" w:rsidR="00CA04BD" w:rsidRPr="00C90B6F" w:rsidRDefault="00CA04BD" w:rsidP="00B128F8">
            <w:pPr>
              <w:ind w:firstLine="720"/>
              <w:rPr>
                <w:rFonts w:ascii="Times New Roman" w:hAnsi="Times New Roman" w:cs="Times New Roman"/>
              </w:rPr>
            </w:pPr>
            <w:r w:rsidRPr="00C90B6F">
              <w:rPr>
                <w:rFonts w:ascii="Times New Roman" w:hAnsi="Times New Roman" w:cs="Times New Roman"/>
              </w:rPr>
              <w:t>Other</w:t>
            </w:r>
          </w:p>
        </w:tc>
        <w:tc>
          <w:tcPr>
            <w:tcW w:w="2284" w:type="dxa"/>
            <w:tcBorders>
              <w:top w:val="nil"/>
              <w:bottom w:val="single" w:sz="4" w:space="0" w:color="auto"/>
            </w:tcBorders>
            <w:noWrap/>
            <w:vAlign w:val="center"/>
            <w:hideMark/>
          </w:tcPr>
          <w:p w14:paraId="63749E30"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403 (38.0)</w:t>
            </w:r>
          </w:p>
        </w:tc>
        <w:tc>
          <w:tcPr>
            <w:tcW w:w="1899" w:type="dxa"/>
            <w:tcBorders>
              <w:top w:val="nil"/>
              <w:bottom w:val="single" w:sz="4" w:space="0" w:color="auto"/>
            </w:tcBorders>
            <w:noWrap/>
            <w:vAlign w:val="center"/>
            <w:hideMark/>
          </w:tcPr>
          <w:p w14:paraId="0BE57FF7"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41 (47.7)</w:t>
            </w:r>
          </w:p>
        </w:tc>
        <w:tc>
          <w:tcPr>
            <w:tcW w:w="1871" w:type="dxa"/>
            <w:tcBorders>
              <w:top w:val="nil"/>
              <w:bottom w:val="single" w:sz="4" w:space="0" w:color="auto"/>
            </w:tcBorders>
            <w:noWrap/>
            <w:vAlign w:val="center"/>
            <w:hideMark/>
          </w:tcPr>
          <w:p w14:paraId="7E6AE91D" w14:textId="77777777" w:rsidR="00CA04BD" w:rsidRPr="00C90B6F" w:rsidRDefault="00CA04BD" w:rsidP="00B128F8">
            <w:pPr>
              <w:jc w:val="center"/>
              <w:rPr>
                <w:rFonts w:ascii="Times New Roman" w:hAnsi="Times New Roman" w:cs="Times New Roman"/>
              </w:rPr>
            </w:pPr>
            <w:r w:rsidRPr="00C90B6F">
              <w:rPr>
                <w:rFonts w:ascii="Times New Roman" w:hAnsi="Times New Roman" w:cs="Times New Roman"/>
              </w:rPr>
              <w:t>362 (37.4)</w:t>
            </w:r>
          </w:p>
        </w:tc>
        <w:tc>
          <w:tcPr>
            <w:tcW w:w="1399" w:type="dxa"/>
            <w:tcBorders>
              <w:top w:val="nil"/>
              <w:bottom w:val="single" w:sz="4" w:space="0" w:color="auto"/>
            </w:tcBorders>
            <w:noWrap/>
            <w:vAlign w:val="center"/>
            <w:hideMark/>
          </w:tcPr>
          <w:p w14:paraId="667DFB30" w14:textId="77777777" w:rsidR="00CA04BD" w:rsidRPr="00C90B6F" w:rsidRDefault="00CA04BD" w:rsidP="00B128F8">
            <w:pPr>
              <w:ind w:firstLine="720"/>
              <w:jc w:val="center"/>
              <w:rPr>
                <w:rFonts w:ascii="Times New Roman" w:hAnsi="Times New Roman" w:cs="Times New Roman"/>
              </w:rPr>
            </w:pPr>
          </w:p>
        </w:tc>
      </w:tr>
      <w:tr w:rsidR="00CA04BD" w:rsidRPr="00C90B6F" w14:paraId="22D89D88" w14:textId="77777777" w:rsidTr="00B128F8">
        <w:trPr>
          <w:trHeight w:val="320"/>
        </w:trPr>
        <w:tc>
          <w:tcPr>
            <w:tcW w:w="10069" w:type="dxa"/>
            <w:gridSpan w:val="5"/>
            <w:tcBorders>
              <w:top w:val="single" w:sz="4" w:space="0" w:color="auto"/>
              <w:left w:val="nil"/>
              <w:bottom w:val="nil"/>
              <w:right w:val="nil"/>
            </w:tcBorders>
            <w:noWrap/>
          </w:tcPr>
          <w:p w14:paraId="2EC11EDC" w14:textId="77777777" w:rsidR="00CA04BD" w:rsidRPr="00C90B6F" w:rsidRDefault="00CA04BD" w:rsidP="00B128F8">
            <w:pPr>
              <w:rPr>
                <w:rFonts w:ascii="Times New Roman" w:eastAsia="Calibri" w:hAnsi="Times New Roman" w:cs="Times New Roman"/>
              </w:rPr>
            </w:pPr>
            <w:r w:rsidRPr="00C90B6F">
              <w:rPr>
                <w:rFonts w:ascii="Times New Roman" w:eastAsia="Calibri" w:hAnsi="Times New Roman" w:cs="Times New Roman"/>
              </w:rPr>
              <w:t>Percentages may not add to 100% given rounding.</w:t>
            </w:r>
          </w:p>
          <w:p w14:paraId="41C99B4A" w14:textId="77777777" w:rsidR="00CA04BD" w:rsidRPr="00C90B6F" w:rsidRDefault="00CA04BD" w:rsidP="00B128F8">
            <w:pPr>
              <w:rPr>
                <w:rFonts w:ascii="Times New Roman" w:eastAsia="+mn-ea" w:hAnsi="Times New Roman" w:cs="Times New Roman"/>
              </w:rPr>
            </w:pPr>
            <w:r w:rsidRPr="00C90B6F">
              <w:rPr>
                <w:rFonts w:ascii="Times New Roman" w:eastAsia="+mn-ea" w:hAnsi="Times New Roman" w:cs="Times New Roman"/>
                <w:i/>
                <w:iCs/>
              </w:rPr>
              <w:t>p-</w:t>
            </w:r>
            <w:r w:rsidRPr="00C90B6F">
              <w:rPr>
                <w:rFonts w:ascii="Times New Roman" w:eastAsia="+mn-ea" w:hAnsi="Times New Roman" w:cs="Times New Roman"/>
              </w:rPr>
              <w:t xml:space="preserve">values are from </w:t>
            </w:r>
            <m:oMath>
              <m:sSup>
                <m:sSupPr>
                  <m:ctrlPr>
                    <w:rPr>
                      <w:rFonts w:ascii="Cambria Math" w:eastAsia="+mn-ea" w:hAnsi="Cambria Math" w:cs="Times New Roman"/>
                      <w:i/>
                    </w:rPr>
                  </m:ctrlPr>
                </m:sSupPr>
                <m:e>
                  <m:r>
                    <w:rPr>
                      <w:rFonts w:ascii="Cambria Math" w:eastAsia="+mn-ea" w:hAnsi="Cambria Math" w:cs="Times New Roman"/>
                    </w:rPr>
                    <m:t>χ</m:t>
                  </m:r>
                </m:e>
                <m:sup>
                  <m:r>
                    <w:rPr>
                      <w:rFonts w:ascii="Cambria Math" w:eastAsia="+mn-ea" w:hAnsi="Cambria Math" w:cs="Times New Roman"/>
                    </w:rPr>
                    <m:t>2</m:t>
                  </m:r>
                </m:sup>
              </m:sSup>
              <m:r>
                <w:rPr>
                  <w:rFonts w:ascii="Cambria Math" w:eastAsia="+mn-ea" w:hAnsi="Cambria Math" w:cs="Times New Roman"/>
                </w:rPr>
                <m:t xml:space="preserve"> </m:t>
              </m:r>
            </m:oMath>
            <w:r w:rsidRPr="00C90B6F">
              <w:rPr>
                <w:rFonts w:ascii="Times New Roman" w:eastAsia="+mn-ea" w:hAnsi="Times New Roman" w:cs="Times New Roman"/>
              </w:rPr>
              <w:t xml:space="preserve">tests for categorical variables and </w:t>
            </w:r>
            <w:r w:rsidRPr="00C90B6F">
              <w:rPr>
                <w:rFonts w:ascii="Times New Roman" w:eastAsia="+mn-ea" w:hAnsi="Times New Roman" w:cs="Times New Roman"/>
                <w:i/>
                <w:iCs/>
              </w:rPr>
              <w:t>t</w:t>
            </w:r>
            <w:r w:rsidRPr="00C90B6F">
              <w:rPr>
                <w:rFonts w:ascii="Times New Roman" w:eastAsia="+mn-ea" w:hAnsi="Times New Roman" w:cs="Times New Roman"/>
              </w:rPr>
              <w:t>-tests for continuous variables.</w:t>
            </w:r>
          </w:p>
          <w:p w14:paraId="6E5736A7" w14:textId="77777777" w:rsidR="00CA04BD" w:rsidRPr="00C90B6F" w:rsidRDefault="00CA04BD" w:rsidP="00B128F8">
            <w:pPr>
              <w:rPr>
                <w:rFonts w:ascii="Times New Roman" w:hAnsi="Times New Roman" w:cs="Times New Roman"/>
              </w:rPr>
            </w:pPr>
            <w:r w:rsidRPr="00C90B6F">
              <w:rPr>
                <w:rFonts w:ascii="Times New Roman" w:hAnsi="Times New Roman" w:cs="Times New Roman"/>
              </w:rPr>
              <w:t>Subjects were weighted, and the analysis was performed according to NCHS guidelines.</w:t>
            </w:r>
          </w:p>
        </w:tc>
      </w:tr>
    </w:tbl>
    <w:p w14:paraId="6B201D6E" w14:textId="77777777" w:rsidR="00CA04BD" w:rsidRDefault="00CA04BD" w:rsidP="00CA04BD">
      <w:pPr>
        <w:spacing w:line="360" w:lineRule="auto"/>
        <w:rPr>
          <w:rFonts w:ascii="Times New Roman" w:hAnsi="Times New Roman" w:cs="Times New Roman"/>
        </w:rPr>
      </w:pPr>
    </w:p>
    <w:p w14:paraId="4A15F98D" w14:textId="77777777" w:rsidR="00CA04BD" w:rsidRDefault="00CA04BD" w:rsidP="00CA04BD">
      <w:pPr>
        <w:spacing w:line="360" w:lineRule="auto"/>
        <w:rPr>
          <w:rFonts w:ascii="Times New Roman" w:hAnsi="Times New Roman" w:cs="Times New Roman"/>
        </w:rPr>
      </w:pPr>
    </w:p>
    <w:p w14:paraId="481361FA" w14:textId="77777777" w:rsidR="00CA04BD" w:rsidRDefault="00CA04BD" w:rsidP="00CA04BD">
      <w:pPr>
        <w:spacing w:line="360" w:lineRule="auto"/>
        <w:rPr>
          <w:rFonts w:ascii="Times New Roman" w:hAnsi="Times New Roman" w:cs="Times New Roman"/>
        </w:rPr>
      </w:pPr>
    </w:p>
    <w:p w14:paraId="2AA27FCD" w14:textId="77777777" w:rsidR="00CA04BD" w:rsidRDefault="00CA04BD" w:rsidP="00CA04BD">
      <w:pPr>
        <w:spacing w:line="360" w:lineRule="auto"/>
        <w:rPr>
          <w:rFonts w:ascii="Times New Roman" w:hAnsi="Times New Roman" w:cs="Times New Roman"/>
        </w:rPr>
      </w:pPr>
    </w:p>
    <w:p w14:paraId="370D95FE" w14:textId="77777777" w:rsidR="00CA04BD" w:rsidRDefault="00CA04BD" w:rsidP="00CA04BD">
      <w:pPr>
        <w:spacing w:line="360" w:lineRule="auto"/>
        <w:rPr>
          <w:rFonts w:ascii="Times New Roman" w:hAnsi="Times New Roman" w:cs="Times New Roman"/>
        </w:rPr>
      </w:pPr>
    </w:p>
    <w:p w14:paraId="1F4005CB" w14:textId="77777777" w:rsidR="00CA04BD" w:rsidRDefault="00CA04BD" w:rsidP="00CA04BD">
      <w:pPr>
        <w:spacing w:line="360" w:lineRule="auto"/>
        <w:rPr>
          <w:rFonts w:ascii="Times New Roman" w:hAnsi="Times New Roman" w:cs="Times New Roman"/>
        </w:rPr>
      </w:pPr>
    </w:p>
    <w:p w14:paraId="762B1263" w14:textId="77777777" w:rsidR="00CA04BD" w:rsidRDefault="00CA04BD" w:rsidP="00CA04BD">
      <w:pPr>
        <w:spacing w:line="360" w:lineRule="auto"/>
        <w:rPr>
          <w:rFonts w:ascii="Times New Roman" w:hAnsi="Times New Roman" w:cs="Times New Roman"/>
        </w:rPr>
      </w:pPr>
    </w:p>
    <w:p w14:paraId="6D6D5167" w14:textId="77777777" w:rsidR="00CA04BD" w:rsidRDefault="00CA04BD" w:rsidP="00CA04BD">
      <w:pPr>
        <w:spacing w:line="360" w:lineRule="auto"/>
        <w:rPr>
          <w:rFonts w:ascii="Times New Roman" w:hAnsi="Times New Roman" w:cs="Times New Roman"/>
        </w:rPr>
      </w:pPr>
    </w:p>
    <w:p w14:paraId="15D8DCEC" w14:textId="77777777" w:rsidR="00CA04BD" w:rsidRDefault="00CA04BD" w:rsidP="00CA04BD">
      <w:pPr>
        <w:spacing w:line="360" w:lineRule="auto"/>
        <w:rPr>
          <w:rFonts w:ascii="Times New Roman" w:hAnsi="Times New Roman" w:cs="Times New Roman"/>
        </w:rPr>
      </w:pPr>
    </w:p>
    <w:p w14:paraId="3BA010FE" w14:textId="77777777" w:rsidR="00CA04BD" w:rsidRDefault="00CA04BD" w:rsidP="00CA04BD">
      <w:pPr>
        <w:spacing w:line="360" w:lineRule="auto"/>
        <w:rPr>
          <w:rFonts w:ascii="Times New Roman" w:hAnsi="Times New Roman" w:cs="Times New Roman"/>
        </w:rPr>
      </w:pPr>
    </w:p>
    <w:p w14:paraId="06B8B027" w14:textId="77777777" w:rsidR="00CA04BD" w:rsidRDefault="00CA04BD" w:rsidP="00CA04BD">
      <w:pPr>
        <w:spacing w:line="360" w:lineRule="auto"/>
        <w:rPr>
          <w:rFonts w:ascii="Times New Roman" w:hAnsi="Times New Roman" w:cs="Times New Roman"/>
        </w:rPr>
      </w:pPr>
    </w:p>
    <w:p w14:paraId="764A6D68" w14:textId="77777777" w:rsidR="00CA04BD" w:rsidRDefault="00CA04BD" w:rsidP="00CA04BD">
      <w:pPr>
        <w:spacing w:line="360" w:lineRule="auto"/>
        <w:rPr>
          <w:rFonts w:ascii="Times New Roman" w:hAnsi="Times New Roman" w:cs="Times New Roman"/>
        </w:rPr>
      </w:pPr>
    </w:p>
    <w:p w14:paraId="20541330" w14:textId="77777777" w:rsidR="00CA04BD" w:rsidRDefault="00CA04BD" w:rsidP="00CA04BD">
      <w:pPr>
        <w:spacing w:line="360" w:lineRule="auto"/>
        <w:rPr>
          <w:rFonts w:ascii="Times New Roman" w:hAnsi="Times New Roman" w:cs="Times New Roman"/>
        </w:rPr>
      </w:pPr>
    </w:p>
    <w:p w14:paraId="5470DB33" w14:textId="77777777" w:rsidR="00CA04BD" w:rsidRDefault="00CA04BD" w:rsidP="00CA04BD">
      <w:pPr>
        <w:spacing w:line="360" w:lineRule="auto"/>
        <w:rPr>
          <w:rFonts w:ascii="Times New Roman" w:hAnsi="Times New Roman" w:cs="Times New Roman"/>
        </w:rPr>
      </w:pPr>
    </w:p>
    <w:p w14:paraId="0896074D" w14:textId="77777777" w:rsidR="00CA04BD" w:rsidRDefault="00CA04BD" w:rsidP="00CA04BD">
      <w:pPr>
        <w:spacing w:line="360" w:lineRule="auto"/>
        <w:rPr>
          <w:rFonts w:ascii="Times New Roman" w:hAnsi="Times New Roman" w:cs="Times New Roman"/>
        </w:rPr>
      </w:pPr>
    </w:p>
    <w:p w14:paraId="7EA2CB4B" w14:textId="77777777" w:rsidR="00CA04BD" w:rsidRDefault="00CA04BD" w:rsidP="00CA04BD">
      <w:pPr>
        <w:spacing w:line="360" w:lineRule="auto"/>
        <w:rPr>
          <w:rFonts w:ascii="Times New Roman" w:hAnsi="Times New Roman" w:cs="Times New Roman"/>
        </w:rPr>
      </w:pPr>
    </w:p>
    <w:p w14:paraId="465DF089" w14:textId="77777777" w:rsidR="00CA04BD" w:rsidRDefault="00CA04BD" w:rsidP="00CA04BD">
      <w:pPr>
        <w:spacing w:line="360" w:lineRule="auto"/>
        <w:rPr>
          <w:rFonts w:ascii="Times New Roman" w:hAnsi="Times New Roman" w:cs="Times New Roman"/>
        </w:rPr>
      </w:pPr>
    </w:p>
    <w:p w14:paraId="1CE18E04" w14:textId="77777777" w:rsidR="00CA04BD" w:rsidRDefault="00CA04BD" w:rsidP="00CA04BD">
      <w:pPr>
        <w:spacing w:line="360" w:lineRule="auto"/>
        <w:rPr>
          <w:rFonts w:ascii="Times New Roman" w:hAnsi="Times New Roman" w:cs="Times New Roman"/>
        </w:rPr>
      </w:pPr>
    </w:p>
    <w:p w14:paraId="1411E58E" w14:textId="77777777" w:rsidR="00CA04BD" w:rsidRDefault="00CA04BD" w:rsidP="00CA04BD">
      <w:pPr>
        <w:spacing w:line="360" w:lineRule="auto"/>
        <w:rPr>
          <w:rFonts w:ascii="Times New Roman" w:hAnsi="Times New Roman" w:cs="Times New Roman"/>
        </w:rPr>
      </w:pPr>
    </w:p>
    <w:p w14:paraId="0DA0319C" w14:textId="77777777" w:rsidR="00CA04BD" w:rsidRDefault="00CA04BD" w:rsidP="00CA04BD">
      <w:pPr>
        <w:spacing w:line="360" w:lineRule="auto"/>
        <w:rPr>
          <w:rFonts w:ascii="Times New Roman" w:hAnsi="Times New Roman" w:cs="Times New Roman"/>
        </w:rPr>
      </w:pPr>
    </w:p>
    <w:p w14:paraId="559BE9EA" w14:textId="77777777" w:rsidR="00CA04BD" w:rsidRDefault="00CA04BD" w:rsidP="00CA04BD">
      <w:pPr>
        <w:spacing w:line="360" w:lineRule="auto"/>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3D0BC99C" wp14:editId="084235B3">
                <wp:simplePos x="0" y="0"/>
                <wp:positionH relativeFrom="column">
                  <wp:posOffset>-838200</wp:posOffset>
                </wp:positionH>
                <wp:positionV relativeFrom="paragraph">
                  <wp:posOffset>-821055</wp:posOffset>
                </wp:positionV>
                <wp:extent cx="7714034" cy="8929992"/>
                <wp:effectExtent l="0" t="0" r="0" b="0"/>
                <wp:wrapNone/>
                <wp:docPr id="1628357051" name="Text Box 1628357051"/>
                <wp:cNvGraphicFramePr/>
                <a:graphic xmlns:a="http://schemas.openxmlformats.org/drawingml/2006/main">
                  <a:graphicData uri="http://schemas.microsoft.com/office/word/2010/wordprocessingShape">
                    <wps:wsp>
                      <wps:cNvSpPr txBox="1"/>
                      <wps:spPr>
                        <a:xfrm>
                          <a:off x="0" y="0"/>
                          <a:ext cx="7714034" cy="8929992"/>
                        </a:xfrm>
                        <a:prstGeom prst="rect">
                          <a:avLst/>
                        </a:prstGeom>
                        <a:solidFill>
                          <a:schemeClr val="lt1"/>
                        </a:solidFill>
                        <a:ln w="6350">
                          <a:noFill/>
                        </a:ln>
                      </wps:spPr>
                      <wps:txb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CA04BD" w:rsidRPr="00B51CDF" w14:paraId="754B1154" w14:textId="77777777"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D2310DE" w14:textId="77777777" w:rsidR="00CA04BD" w:rsidRDefault="00CA04BD"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CA04BD" w:rsidRPr="00B51CDF" w14:paraId="61889B83" w14:textId="77777777" w:rsidTr="001A7F3A">
                              <w:tc>
                                <w:tcPr>
                                  <w:tcW w:w="2187" w:type="dxa"/>
                                  <w:tcBorders>
                                    <w:top w:val="single" w:sz="8" w:space="0" w:color="auto"/>
                                    <w:left w:val="single" w:sz="4" w:space="0" w:color="auto"/>
                                    <w:bottom w:val="single" w:sz="4" w:space="0" w:color="auto"/>
                                  </w:tcBorders>
                                  <w:shd w:val="clear" w:color="auto" w:fill="auto"/>
                                  <w:vAlign w:val="center"/>
                                </w:tcPr>
                                <w:p w14:paraId="5BE4A6F2" w14:textId="77777777" w:rsidR="00CA04BD" w:rsidRPr="00B51CDF" w:rsidRDefault="00CA04BD"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6DE56D40"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59D1A34"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4702EA5F"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55E6222A"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8B9956C" w14:textId="77777777" w:rsidR="00CA04BD" w:rsidRPr="00B51CDF" w:rsidRDefault="00CA04BD"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02A64D38" w14:textId="77777777" w:rsidR="00CA04BD" w:rsidRPr="00B51CDF" w:rsidRDefault="00CA04BD"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40ED0FEC" w14:textId="77777777" w:rsidR="00CA04BD" w:rsidRPr="001A7F3A" w:rsidRDefault="00CA04BD"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CA04BD" w:rsidRPr="00B51CDF" w14:paraId="0085EED5" w14:textId="77777777" w:rsidTr="001A7F3A">
                              <w:tc>
                                <w:tcPr>
                                  <w:tcW w:w="2187" w:type="dxa"/>
                                  <w:tcBorders>
                                    <w:top w:val="single" w:sz="4" w:space="0" w:color="auto"/>
                                    <w:left w:val="single" w:sz="4" w:space="0" w:color="auto"/>
                                    <w:bottom w:val="single" w:sz="4" w:space="0" w:color="auto"/>
                                  </w:tcBorders>
                                  <w:shd w:val="clear" w:color="auto" w:fill="auto"/>
                                  <w:vAlign w:val="center"/>
                                </w:tcPr>
                                <w:p w14:paraId="50C2EC12" w14:textId="77777777" w:rsidR="00CA04BD" w:rsidRPr="00B51CDF" w:rsidRDefault="00CA04BD"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0E75590" w14:textId="77777777" w:rsidR="00CA04BD" w:rsidRPr="00B51CDF" w:rsidRDefault="00CA04BD"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5CA6C27" w14:textId="77777777" w:rsidR="00CA04BD" w:rsidRPr="00B51CDF" w:rsidRDefault="00CA04BD"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61A3CACA" w14:textId="77777777" w:rsidR="00CA04BD" w:rsidRPr="00B51CDF" w:rsidRDefault="00CA04BD"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3A7912E" w14:textId="77777777" w:rsidR="00CA04BD" w:rsidRPr="00B51CDF" w:rsidRDefault="00CA04BD"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E797DD5" w14:textId="77777777" w:rsidR="00CA04BD" w:rsidRPr="00B51CDF" w:rsidRDefault="00CA04BD"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05DD3258" w14:textId="77777777" w:rsidR="00CA04BD" w:rsidRPr="00B51CDF" w:rsidRDefault="00CA04BD"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11E104E8" w14:textId="77777777" w:rsidR="00CA04BD" w:rsidRPr="00B51CDF" w:rsidRDefault="00CA04BD" w:rsidP="00061216">
                                  <w:pPr>
                                    <w:spacing w:line="360" w:lineRule="auto"/>
                                    <w:rPr>
                                      <w:rFonts w:ascii="Times New Roman" w:hAnsi="Times New Roman" w:cs="Times New Roman"/>
                                      <w:sz w:val="20"/>
                                      <w:szCs w:val="20"/>
                                    </w:rPr>
                                  </w:pPr>
                                </w:p>
                              </w:tc>
                            </w:tr>
                            <w:tr w:rsidR="00CA04BD" w:rsidRPr="00B51CDF" w14:paraId="1011FE0B" w14:textId="77777777" w:rsidTr="001A7F3A">
                              <w:tc>
                                <w:tcPr>
                                  <w:tcW w:w="2187" w:type="dxa"/>
                                  <w:tcBorders>
                                    <w:top w:val="single" w:sz="4" w:space="0" w:color="auto"/>
                                    <w:left w:val="single" w:sz="4" w:space="0" w:color="auto"/>
                                    <w:bottom w:val="nil"/>
                                  </w:tcBorders>
                                  <w:shd w:val="clear" w:color="auto" w:fill="auto"/>
                                  <w:vAlign w:val="center"/>
                                </w:tcPr>
                                <w:p w14:paraId="2D281DD9"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770DD7B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9194A3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A40907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9F334C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323D2A7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6F93AF9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0FC4E857"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CA04BD" w:rsidRPr="00B51CDF" w14:paraId="54ADB90E" w14:textId="77777777" w:rsidTr="001A7F3A">
                              <w:tc>
                                <w:tcPr>
                                  <w:tcW w:w="2187" w:type="dxa"/>
                                  <w:tcBorders>
                                    <w:top w:val="nil"/>
                                    <w:left w:val="single" w:sz="4" w:space="0" w:color="auto"/>
                                    <w:bottom w:val="nil"/>
                                  </w:tcBorders>
                                  <w:shd w:val="clear" w:color="auto" w:fill="auto"/>
                                  <w:vAlign w:val="center"/>
                                </w:tcPr>
                                <w:p w14:paraId="1D4B9476"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778B29A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0C949F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26D34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2D8543F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6C8DDC8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195334C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281BFC60"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CA04BD" w:rsidRPr="00B51CDF" w14:paraId="20375194" w14:textId="77777777" w:rsidTr="001A7F3A">
                              <w:tc>
                                <w:tcPr>
                                  <w:tcW w:w="2187" w:type="dxa"/>
                                  <w:tcBorders>
                                    <w:top w:val="nil"/>
                                    <w:left w:val="single" w:sz="4" w:space="0" w:color="auto"/>
                                    <w:bottom w:val="nil"/>
                                  </w:tcBorders>
                                  <w:shd w:val="clear" w:color="auto" w:fill="auto"/>
                                  <w:vAlign w:val="center"/>
                                </w:tcPr>
                                <w:p w14:paraId="27A1212F"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B82CC6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3E8A4C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5F06F90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298D6AD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3148DBB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532240B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6418A323"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CA04BD" w:rsidRPr="00B51CDF" w14:paraId="3C250E00" w14:textId="77777777" w:rsidTr="001A7F3A">
                              <w:tc>
                                <w:tcPr>
                                  <w:tcW w:w="2187" w:type="dxa"/>
                                  <w:tcBorders>
                                    <w:top w:val="nil"/>
                                    <w:left w:val="single" w:sz="4" w:space="0" w:color="auto"/>
                                    <w:bottom w:val="nil"/>
                                  </w:tcBorders>
                                  <w:shd w:val="clear" w:color="auto" w:fill="auto"/>
                                  <w:vAlign w:val="center"/>
                                </w:tcPr>
                                <w:p w14:paraId="054168C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395D046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07F2ED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6A351A9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249F1F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39D3714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7FADC2F9"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481DD945"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CA04BD" w:rsidRPr="00B51CDF" w14:paraId="7A7B1173" w14:textId="77777777" w:rsidTr="001A7F3A">
                              <w:tc>
                                <w:tcPr>
                                  <w:tcW w:w="2187" w:type="dxa"/>
                                  <w:tcBorders>
                                    <w:top w:val="nil"/>
                                    <w:left w:val="single" w:sz="4" w:space="0" w:color="auto"/>
                                    <w:bottom w:val="nil"/>
                                  </w:tcBorders>
                                  <w:shd w:val="clear" w:color="auto" w:fill="auto"/>
                                  <w:vAlign w:val="center"/>
                                </w:tcPr>
                                <w:p w14:paraId="7496D8FC"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5A0F243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1ED6F1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5CCC34D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2113709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01D27CC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030A0C8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338E7068"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CA04BD" w:rsidRPr="00B51CDF" w14:paraId="6BE33AF7" w14:textId="77777777" w:rsidTr="001A7F3A">
                              <w:tc>
                                <w:tcPr>
                                  <w:tcW w:w="2187" w:type="dxa"/>
                                  <w:tcBorders>
                                    <w:top w:val="nil"/>
                                    <w:left w:val="single" w:sz="4" w:space="0" w:color="auto"/>
                                    <w:bottom w:val="nil"/>
                                  </w:tcBorders>
                                  <w:shd w:val="clear" w:color="auto" w:fill="auto"/>
                                  <w:vAlign w:val="center"/>
                                </w:tcPr>
                                <w:p w14:paraId="5E5972DE"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2898A5D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031FC26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7471252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3AB5D8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02FE77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58CFE83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3B0C8F53"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CA04BD" w:rsidRPr="00B51CDF" w14:paraId="24DE528D" w14:textId="77777777" w:rsidTr="001A7F3A">
                              <w:tc>
                                <w:tcPr>
                                  <w:tcW w:w="2187" w:type="dxa"/>
                                  <w:tcBorders>
                                    <w:top w:val="nil"/>
                                    <w:left w:val="single" w:sz="4" w:space="0" w:color="auto"/>
                                    <w:bottom w:val="nil"/>
                                  </w:tcBorders>
                                  <w:shd w:val="clear" w:color="auto" w:fill="auto"/>
                                  <w:vAlign w:val="center"/>
                                </w:tcPr>
                                <w:p w14:paraId="075A1171"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255BCB5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D9446F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4C72FEF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AD35E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79F8F03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5E25964C"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6303D3B9"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CA04BD" w:rsidRPr="00B51CDF" w14:paraId="59828966" w14:textId="77777777" w:rsidTr="001A7F3A">
                              <w:tc>
                                <w:tcPr>
                                  <w:tcW w:w="2187" w:type="dxa"/>
                                  <w:tcBorders>
                                    <w:top w:val="nil"/>
                                    <w:left w:val="single" w:sz="4" w:space="0" w:color="auto"/>
                                    <w:bottom w:val="nil"/>
                                  </w:tcBorders>
                                  <w:shd w:val="clear" w:color="auto" w:fill="auto"/>
                                  <w:vAlign w:val="center"/>
                                </w:tcPr>
                                <w:p w14:paraId="0011A5BF"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0103E8B"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4A3C302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20FADC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2E8B20F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2A7D2E0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1F5BA22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19688351"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CA04BD" w:rsidRPr="00B51CDF" w14:paraId="44388F3A" w14:textId="77777777" w:rsidTr="001A7F3A">
                              <w:tc>
                                <w:tcPr>
                                  <w:tcW w:w="2187" w:type="dxa"/>
                                  <w:tcBorders>
                                    <w:top w:val="nil"/>
                                    <w:left w:val="single" w:sz="4" w:space="0" w:color="auto"/>
                                    <w:bottom w:val="nil"/>
                                  </w:tcBorders>
                                  <w:shd w:val="clear" w:color="auto" w:fill="auto"/>
                                  <w:vAlign w:val="center"/>
                                </w:tcPr>
                                <w:p w14:paraId="7FDDF920"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01AB301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F61D38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06FCB9B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286D598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061064C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3DF75D9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55CD68C1"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CA04BD" w:rsidRPr="00B51CDF" w14:paraId="4C9D4739" w14:textId="77777777" w:rsidTr="001A7F3A">
                              <w:tc>
                                <w:tcPr>
                                  <w:tcW w:w="2187" w:type="dxa"/>
                                  <w:tcBorders>
                                    <w:top w:val="nil"/>
                                    <w:left w:val="single" w:sz="4" w:space="0" w:color="auto"/>
                                    <w:bottom w:val="nil"/>
                                  </w:tcBorders>
                                  <w:shd w:val="clear" w:color="auto" w:fill="auto"/>
                                  <w:vAlign w:val="center"/>
                                </w:tcPr>
                                <w:p w14:paraId="48DB791D"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6C22D9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25BF4D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1CCBAC2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C99014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24D3FEB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73DF1269"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FD229E0"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CA04BD" w:rsidRPr="00B51CDF" w14:paraId="0A244E7C" w14:textId="77777777" w:rsidTr="001A7F3A">
                              <w:tc>
                                <w:tcPr>
                                  <w:tcW w:w="2187" w:type="dxa"/>
                                  <w:tcBorders>
                                    <w:top w:val="nil"/>
                                    <w:left w:val="single" w:sz="4" w:space="0" w:color="auto"/>
                                    <w:bottom w:val="nil"/>
                                  </w:tcBorders>
                                  <w:shd w:val="clear" w:color="auto" w:fill="auto"/>
                                  <w:vAlign w:val="center"/>
                                </w:tcPr>
                                <w:p w14:paraId="48C22F2C"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C98802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617A2C57"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703F85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5E5A3F2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7357B1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9BFAC2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93BE74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CA04BD" w:rsidRPr="00B51CDF" w14:paraId="18928554" w14:textId="77777777" w:rsidTr="001A7F3A">
                              <w:tc>
                                <w:tcPr>
                                  <w:tcW w:w="2187" w:type="dxa"/>
                                  <w:tcBorders>
                                    <w:top w:val="nil"/>
                                    <w:left w:val="single" w:sz="4" w:space="0" w:color="auto"/>
                                    <w:bottom w:val="nil"/>
                                  </w:tcBorders>
                                  <w:shd w:val="clear" w:color="auto" w:fill="auto"/>
                                  <w:vAlign w:val="center"/>
                                </w:tcPr>
                                <w:p w14:paraId="2DE3ADCF"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128FB1F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DAB53C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0B9ED9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17DC436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78116FF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500182D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650554C9"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CA04BD" w:rsidRPr="00B51CDF" w14:paraId="7A412DD1" w14:textId="77777777" w:rsidTr="001A7F3A">
                              <w:tc>
                                <w:tcPr>
                                  <w:tcW w:w="2187" w:type="dxa"/>
                                  <w:tcBorders>
                                    <w:top w:val="nil"/>
                                    <w:left w:val="single" w:sz="4" w:space="0" w:color="auto"/>
                                    <w:bottom w:val="nil"/>
                                  </w:tcBorders>
                                  <w:shd w:val="clear" w:color="auto" w:fill="auto"/>
                                  <w:vAlign w:val="center"/>
                                </w:tcPr>
                                <w:p w14:paraId="4811A6FB"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83FBF4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7098F2C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6A7D30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5F56A51A"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A08CB3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E67A3C3"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490259F0"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CA04BD" w:rsidRPr="00B51CDF" w14:paraId="5AC2C325" w14:textId="77777777" w:rsidTr="001A7F3A">
                              <w:tc>
                                <w:tcPr>
                                  <w:tcW w:w="2187" w:type="dxa"/>
                                  <w:tcBorders>
                                    <w:top w:val="nil"/>
                                    <w:left w:val="single" w:sz="4" w:space="0" w:color="auto"/>
                                    <w:bottom w:val="nil"/>
                                  </w:tcBorders>
                                  <w:shd w:val="clear" w:color="auto" w:fill="auto"/>
                                  <w:vAlign w:val="center"/>
                                </w:tcPr>
                                <w:p w14:paraId="31879EC4"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3AE2982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1F3C69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0157D9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737F1C2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6E682DB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DAF3AD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672520E"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CA04BD" w:rsidRPr="00B51CDF" w14:paraId="549397DB" w14:textId="77777777" w:rsidTr="001A7F3A">
                              <w:tc>
                                <w:tcPr>
                                  <w:tcW w:w="2187" w:type="dxa"/>
                                  <w:tcBorders>
                                    <w:top w:val="nil"/>
                                    <w:left w:val="single" w:sz="4" w:space="0" w:color="auto"/>
                                    <w:bottom w:val="nil"/>
                                  </w:tcBorders>
                                  <w:shd w:val="clear" w:color="auto" w:fill="auto"/>
                                  <w:vAlign w:val="center"/>
                                </w:tcPr>
                                <w:p w14:paraId="7CC53708"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34DD30E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4A9151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0599BAD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5A099A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D33583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25CBE07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196F0EB3"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CA04BD" w:rsidRPr="00B51CDF" w14:paraId="432DD230" w14:textId="77777777" w:rsidTr="001A7F3A">
                              <w:tc>
                                <w:tcPr>
                                  <w:tcW w:w="2187" w:type="dxa"/>
                                  <w:tcBorders>
                                    <w:top w:val="nil"/>
                                    <w:left w:val="single" w:sz="4" w:space="0" w:color="auto"/>
                                    <w:bottom w:val="nil"/>
                                  </w:tcBorders>
                                  <w:shd w:val="clear" w:color="auto" w:fill="auto"/>
                                  <w:vAlign w:val="center"/>
                                </w:tcPr>
                                <w:p w14:paraId="3D359A8E"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4C7705F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0D2BA58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E7AD223"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28DC603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964974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130BF1C2"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4C46621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CA04BD" w:rsidRPr="00B51CDF" w14:paraId="019D2829" w14:textId="77777777" w:rsidTr="001A7F3A">
                              <w:tc>
                                <w:tcPr>
                                  <w:tcW w:w="2187" w:type="dxa"/>
                                  <w:tcBorders>
                                    <w:top w:val="nil"/>
                                    <w:left w:val="single" w:sz="4" w:space="0" w:color="auto"/>
                                    <w:bottom w:val="nil"/>
                                  </w:tcBorders>
                                  <w:shd w:val="clear" w:color="auto" w:fill="auto"/>
                                  <w:vAlign w:val="center"/>
                                </w:tcPr>
                                <w:p w14:paraId="4FE5605E"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DAEC35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488247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5EABC00"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693B014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7ACB9E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5864230A"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14A10DDA"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CA04BD" w:rsidRPr="00B51CDF" w14:paraId="64A48BE1" w14:textId="77777777" w:rsidTr="001A7F3A">
                              <w:tc>
                                <w:tcPr>
                                  <w:tcW w:w="2187" w:type="dxa"/>
                                  <w:tcBorders>
                                    <w:top w:val="nil"/>
                                    <w:left w:val="single" w:sz="4" w:space="0" w:color="auto"/>
                                    <w:bottom w:val="nil"/>
                                  </w:tcBorders>
                                  <w:shd w:val="clear" w:color="auto" w:fill="auto"/>
                                  <w:vAlign w:val="center"/>
                                </w:tcPr>
                                <w:p w14:paraId="051A56B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E7D1EDE"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01160A1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458CF97B"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4C4BAC37"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E1A98B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2D60888E"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6B6389A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CA04BD" w:rsidRPr="00B51CDF" w14:paraId="02D9BF1A" w14:textId="77777777" w:rsidTr="001A7F3A">
                              <w:tc>
                                <w:tcPr>
                                  <w:tcW w:w="2187" w:type="dxa"/>
                                  <w:tcBorders>
                                    <w:top w:val="nil"/>
                                    <w:left w:val="single" w:sz="4" w:space="0" w:color="auto"/>
                                    <w:bottom w:val="nil"/>
                                  </w:tcBorders>
                                  <w:shd w:val="clear" w:color="auto" w:fill="auto"/>
                                  <w:vAlign w:val="center"/>
                                </w:tcPr>
                                <w:p w14:paraId="17972A3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D3AE33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772B4BA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530353D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1B41BD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359E1FC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0E356F4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2FBD9A8"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CA04BD" w:rsidRPr="00B51CDF" w14:paraId="5D49BF93" w14:textId="77777777" w:rsidTr="001A7F3A">
                              <w:tc>
                                <w:tcPr>
                                  <w:tcW w:w="2187" w:type="dxa"/>
                                  <w:tcBorders>
                                    <w:top w:val="nil"/>
                                    <w:left w:val="single" w:sz="4" w:space="0" w:color="auto"/>
                                    <w:bottom w:val="nil"/>
                                  </w:tcBorders>
                                  <w:shd w:val="clear" w:color="auto" w:fill="auto"/>
                                  <w:vAlign w:val="center"/>
                                </w:tcPr>
                                <w:p w14:paraId="7684FD57"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66F7FBF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89881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136F35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422E6D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39FDA3F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5287F70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51BF9C4"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CA04BD" w:rsidRPr="00B51CDF" w14:paraId="32257F73" w14:textId="77777777" w:rsidTr="001A7F3A">
                              <w:tc>
                                <w:tcPr>
                                  <w:tcW w:w="2187" w:type="dxa"/>
                                  <w:tcBorders>
                                    <w:top w:val="nil"/>
                                    <w:left w:val="single" w:sz="4" w:space="0" w:color="auto"/>
                                    <w:bottom w:val="nil"/>
                                  </w:tcBorders>
                                  <w:shd w:val="clear" w:color="auto" w:fill="auto"/>
                                  <w:vAlign w:val="center"/>
                                </w:tcPr>
                                <w:p w14:paraId="71474F67"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57BE1CE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3368895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4C698EE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089BBB3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968EBA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925C0A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285DD0F1"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CA04BD" w:rsidRPr="00B51CDF" w14:paraId="3A1E261C" w14:textId="77777777" w:rsidTr="001A7F3A">
                              <w:tc>
                                <w:tcPr>
                                  <w:tcW w:w="2187" w:type="dxa"/>
                                  <w:tcBorders>
                                    <w:top w:val="nil"/>
                                    <w:left w:val="single" w:sz="4" w:space="0" w:color="auto"/>
                                    <w:bottom w:val="nil"/>
                                  </w:tcBorders>
                                  <w:shd w:val="clear" w:color="auto" w:fill="auto"/>
                                  <w:vAlign w:val="center"/>
                                </w:tcPr>
                                <w:p w14:paraId="639726B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38B4D5FB"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81CB1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6A57E63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928088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1FDAF0A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2D4E8AC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392E23BF"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CA04BD" w:rsidRPr="00B51CDF" w14:paraId="3A937CD1" w14:textId="77777777" w:rsidTr="001A7F3A">
                              <w:tc>
                                <w:tcPr>
                                  <w:tcW w:w="2187" w:type="dxa"/>
                                  <w:tcBorders>
                                    <w:top w:val="nil"/>
                                    <w:left w:val="single" w:sz="4" w:space="0" w:color="auto"/>
                                    <w:bottom w:val="nil"/>
                                  </w:tcBorders>
                                  <w:shd w:val="clear" w:color="auto" w:fill="auto"/>
                                  <w:vAlign w:val="center"/>
                                </w:tcPr>
                                <w:p w14:paraId="31A8E434"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3747652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4901315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DCF713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2A37EA5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3E25890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4107D78C"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64E4DA31"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CA04BD" w:rsidRPr="00B51CDF" w14:paraId="62C7BB7D" w14:textId="77777777" w:rsidTr="001A7F3A">
                              <w:tc>
                                <w:tcPr>
                                  <w:tcW w:w="2187" w:type="dxa"/>
                                  <w:tcBorders>
                                    <w:top w:val="nil"/>
                                    <w:left w:val="single" w:sz="4" w:space="0" w:color="auto"/>
                                    <w:bottom w:val="nil"/>
                                  </w:tcBorders>
                                  <w:shd w:val="clear" w:color="auto" w:fill="auto"/>
                                  <w:vAlign w:val="center"/>
                                </w:tcPr>
                                <w:p w14:paraId="472830CC"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6BE4D7E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453B91E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95A4F9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38AB746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49D372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3E59EC0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1AC06AA3"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CA04BD" w:rsidRPr="00B51CDF" w14:paraId="3E0A8EAA" w14:textId="77777777" w:rsidTr="001A7F3A">
                              <w:tc>
                                <w:tcPr>
                                  <w:tcW w:w="2187" w:type="dxa"/>
                                  <w:tcBorders>
                                    <w:top w:val="nil"/>
                                    <w:left w:val="single" w:sz="4" w:space="0" w:color="auto"/>
                                    <w:bottom w:val="nil"/>
                                  </w:tcBorders>
                                  <w:shd w:val="clear" w:color="auto" w:fill="auto"/>
                                  <w:vAlign w:val="center"/>
                                </w:tcPr>
                                <w:p w14:paraId="2370A72B"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3C9E0A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2BC642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05BCF5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2E10E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B4B2EBB"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4E4C9A5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6BC9F6B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CA04BD" w:rsidRPr="00B51CDF" w14:paraId="0111F104" w14:textId="77777777" w:rsidTr="001A7F3A">
                              <w:tc>
                                <w:tcPr>
                                  <w:tcW w:w="2187" w:type="dxa"/>
                                  <w:tcBorders>
                                    <w:top w:val="nil"/>
                                    <w:left w:val="single" w:sz="4" w:space="0" w:color="auto"/>
                                    <w:bottom w:val="single" w:sz="4" w:space="0" w:color="auto"/>
                                  </w:tcBorders>
                                  <w:shd w:val="clear" w:color="auto" w:fill="auto"/>
                                  <w:vAlign w:val="center"/>
                                </w:tcPr>
                                <w:p w14:paraId="360FF4FD" w14:textId="77777777" w:rsidR="00CA04BD" w:rsidRPr="00B51CDF" w:rsidRDefault="00CA04BD"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1D365099"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7BECA6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D66F26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16E73B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5594D8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3DFF1F9C"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7F6C8407"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CA04BD" w:rsidRPr="00B51CDF" w14:paraId="22029D10" w14:textId="77777777" w:rsidTr="001A7F3A">
                              <w:tc>
                                <w:tcPr>
                                  <w:tcW w:w="2187" w:type="dxa"/>
                                  <w:tcBorders>
                                    <w:top w:val="single" w:sz="4" w:space="0" w:color="auto"/>
                                    <w:left w:val="single" w:sz="4" w:space="0" w:color="auto"/>
                                    <w:bottom w:val="nil"/>
                                  </w:tcBorders>
                                  <w:shd w:val="clear" w:color="auto" w:fill="auto"/>
                                  <w:vAlign w:val="center"/>
                                </w:tcPr>
                                <w:p w14:paraId="2857CC4B" w14:textId="77777777" w:rsidR="00CA04BD" w:rsidRPr="00B51CDF" w:rsidRDefault="00CA04BD"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4B4528AC"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7362225" w14:textId="77777777" w:rsidR="00CA04BD" w:rsidRPr="00B51CDF" w:rsidRDefault="00CA04BD"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C8A488" w14:textId="77777777" w:rsidR="00CA04BD" w:rsidRPr="00B51CDF" w:rsidRDefault="00CA04BD"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565CCCFF" w14:textId="77777777" w:rsidR="00CA04BD" w:rsidRPr="00B51CDF" w:rsidRDefault="00CA04BD"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1313970"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18755F9F"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9E219BF"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533BBA4F" w14:textId="77777777" w:rsidTr="001A7F3A">
                              <w:tc>
                                <w:tcPr>
                                  <w:tcW w:w="2187" w:type="dxa"/>
                                  <w:tcBorders>
                                    <w:top w:val="nil"/>
                                    <w:left w:val="single" w:sz="4" w:space="0" w:color="auto"/>
                                    <w:bottom w:val="nil"/>
                                  </w:tcBorders>
                                  <w:shd w:val="clear" w:color="auto" w:fill="auto"/>
                                  <w:vAlign w:val="center"/>
                                </w:tcPr>
                                <w:p w14:paraId="59503F22" w14:textId="77777777" w:rsidR="00CA04BD" w:rsidRPr="00B51CDF" w:rsidRDefault="00CA04BD"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692F0C3" w14:textId="77777777" w:rsidR="00CA04BD" w:rsidRPr="00B51CDF" w:rsidRDefault="00CA04BD"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E2B5AE1"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04A5542" w14:textId="77777777" w:rsidR="00CA04BD" w:rsidRPr="00B51CDF" w:rsidRDefault="00CA04BD"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EB5B7FE" w14:textId="77777777" w:rsidR="00CA04BD" w:rsidRPr="00B51CDF" w:rsidRDefault="00CA04BD"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3C605E25"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5808873C"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5A38E1CF"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4A44D188" w14:textId="77777777" w:rsidTr="001A7F3A">
                              <w:tc>
                                <w:tcPr>
                                  <w:tcW w:w="2187" w:type="dxa"/>
                                  <w:tcBorders>
                                    <w:top w:val="nil"/>
                                    <w:left w:val="single" w:sz="4" w:space="0" w:color="auto"/>
                                    <w:bottom w:val="nil"/>
                                  </w:tcBorders>
                                  <w:shd w:val="clear" w:color="auto" w:fill="auto"/>
                                  <w:vAlign w:val="center"/>
                                </w:tcPr>
                                <w:p w14:paraId="3567490F" w14:textId="77777777" w:rsidR="00CA04BD" w:rsidRPr="00B51CDF" w:rsidRDefault="00CA04BD"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566A8E8D"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50EBA9B6"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7BDA99EF"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0C505878" w14:textId="77777777" w:rsidR="00CA04BD" w:rsidRPr="00B51CDF" w:rsidRDefault="00CA04BD"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5EA3C7"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26BDB4E7"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56D1D0D1"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2E537897" w14:textId="77777777" w:rsidTr="001A7F3A">
                              <w:tc>
                                <w:tcPr>
                                  <w:tcW w:w="2187" w:type="dxa"/>
                                  <w:tcBorders>
                                    <w:top w:val="nil"/>
                                    <w:left w:val="single" w:sz="4" w:space="0" w:color="auto"/>
                                    <w:bottom w:val="nil"/>
                                  </w:tcBorders>
                                  <w:shd w:val="clear" w:color="auto" w:fill="auto"/>
                                  <w:vAlign w:val="center"/>
                                </w:tcPr>
                                <w:p w14:paraId="4D272A45" w14:textId="77777777" w:rsidR="00CA04BD" w:rsidRPr="00B51CDF" w:rsidRDefault="00CA04BD"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28D6710"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35B7D463"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685BB24E"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D43A19"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8C589CE"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1D446A92"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4B9287F"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64B4D322" w14:textId="77777777" w:rsidTr="001A7F3A">
                              <w:tc>
                                <w:tcPr>
                                  <w:tcW w:w="2187" w:type="dxa"/>
                                  <w:tcBorders>
                                    <w:top w:val="nil"/>
                                    <w:left w:val="single" w:sz="4" w:space="0" w:color="auto"/>
                                    <w:bottom w:val="nil"/>
                                  </w:tcBorders>
                                  <w:shd w:val="clear" w:color="auto" w:fill="auto"/>
                                  <w:vAlign w:val="center"/>
                                </w:tcPr>
                                <w:p w14:paraId="5345F446" w14:textId="77777777" w:rsidR="00CA04BD" w:rsidRPr="002F2BA6" w:rsidRDefault="00CA04BD"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DB8FCD8" w14:textId="77777777" w:rsidR="00CA04BD" w:rsidRPr="00B51CDF" w:rsidRDefault="00CA04BD"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7CC8B505" w14:textId="77777777" w:rsidR="00CA04BD" w:rsidRPr="00B51CDF" w:rsidRDefault="00CA04BD"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3AD576C1"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2A39A05B"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7FC99F84"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74F990B2"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53105B6"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29188F2B" w14:textId="77777777" w:rsidTr="001A7F3A">
                              <w:tc>
                                <w:tcPr>
                                  <w:tcW w:w="2187" w:type="dxa"/>
                                  <w:tcBorders>
                                    <w:top w:val="nil"/>
                                    <w:left w:val="single" w:sz="4" w:space="0" w:color="auto"/>
                                    <w:bottom w:val="nil"/>
                                  </w:tcBorders>
                                  <w:shd w:val="clear" w:color="auto" w:fill="auto"/>
                                  <w:vAlign w:val="center"/>
                                </w:tcPr>
                                <w:p w14:paraId="0814AC27" w14:textId="77777777" w:rsidR="00CA04BD" w:rsidRPr="002F2BA6" w:rsidRDefault="00CA04BD"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C1CFDC1"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F3FA7B0"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6810C4DB"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665CEF0E"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164BE2B3"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7844B51B"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7EE4C2F8"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2D3555AB" w14:textId="77777777" w:rsidTr="009875CE">
                              <w:tc>
                                <w:tcPr>
                                  <w:tcW w:w="2187" w:type="dxa"/>
                                  <w:tcBorders>
                                    <w:top w:val="nil"/>
                                    <w:left w:val="single" w:sz="4" w:space="0" w:color="auto"/>
                                    <w:bottom w:val="single" w:sz="4" w:space="0" w:color="auto"/>
                                  </w:tcBorders>
                                  <w:shd w:val="clear" w:color="auto" w:fill="auto"/>
                                  <w:vAlign w:val="center"/>
                                </w:tcPr>
                                <w:p w14:paraId="2E392DD4" w14:textId="77777777" w:rsidR="00CA04BD" w:rsidRPr="001A7F3A" w:rsidRDefault="00CA04BD"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629FE33F"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2ADDE1CC"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1D2C16E5"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F77031E"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3BF6B04" w14:textId="77777777" w:rsidR="00CA04BD" w:rsidRPr="001A7F3A" w:rsidRDefault="00CA04BD"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71795F7A" w14:textId="77777777" w:rsidR="00CA04BD" w:rsidRPr="001A7F3A" w:rsidRDefault="00CA04BD"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5850C228" w14:textId="77777777" w:rsidR="00CA04BD" w:rsidRPr="00B51CDF" w:rsidRDefault="00CA04BD"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CA04BD" w:rsidRPr="00B51CDF" w14:paraId="0174046B" w14:textId="77777777" w:rsidTr="001A7F3A">
                              <w:tc>
                                <w:tcPr>
                                  <w:tcW w:w="10509" w:type="dxa"/>
                                  <w:gridSpan w:val="7"/>
                                  <w:tcBorders>
                                    <w:top w:val="single" w:sz="4" w:space="0" w:color="auto"/>
                                    <w:left w:val="nil"/>
                                    <w:bottom w:val="nil"/>
                                    <w:right w:val="nil"/>
                                  </w:tcBorders>
                                  <w:shd w:val="clear" w:color="auto" w:fill="auto"/>
                                  <w:vAlign w:val="center"/>
                                </w:tcPr>
                                <w:p w14:paraId="7224527E" w14:textId="77777777" w:rsidR="00CA04BD" w:rsidRDefault="00CA04BD"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67D8FA6" w14:textId="77777777" w:rsidR="00CA04BD" w:rsidRPr="001A7F3A" w:rsidRDefault="00CA04BD"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49FCD874" w14:textId="77777777" w:rsidR="00CA04BD" w:rsidRPr="00B603B5" w:rsidRDefault="00CA04BD"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0408AB71" w14:textId="77777777" w:rsidR="00CA04BD" w:rsidRPr="00B51CDF" w:rsidRDefault="00CA04BD"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5BA5C499" w14:textId="77777777" w:rsidR="00CA04BD" w:rsidRPr="00B603B5" w:rsidRDefault="00CA04BD" w:rsidP="00061216">
                                  <w:pPr>
                                    <w:rPr>
                                      <w:rFonts w:ascii="Times New Roman" w:hAnsi="Times New Roman" w:cs="Times New Roman"/>
                                      <w:sz w:val="20"/>
                                      <w:szCs w:val="20"/>
                                      <w:lang w:bidi="en-US"/>
                                    </w:rPr>
                                  </w:pPr>
                                </w:p>
                              </w:tc>
                            </w:tr>
                          </w:tbl>
                          <w:p w14:paraId="5ADA2063" w14:textId="77777777" w:rsidR="00CA04BD" w:rsidRDefault="00CA04BD" w:rsidP="00CA04BD"/>
                          <w:p w14:paraId="7D19538C" w14:textId="77777777" w:rsidR="00CA04BD" w:rsidRDefault="00CA04BD" w:rsidP="00CA04BD"/>
                          <w:p w14:paraId="4FA72881" w14:textId="77777777" w:rsidR="00CA04BD" w:rsidRDefault="00CA04BD" w:rsidP="00CA04BD"/>
                          <w:p w14:paraId="5AC9C670" w14:textId="77777777" w:rsidR="00CA04BD" w:rsidRDefault="00CA04BD" w:rsidP="00CA04BD"/>
                          <w:p w14:paraId="09CE8DE8" w14:textId="77777777" w:rsidR="00CA04BD" w:rsidRDefault="00CA04BD" w:rsidP="00CA04BD"/>
                          <w:p w14:paraId="5426C13E" w14:textId="77777777" w:rsidR="00CA04BD" w:rsidRDefault="00CA04BD" w:rsidP="00CA04BD"/>
                          <w:p w14:paraId="6DD037B2" w14:textId="77777777" w:rsidR="00CA04BD" w:rsidRDefault="00CA04BD" w:rsidP="00CA04BD"/>
                          <w:p w14:paraId="67F58F23" w14:textId="77777777" w:rsidR="00CA04BD" w:rsidRDefault="00CA04BD" w:rsidP="00CA04BD"/>
                          <w:p w14:paraId="52812C12" w14:textId="77777777" w:rsidR="00CA04BD" w:rsidRDefault="00CA04BD" w:rsidP="00CA04BD"/>
                          <w:p w14:paraId="4084A021" w14:textId="77777777" w:rsidR="00CA04BD" w:rsidRDefault="00CA04BD" w:rsidP="00CA04BD"/>
                          <w:p w14:paraId="3AFFF9EA" w14:textId="77777777" w:rsidR="00CA04BD" w:rsidRDefault="00CA04BD" w:rsidP="00CA04BD"/>
                          <w:p w14:paraId="09235D61" w14:textId="77777777" w:rsidR="00CA04BD" w:rsidRDefault="00CA04BD" w:rsidP="00CA04BD"/>
                          <w:p w14:paraId="2CC1FDC6" w14:textId="77777777" w:rsidR="00CA04BD" w:rsidRDefault="00CA04BD" w:rsidP="00CA04BD"/>
                          <w:p w14:paraId="29315CDD" w14:textId="77777777" w:rsidR="00CA04BD" w:rsidRDefault="00CA04BD" w:rsidP="00CA04BD"/>
                          <w:p w14:paraId="65C44C25" w14:textId="77777777" w:rsidR="00CA04BD" w:rsidRDefault="00CA04BD" w:rsidP="00CA04BD"/>
                          <w:p w14:paraId="36AA1AAF" w14:textId="77777777" w:rsidR="00CA04BD" w:rsidRDefault="00CA04BD" w:rsidP="00CA04BD"/>
                          <w:p w14:paraId="36CE6CFD" w14:textId="77777777" w:rsidR="00CA04BD" w:rsidRDefault="00CA04BD" w:rsidP="00CA04BD"/>
                          <w:p w14:paraId="2837EF57" w14:textId="77777777" w:rsidR="00CA04BD" w:rsidRDefault="00CA04BD" w:rsidP="00CA04BD"/>
                          <w:p w14:paraId="04E5B6C0" w14:textId="77777777" w:rsidR="00CA04BD" w:rsidRDefault="00CA04BD" w:rsidP="00CA04BD"/>
                          <w:p w14:paraId="7BA08491" w14:textId="77777777" w:rsidR="00CA04BD" w:rsidRDefault="00CA04BD" w:rsidP="00CA0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C99C" id="_x0000_t202" coordsize="21600,21600" o:spt="202" path="m,l,21600r21600,l21600,xe">
                <v:stroke joinstyle="miter"/>
                <v:path gradientshapeok="t" o:connecttype="rect"/>
              </v:shapetype>
              <v:shape id="Text Box 1628357051" o:spid="_x0000_s1026" type="#_x0000_t202" style="position:absolute;margin-left:-66pt;margin-top:-64.65pt;width:607.4pt;height:70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xwLwIAAFUEAAAOAAAAZHJzL2Uyb0RvYy54bWysVE1v2zAMvQ/YfxB0X+ykadMYcYosRYYB&#13;&#10;QVsgHXpWZCk2IIuapMTOfv0o2flot9Owi0yK1BP5+OTZQ1srchDWVaBzOhyklAjNoaj0Lqc/Xldf&#13;&#10;7ilxnumCKdAip0fh6MP886dZYzIxghJUISxBEO2yxuS09N5kSeJ4KWrmBmCExqAEWzOPrt0lhWUN&#13;&#10;otcqGaXpXdKALYwFLpzD3ccuSOcRX0rB/bOUTniicoq1+bjauG7DmsxnLNtZZsqK92Wwf6iiZpXG&#13;&#10;S89Qj8wzsrfVH1B1xS04kH7AoU5AyoqL2AN2M0w/dLMpmRGxFyTHmTNN7v/B8qfDxrxY4tuv0OIA&#13;&#10;AyGNcZnDzdBPK20dvlgpwThSeDzTJlpPOG5OJsNxejOmhGPsfjqaTqejgJNcjhvr/DcBNQlGTi3O&#13;&#10;JdLFDmvnu9RTSrjNgaqKVaVUdIIWxFJZcmA4ReVjkQj+Lktp0uT07uY2jcAawvEOWWms5dJUsHy7&#13;&#10;bftOt1AckQALnTac4asKi1wz51+YRTFgzyhw/4yLVICXQG9RUoL99bf9kI8zwiglDYorp+7nnllB&#13;&#10;ifqucXrT4Xgc1Bid8e1khI69jmyvI3pfLwE7H+JTMjyaId+rkykt1G/4DhbhVgwxzfHunPqTufSd&#13;&#10;5PEdcbFYxCTUn2F+rTeGB+jAdBjBa/vGrOnn5HHET3CSIcs+jKvLDSc1LPYeZBVnGQjuWO15R+1G&#13;&#10;NfTvLDyOaz9mXf4G898AAAD//wMAUEsDBBQABgAIAAAAIQANDPkv6AAAABQBAAAPAAAAZHJzL2Rv&#13;&#10;d25yZXYueG1sTI9PT8MwDMXvSHyHyEhc0JasFXR0TSfEX4kb6wbiljWhrWicqsna8u1xT3CxnmX7&#13;&#10;+f2y7WRbNpjeNw4lrJYCmMHS6QYrCfviabEG5oNCrVqHRsKP8bDNz88ylWo34psZdqFiZII+VRLq&#13;&#10;ELqUc1/Wxiq/dJ1Bmn253qpAbV9x3auRzG3LIyFuuFUN0odadea+NuX37mQlfF5VH69+ej6M8XXc&#13;&#10;Pb4MRfKuCykvL6aHDZW7DbBgpvB3ATMD5Yecgh3dCbVnrYTFKo6IKMwquo2BzTtiHRHUkVSUJAJ4&#13;&#10;nvH/MPkvAAAA//8DAFBLAQItABQABgAIAAAAIQC2gziS/gAAAOEBAAATAAAAAAAAAAAAAAAAAAAA&#13;&#10;AABbQ29udGVudF9UeXBlc10ueG1sUEsBAi0AFAAGAAgAAAAhADj9If/WAAAAlAEAAAsAAAAAAAAA&#13;&#10;AAAAAAAALwEAAF9yZWxzLy5yZWxzUEsBAi0AFAAGAAgAAAAhAD4w3HAvAgAAVQQAAA4AAAAAAAAA&#13;&#10;AAAAAAAALgIAAGRycy9lMm9Eb2MueG1sUEsBAi0AFAAGAAgAAAAhAA0M+S/oAAAAFAEAAA8AAAAA&#13;&#10;AAAAAAAAAAAAiQQAAGRycy9kb3ducmV2LnhtbFBLBQYAAAAABAAEAPMAAACeBQAAAAA=&#13;&#10;" fillcolor="white [3201]" stroked="f" strokeweight=".5pt">
                <v:textbo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CA04BD" w:rsidRPr="00B51CDF" w14:paraId="754B1154" w14:textId="77777777"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D2310DE" w14:textId="77777777" w:rsidR="00CA04BD" w:rsidRDefault="00CA04BD"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CA04BD" w:rsidRPr="00B51CDF" w14:paraId="61889B83" w14:textId="77777777" w:rsidTr="001A7F3A">
                        <w:tc>
                          <w:tcPr>
                            <w:tcW w:w="2187" w:type="dxa"/>
                            <w:tcBorders>
                              <w:top w:val="single" w:sz="8" w:space="0" w:color="auto"/>
                              <w:left w:val="single" w:sz="4" w:space="0" w:color="auto"/>
                              <w:bottom w:val="single" w:sz="4" w:space="0" w:color="auto"/>
                            </w:tcBorders>
                            <w:shd w:val="clear" w:color="auto" w:fill="auto"/>
                            <w:vAlign w:val="center"/>
                          </w:tcPr>
                          <w:p w14:paraId="5BE4A6F2" w14:textId="77777777" w:rsidR="00CA04BD" w:rsidRPr="00B51CDF" w:rsidRDefault="00CA04BD"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6DE56D40"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59D1A34"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4702EA5F"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55E6222A" w14:textId="77777777" w:rsidR="00CA04BD" w:rsidRPr="00B51CDF" w:rsidRDefault="00CA04BD"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8B9956C" w14:textId="77777777" w:rsidR="00CA04BD" w:rsidRPr="00B51CDF" w:rsidRDefault="00CA04BD"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02A64D38" w14:textId="77777777" w:rsidR="00CA04BD" w:rsidRPr="00B51CDF" w:rsidRDefault="00CA04BD"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40ED0FEC" w14:textId="77777777" w:rsidR="00CA04BD" w:rsidRPr="001A7F3A" w:rsidRDefault="00CA04BD"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CA04BD" w:rsidRPr="00B51CDF" w14:paraId="0085EED5" w14:textId="77777777" w:rsidTr="001A7F3A">
                        <w:tc>
                          <w:tcPr>
                            <w:tcW w:w="2187" w:type="dxa"/>
                            <w:tcBorders>
                              <w:top w:val="single" w:sz="4" w:space="0" w:color="auto"/>
                              <w:left w:val="single" w:sz="4" w:space="0" w:color="auto"/>
                              <w:bottom w:val="single" w:sz="4" w:space="0" w:color="auto"/>
                            </w:tcBorders>
                            <w:shd w:val="clear" w:color="auto" w:fill="auto"/>
                            <w:vAlign w:val="center"/>
                          </w:tcPr>
                          <w:p w14:paraId="50C2EC12" w14:textId="77777777" w:rsidR="00CA04BD" w:rsidRPr="00B51CDF" w:rsidRDefault="00CA04BD"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0E75590" w14:textId="77777777" w:rsidR="00CA04BD" w:rsidRPr="00B51CDF" w:rsidRDefault="00CA04BD"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5CA6C27" w14:textId="77777777" w:rsidR="00CA04BD" w:rsidRPr="00B51CDF" w:rsidRDefault="00CA04BD"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61A3CACA" w14:textId="77777777" w:rsidR="00CA04BD" w:rsidRPr="00B51CDF" w:rsidRDefault="00CA04BD"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3A7912E" w14:textId="77777777" w:rsidR="00CA04BD" w:rsidRPr="00B51CDF" w:rsidRDefault="00CA04BD"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E797DD5" w14:textId="77777777" w:rsidR="00CA04BD" w:rsidRPr="00B51CDF" w:rsidRDefault="00CA04BD"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05DD3258" w14:textId="77777777" w:rsidR="00CA04BD" w:rsidRPr="00B51CDF" w:rsidRDefault="00CA04BD"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11E104E8" w14:textId="77777777" w:rsidR="00CA04BD" w:rsidRPr="00B51CDF" w:rsidRDefault="00CA04BD" w:rsidP="00061216">
                            <w:pPr>
                              <w:spacing w:line="360" w:lineRule="auto"/>
                              <w:rPr>
                                <w:rFonts w:ascii="Times New Roman" w:hAnsi="Times New Roman" w:cs="Times New Roman"/>
                                <w:sz w:val="20"/>
                                <w:szCs w:val="20"/>
                              </w:rPr>
                            </w:pPr>
                          </w:p>
                        </w:tc>
                      </w:tr>
                      <w:tr w:rsidR="00CA04BD" w:rsidRPr="00B51CDF" w14:paraId="1011FE0B" w14:textId="77777777" w:rsidTr="001A7F3A">
                        <w:tc>
                          <w:tcPr>
                            <w:tcW w:w="2187" w:type="dxa"/>
                            <w:tcBorders>
                              <w:top w:val="single" w:sz="4" w:space="0" w:color="auto"/>
                              <w:left w:val="single" w:sz="4" w:space="0" w:color="auto"/>
                              <w:bottom w:val="nil"/>
                            </w:tcBorders>
                            <w:shd w:val="clear" w:color="auto" w:fill="auto"/>
                            <w:vAlign w:val="center"/>
                          </w:tcPr>
                          <w:p w14:paraId="2D281DD9"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770DD7B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9194A3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A40907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9F334C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323D2A7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6F93AF9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0FC4E857"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CA04BD" w:rsidRPr="00B51CDF" w14:paraId="54ADB90E" w14:textId="77777777" w:rsidTr="001A7F3A">
                        <w:tc>
                          <w:tcPr>
                            <w:tcW w:w="2187" w:type="dxa"/>
                            <w:tcBorders>
                              <w:top w:val="nil"/>
                              <w:left w:val="single" w:sz="4" w:space="0" w:color="auto"/>
                              <w:bottom w:val="nil"/>
                            </w:tcBorders>
                            <w:shd w:val="clear" w:color="auto" w:fill="auto"/>
                            <w:vAlign w:val="center"/>
                          </w:tcPr>
                          <w:p w14:paraId="1D4B9476"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778B29A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0C949F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26D34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2D8543F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6C8DDC8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195334C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281BFC60"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CA04BD" w:rsidRPr="00B51CDF" w14:paraId="20375194" w14:textId="77777777" w:rsidTr="001A7F3A">
                        <w:tc>
                          <w:tcPr>
                            <w:tcW w:w="2187" w:type="dxa"/>
                            <w:tcBorders>
                              <w:top w:val="nil"/>
                              <w:left w:val="single" w:sz="4" w:space="0" w:color="auto"/>
                              <w:bottom w:val="nil"/>
                            </w:tcBorders>
                            <w:shd w:val="clear" w:color="auto" w:fill="auto"/>
                            <w:vAlign w:val="center"/>
                          </w:tcPr>
                          <w:p w14:paraId="27A1212F"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B82CC6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3E8A4C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5F06F90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298D6AD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3148DBB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532240B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6418A323"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CA04BD" w:rsidRPr="00B51CDF" w14:paraId="3C250E00" w14:textId="77777777" w:rsidTr="001A7F3A">
                        <w:tc>
                          <w:tcPr>
                            <w:tcW w:w="2187" w:type="dxa"/>
                            <w:tcBorders>
                              <w:top w:val="nil"/>
                              <w:left w:val="single" w:sz="4" w:space="0" w:color="auto"/>
                              <w:bottom w:val="nil"/>
                            </w:tcBorders>
                            <w:shd w:val="clear" w:color="auto" w:fill="auto"/>
                            <w:vAlign w:val="center"/>
                          </w:tcPr>
                          <w:p w14:paraId="054168C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395D046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07F2ED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6A351A9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249F1F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39D3714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7FADC2F9"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481DD945"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CA04BD" w:rsidRPr="00B51CDF" w14:paraId="7A7B1173" w14:textId="77777777" w:rsidTr="001A7F3A">
                        <w:tc>
                          <w:tcPr>
                            <w:tcW w:w="2187" w:type="dxa"/>
                            <w:tcBorders>
                              <w:top w:val="nil"/>
                              <w:left w:val="single" w:sz="4" w:space="0" w:color="auto"/>
                              <w:bottom w:val="nil"/>
                            </w:tcBorders>
                            <w:shd w:val="clear" w:color="auto" w:fill="auto"/>
                            <w:vAlign w:val="center"/>
                          </w:tcPr>
                          <w:p w14:paraId="7496D8FC"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5A0F243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1ED6F1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5CCC34D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2113709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01D27CC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030A0C8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338E7068"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CA04BD" w:rsidRPr="00B51CDF" w14:paraId="6BE33AF7" w14:textId="77777777" w:rsidTr="001A7F3A">
                        <w:tc>
                          <w:tcPr>
                            <w:tcW w:w="2187" w:type="dxa"/>
                            <w:tcBorders>
                              <w:top w:val="nil"/>
                              <w:left w:val="single" w:sz="4" w:space="0" w:color="auto"/>
                              <w:bottom w:val="nil"/>
                            </w:tcBorders>
                            <w:shd w:val="clear" w:color="auto" w:fill="auto"/>
                            <w:vAlign w:val="center"/>
                          </w:tcPr>
                          <w:p w14:paraId="5E5972DE"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2898A5D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031FC26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7471252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3AB5D8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02FE77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58CFE83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3B0C8F53"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CA04BD" w:rsidRPr="00B51CDF" w14:paraId="24DE528D" w14:textId="77777777" w:rsidTr="001A7F3A">
                        <w:tc>
                          <w:tcPr>
                            <w:tcW w:w="2187" w:type="dxa"/>
                            <w:tcBorders>
                              <w:top w:val="nil"/>
                              <w:left w:val="single" w:sz="4" w:space="0" w:color="auto"/>
                              <w:bottom w:val="nil"/>
                            </w:tcBorders>
                            <w:shd w:val="clear" w:color="auto" w:fill="auto"/>
                            <w:vAlign w:val="center"/>
                          </w:tcPr>
                          <w:p w14:paraId="075A1171"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255BCB5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D9446F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4C72FEF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AD35E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79F8F03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5E25964C"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6303D3B9"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CA04BD" w:rsidRPr="00B51CDF" w14:paraId="59828966" w14:textId="77777777" w:rsidTr="001A7F3A">
                        <w:tc>
                          <w:tcPr>
                            <w:tcW w:w="2187" w:type="dxa"/>
                            <w:tcBorders>
                              <w:top w:val="nil"/>
                              <w:left w:val="single" w:sz="4" w:space="0" w:color="auto"/>
                              <w:bottom w:val="nil"/>
                            </w:tcBorders>
                            <w:shd w:val="clear" w:color="auto" w:fill="auto"/>
                            <w:vAlign w:val="center"/>
                          </w:tcPr>
                          <w:p w14:paraId="0011A5BF"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0103E8B"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4A3C302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20FADC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2E8B20F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2A7D2E0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1F5BA22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19688351"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CA04BD" w:rsidRPr="00B51CDF" w14:paraId="44388F3A" w14:textId="77777777" w:rsidTr="001A7F3A">
                        <w:tc>
                          <w:tcPr>
                            <w:tcW w:w="2187" w:type="dxa"/>
                            <w:tcBorders>
                              <w:top w:val="nil"/>
                              <w:left w:val="single" w:sz="4" w:space="0" w:color="auto"/>
                              <w:bottom w:val="nil"/>
                            </w:tcBorders>
                            <w:shd w:val="clear" w:color="auto" w:fill="auto"/>
                            <w:vAlign w:val="center"/>
                          </w:tcPr>
                          <w:p w14:paraId="7FDDF920"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01AB301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F61D38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06FCB9B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286D598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061064C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3DF75D9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55CD68C1"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CA04BD" w:rsidRPr="00B51CDF" w14:paraId="4C9D4739" w14:textId="77777777" w:rsidTr="001A7F3A">
                        <w:tc>
                          <w:tcPr>
                            <w:tcW w:w="2187" w:type="dxa"/>
                            <w:tcBorders>
                              <w:top w:val="nil"/>
                              <w:left w:val="single" w:sz="4" w:space="0" w:color="auto"/>
                              <w:bottom w:val="nil"/>
                            </w:tcBorders>
                            <w:shd w:val="clear" w:color="auto" w:fill="auto"/>
                            <w:vAlign w:val="center"/>
                          </w:tcPr>
                          <w:p w14:paraId="48DB791D"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6C22D9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25BF4D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1CCBAC2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C99014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24D3FEB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73DF1269"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FD229E0"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CA04BD" w:rsidRPr="00B51CDF" w14:paraId="0A244E7C" w14:textId="77777777" w:rsidTr="001A7F3A">
                        <w:tc>
                          <w:tcPr>
                            <w:tcW w:w="2187" w:type="dxa"/>
                            <w:tcBorders>
                              <w:top w:val="nil"/>
                              <w:left w:val="single" w:sz="4" w:space="0" w:color="auto"/>
                              <w:bottom w:val="nil"/>
                            </w:tcBorders>
                            <w:shd w:val="clear" w:color="auto" w:fill="auto"/>
                            <w:vAlign w:val="center"/>
                          </w:tcPr>
                          <w:p w14:paraId="48C22F2C"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C98802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617A2C57"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703F85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5E5A3F2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7357B1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9BFAC2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93BE74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CA04BD" w:rsidRPr="00B51CDF" w14:paraId="18928554" w14:textId="77777777" w:rsidTr="001A7F3A">
                        <w:tc>
                          <w:tcPr>
                            <w:tcW w:w="2187" w:type="dxa"/>
                            <w:tcBorders>
                              <w:top w:val="nil"/>
                              <w:left w:val="single" w:sz="4" w:space="0" w:color="auto"/>
                              <w:bottom w:val="nil"/>
                            </w:tcBorders>
                            <w:shd w:val="clear" w:color="auto" w:fill="auto"/>
                            <w:vAlign w:val="center"/>
                          </w:tcPr>
                          <w:p w14:paraId="2DE3ADCF"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128FB1F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DAB53C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0B9ED9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17DC436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78116FF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500182D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650554C9"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CA04BD" w:rsidRPr="00B51CDF" w14:paraId="7A412DD1" w14:textId="77777777" w:rsidTr="001A7F3A">
                        <w:tc>
                          <w:tcPr>
                            <w:tcW w:w="2187" w:type="dxa"/>
                            <w:tcBorders>
                              <w:top w:val="nil"/>
                              <w:left w:val="single" w:sz="4" w:space="0" w:color="auto"/>
                              <w:bottom w:val="nil"/>
                            </w:tcBorders>
                            <w:shd w:val="clear" w:color="auto" w:fill="auto"/>
                            <w:vAlign w:val="center"/>
                          </w:tcPr>
                          <w:p w14:paraId="4811A6FB"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83FBF4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7098F2C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6A7D30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5F56A51A"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A08CB3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E67A3C3"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490259F0"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CA04BD" w:rsidRPr="00B51CDF" w14:paraId="5AC2C325" w14:textId="77777777" w:rsidTr="001A7F3A">
                        <w:tc>
                          <w:tcPr>
                            <w:tcW w:w="2187" w:type="dxa"/>
                            <w:tcBorders>
                              <w:top w:val="nil"/>
                              <w:left w:val="single" w:sz="4" w:space="0" w:color="auto"/>
                              <w:bottom w:val="nil"/>
                            </w:tcBorders>
                            <w:shd w:val="clear" w:color="auto" w:fill="auto"/>
                            <w:vAlign w:val="center"/>
                          </w:tcPr>
                          <w:p w14:paraId="31879EC4"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3AE2982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1F3C69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0157D9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737F1C2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6E682DB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DAF3AD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672520E"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CA04BD" w:rsidRPr="00B51CDF" w14:paraId="549397DB" w14:textId="77777777" w:rsidTr="001A7F3A">
                        <w:tc>
                          <w:tcPr>
                            <w:tcW w:w="2187" w:type="dxa"/>
                            <w:tcBorders>
                              <w:top w:val="nil"/>
                              <w:left w:val="single" w:sz="4" w:space="0" w:color="auto"/>
                              <w:bottom w:val="nil"/>
                            </w:tcBorders>
                            <w:shd w:val="clear" w:color="auto" w:fill="auto"/>
                            <w:vAlign w:val="center"/>
                          </w:tcPr>
                          <w:p w14:paraId="7CC53708"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34DD30E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4A9151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0599BAD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5A099A5"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D33583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25CBE07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196F0EB3"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CA04BD" w:rsidRPr="00B51CDF" w14:paraId="432DD230" w14:textId="77777777" w:rsidTr="001A7F3A">
                        <w:tc>
                          <w:tcPr>
                            <w:tcW w:w="2187" w:type="dxa"/>
                            <w:tcBorders>
                              <w:top w:val="nil"/>
                              <w:left w:val="single" w:sz="4" w:space="0" w:color="auto"/>
                              <w:bottom w:val="nil"/>
                            </w:tcBorders>
                            <w:shd w:val="clear" w:color="auto" w:fill="auto"/>
                            <w:vAlign w:val="center"/>
                          </w:tcPr>
                          <w:p w14:paraId="3D359A8E"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4C7705F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0D2BA58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E7AD223"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28DC603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964974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130BF1C2"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4C46621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CA04BD" w:rsidRPr="00B51CDF" w14:paraId="019D2829" w14:textId="77777777" w:rsidTr="001A7F3A">
                        <w:tc>
                          <w:tcPr>
                            <w:tcW w:w="2187" w:type="dxa"/>
                            <w:tcBorders>
                              <w:top w:val="nil"/>
                              <w:left w:val="single" w:sz="4" w:space="0" w:color="auto"/>
                              <w:bottom w:val="nil"/>
                            </w:tcBorders>
                            <w:shd w:val="clear" w:color="auto" w:fill="auto"/>
                            <w:vAlign w:val="center"/>
                          </w:tcPr>
                          <w:p w14:paraId="4FE5605E"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DAEC35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488247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5EABC00"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693B014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7ACB9E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5864230A"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14A10DDA"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CA04BD" w:rsidRPr="00B51CDF" w14:paraId="64A48BE1" w14:textId="77777777" w:rsidTr="001A7F3A">
                        <w:tc>
                          <w:tcPr>
                            <w:tcW w:w="2187" w:type="dxa"/>
                            <w:tcBorders>
                              <w:top w:val="nil"/>
                              <w:left w:val="single" w:sz="4" w:space="0" w:color="auto"/>
                              <w:bottom w:val="nil"/>
                            </w:tcBorders>
                            <w:shd w:val="clear" w:color="auto" w:fill="auto"/>
                            <w:vAlign w:val="center"/>
                          </w:tcPr>
                          <w:p w14:paraId="051A56B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E7D1EDE"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01160A1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458CF97B"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4C4BAC37"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E1A98B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2D60888E"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6B6389A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CA04BD" w:rsidRPr="00B51CDF" w14:paraId="02D9BF1A" w14:textId="77777777" w:rsidTr="001A7F3A">
                        <w:tc>
                          <w:tcPr>
                            <w:tcW w:w="2187" w:type="dxa"/>
                            <w:tcBorders>
                              <w:top w:val="nil"/>
                              <w:left w:val="single" w:sz="4" w:space="0" w:color="auto"/>
                              <w:bottom w:val="nil"/>
                            </w:tcBorders>
                            <w:shd w:val="clear" w:color="auto" w:fill="auto"/>
                            <w:vAlign w:val="center"/>
                          </w:tcPr>
                          <w:p w14:paraId="17972A3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D3AE33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772B4BAE"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530353D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1B41BD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359E1FC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0E356F4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2FBD9A8"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CA04BD" w:rsidRPr="00B51CDF" w14:paraId="5D49BF93" w14:textId="77777777" w:rsidTr="001A7F3A">
                        <w:tc>
                          <w:tcPr>
                            <w:tcW w:w="2187" w:type="dxa"/>
                            <w:tcBorders>
                              <w:top w:val="nil"/>
                              <w:left w:val="single" w:sz="4" w:space="0" w:color="auto"/>
                              <w:bottom w:val="nil"/>
                            </w:tcBorders>
                            <w:shd w:val="clear" w:color="auto" w:fill="auto"/>
                            <w:vAlign w:val="center"/>
                          </w:tcPr>
                          <w:p w14:paraId="7684FD57"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66F7FBF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89881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136F35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422E6D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39FDA3F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5287F70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51BF9C4"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CA04BD" w:rsidRPr="00B51CDF" w14:paraId="32257F73" w14:textId="77777777" w:rsidTr="001A7F3A">
                        <w:tc>
                          <w:tcPr>
                            <w:tcW w:w="2187" w:type="dxa"/>
                            <w:tcBorders>
                              <w:top w:val="nil"/>
                              <w:left w:val="single" w:sz="4" w:space="0" w:color="auto"/>
                              <w:bottom w:val="nil"/>
                            </w:tcBorders>
                            <w:shd w:val="clear" w:color="auto" w:fill="auto"/>
                            <w:vAlign w:val="center"/>
                          </w:tcPr>
                          <w:p w14:paraId="71474F67"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57BE1CE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3368895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4C698EE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089BBB31"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968EBAA"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925C0A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285DD0F1"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CA04BD" w:rsidRPr="00B51CDF" w14:paraId="3A1E261C" w14:textId="77777777" w:rsidTr="001A7F3A">
                        <w:tc>
                          <w:tcPr>
                            <w:tcW w:w="2187" w:type="dxa"/>
                            <w:tcBorders>
                              <w:top w:val="nil"/>
                              <w:left w:val="single" w:sz="4" w:space="0" w:color="auto"/>
                              <w:bottom w:val="nil"/>
                            </w:tcBorders>
                            <w:shd w:val="clear" w:color="auto" w:fill="auto"/>
                            <w:vAlign w:val="center"/>
                          </w:tcPr>
                          <w:p w14:paraId="639726B5"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38B4D5FB"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81CB1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6A57E63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9280880"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1FDAF0A4"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2D4E8AC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392E23BF" w14:textId="77777777" w:rsidR="00CA04BD" w:rsidRPr="001A7F3A" w:rsidRDefault="00CA04BD"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CA04BD" w:rsidRPr="00B51CDF" w14:paraId="3A937CD1" w14:textId="77777777" w:rsidTr="001A7F3A">
                        <w:tc>
                          <w:tcPr>
                            <w:tcW w:w="2187" w:type="dxa"/>
                            <w:tcBorders>
                              <w:top w:val="nil"/>
                              <w:left w:val="single" w:sz="4" w:space="0" w:color="auto"/>
                              <w:bottom w:val="nil"/>
                            </w:tcBorders>
                            <w:shd w:val="clear" w:color="auto" w:fill="auto"/>
                            <w:vAlign w:val="center"/>
                          </w:tcPr>
                          <w:p w14:paraId="31A8E434"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3747652D"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4901315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DCF713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2A37EA55"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3E25890F"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4107D78C"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64E4DA31"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CA04BD" w:rsidRPr="00B51CDF" w14:paraId="62C7BB7D" w14:textId="77777777" w:rsidTr="001A7F3A">
                        <w:tc>
                          <w:tcPr>
                            <w:tcW w:w="2187" w:type="dxa"/>
                            <w:tcBorders>
                              <w:top w:val="nil"/>
                              <w:left w:val="single" w:sz="4" w:space="0" w:color="auto"/>
                              <w:bottom w:val="nil"/>
                            </w:tcBorders>
                            <w:shd w:val="clear" w:color="auto" w:fill="auto"/>
                            <w:vAlign w:val="center"/>
                          </w:tcPr>
                          <w:p w14:paraId="472830CC"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6BE4D7E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453B91EF"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95A4F93"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38AB7466"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49D3729"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3E59EC0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1AC06AA3"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CA04BD" w:rsidRPr="00B51CDF" w14:paraId="3E0A8EAA" w14:textId="77777777" w:rsidTr="001A7F3A">
                        <w:tc>
                          <w:tcPr>
                            <w:tcW w:w="2187" w:type="dxa"/>
                            <w:tcBorders>
                              <w:top w:val="nil"/>
                              <w:left w:val="single" w:sz="4" w:space="0" w:color="auto"/>
                              <w:bottom w:val="nil"/>
                            </w:tcBorders>
                            <w:shd w:val="clear" w:color="auto" w:fill="auto"/>
                            <w:vAlign w:val="center"/>
                          </w:tcPr>
                          <w:p w14:paraId="2370A72B" w14:textId="77777777" w:rsidR="00CA04BD" w:rsidRPr="00B51CDF" w:rsidRDefault="00CA04BD"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3C9E0A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2BC642C"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05BCF56"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2E10E7"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B4B2EBB"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4E4C9A58"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6BC9F6B6"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CA04BD" w:rsidRPr="00B51CDF" w14:paraId="0111F104" w14:textId="77777777" w:rsidTr="001A7F3A">
                        <w:tc>
                          <w:tcPr>
                            <w:tcW w:w="2187" w:type="dxa"/>
                            <w:tcBorders>
                              <w:top w:val="nil"/>
                              <w:left w:val="single" w:sz="4" w:space="0" w:color="auto"/>
                              <w:bottom w:val="single" w:sz="4" w:space="0" w:color="auto"/>
                            </w:tcBorders>
                            <w:shd w:val="clear" w:color="auto" w:fill="auto"/>
                            <w:vAlign w:val="center"/>
                          </w:tcPr>
                          <w:p w14:paraId="360FF4FD" w14:textId="77777777" w:rsidR="00CA04BD" w:rsidRPr="00B51CDF" w:rsidRDefault="00CA04BD"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1D365099"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7BECA62" w14:textId="77777777" w:rsidR="00CA04BD" w:rsidRPr="00B51CDF" w:rsidRDefault="00CA04BD"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D66F268"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16E73B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5594D81"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3DFF1F9C" w14:textId="77777777" w:rsidR="00CA04BD" w:rsidRPr="00B51CDF" w:rsidRDefault="00CA04BD"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7F6C8407"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CA04BD" w:rsidRPr="00B51CDF" w14:paraId="22029D10" w14:textId="77777777" w:rsidTr="001A7F3A">
                        <w:tc>
                          <w:tcPr>
                            <w:tcW w:w="2187" w:type="dxa"/>
                            <w:tcBorders>
                              <w:top w:val="single" w:sz="4" w:space="0" w:color="auto"/>
                              <w:left w:val="single" w:sz="4" w:space="0" w:color="auto"/>
                              <w:bottom w:val="nil"/>
                            </w:tcBorders>
                            <w:shd w:val="clear" w:color="auto" w:fill="auto"/>
                            <w:vAlign w:val="center"/>
                          </w:tcPr>
                          <w:p w14:paraId="2857CC4B" w14:textId="77777777" w:rsidR="00CA04BD" w:rsidRPr="00B51CDF" w:rsidRDefault="00CA04BD"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4B4528AC"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7362225" w14:textId="77777777" w:rsidR="00CA04BD" w:rsidRPr="00B51CDF" w:rsidRDefault="00CA04BD"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C8A488" w14:textId="77777777" w:rsidR="00CA04BD" w:rsidRPr="00B51CDF" w:rsidRDefault="00CA04BD"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565CCCFF" w14:textId="77777777" w:rsidR="00CA04BD" w:rsidRPr="00B51CDF" w:rsidRDefault="00CA04BD"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1313970"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18755F9F"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9E219BF"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533BBA4F" w14:textId="77777777" w:rsidTr="001A7F3A">
                        <w:tc>
                          <w:tcPr>
                            <w:tcW w:w="2187" w:type="dxa"/>
                            <w:tcBorders>
                              <w:top w:val="nil"/>
                              <w:left w:val="single" w:sz="4" w:space="0" w:color="auto"/>
                              <w:bottom w:val="nil"/>
                            </w:tcBorders>
                            <w:shd w:val="clear" w:color="auto" w:fill="auto"/>
                            <w:vAlign w:val="center"/>
                          </w:tcPr>
                          <w:p w14:paraId="59503F22" w14:textId="77777777" w:rsidR="00CA04BD" w:rsidRPr="00B51CDF" w:rsidRDefault="00CA04BD"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692F0C3" w14:textId="77777777" w:rsidR="00CA04BD" w:rsidRPr="00B51CDF" w:rsidRDefault="00CA04BD"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E2B5AE1"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04A5542" w14:textId="77777777" w:rsidR="00CA04BD" w:rsidRPr="00B51CDF" w:rsidRDefault="00CA04BD"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EB5B7FE" w14:textId="77777777" w:rsidR="00CA04BD" w:rsidRPr="00B51CDF" w:rsidRDefault="00CA04BD"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3C605E25"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5808873C"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5A38E1CF"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4A44D188" w14:textId="77777777" w:rsidTr="001A7F3A">
                        <w:tc>
                          <w:tcPr>
                            <w:tcW w:w="2187" w:type="dxa"/>
                            <w:tcBorders>
                              <w:top w:val="nil"/>
                              <w:left w:val="single" w:sz="4" w:space="0" w:color="auto"/>
                              <w:bottom w:val="nil"/>
                            </w:tcBorders>
                            <w:shd w:val="clear" w:color="auto" w:fill="auto"/>
                            <w:vAlign w:val="center"/>
                          </w:tcPr>
                          <w:p w14:paraId="3567490F" w14:textId="77777777" w:rsidR="00CA04BD" w:rsidRPr="00B51CDF" w:rsidRDefault="00CA04BD"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566A8E8D"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50EBA9B6"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7BDA99EF"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0C505878" w14:textId="77777777" w:rsidR="00CA04BD" w:rsidRPr="00B51CDF" w:rsidRDefault="00CA04BD"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5EA3C7"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26BDB4E7"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56D1D0D1"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2E537897" w14:textId="77777777" w:rsidTr="001A7F3A">
                        <w:tc>
                          <w:tcPr>
                            <w:tcW w:w="2187" w:type="dxa"/>
                            <w:tcBorders>
                              <w:top w:val="nil"/>
                              <w:left w:val="single" w:sz="4" w:space="0" w:color="auto"/>
                              <w:bottom w:val="nil"/>
                            </w:tcBorders>
                            <w:shd w:val="clear" w:color="auto" w:fill="auto"/>
                            <w:vAlign w:val="center"/>
                          </w:tcPr>
                          <w:p w14:paraId="4D272A45" w14:textId="77777777" w:rsidR="00CA04BD" w:rsidRPr="00B51CDF" w:rsidRDefault="00CA04BD"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28D6710"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35B7D463"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685BB24E"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D43A19"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8C589CE"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1D446A92"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4B9287F"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64B4D322" w14:textId="77777777" w:rsidTr="001A7F3A">
                        <w:tc>
                          <w:tcPr>
                            <w:tcW w:w="2187" w:type="dxa"/>
                            <w:tcBorders>
                              <w:top w:val="nil"/>
                              <w:left w:val="single" w:sz="4" w:space="0" w:color="auto"/>
                              <w:bottom w:val="nil"/>
                            </w:tcBorders>
                            <w:shd w:val="clear" w:color="auto" w:fill="auto"/>
                            <w:vAlign w:val="center"/>
                          </w:tcPr>
                          <w:p w14:paraId="5345F446" w14:textId="77777777" w:rsidR="00CA04BD" w:rsidRPr="002F2BA6" w:rsidRDefault="00CA04BD"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DB8FCD8" w14:textId="77777777" w:rsidR="00CA04BD" w:rsidRPr="00B51CDF" w:rsidRDefault="00CA04BD"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7CC8B505" w14:textId="77777777" w:rsidR="00CA04BD" w:rsidRPr="00B51CDF" w:rsidRDefault="00CA04BD"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3AD576C1"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2A39A05B"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7FC99F84"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74F990B2" w14:textId="77777777" w:rsidR="00CA04BD" w:rsidRPr="00B51CDF" w:rsidRDefault="00CA04BD"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53105B6"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29188F2B" w14:textId="77777777" w:rsidTr="001A7F3A">
                        <w:tc>
                          <w:tcPr>
                            <w:tcW w:w="2187" w:type="dxa"/>
                            <w:tcBorders>
                              <w:top w:val="nil"/>
                              <w:left w:val="single" w:sz="4" w:space="0" w:color="auto"/>
                              <w:bottom w:val="nil"/>
                            </w:tcBorders>
                            <w:shd w:val="clear" w:color="auto" w:fill="auto"/>
                            <w:vAlign w:val="center"/>
                          </w:tcPr>
                          <w:p w14:paraId="0814AC27" w14:textId="77777777" w:rsidR="00CA04BD" w:rsidRPr="002F2BA6" w:rsidRDefault="00CA04BD"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C1CFDC1"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F3FA7B0"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6810C4DB"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665CEF0E" w14:textId="77777777" w:rsidR="00CA04BD" w:rsidRPr="00B51CDF" w:rsidRDefault="00CA04BD"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164BE2B3"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7844B51B" w14:textId="77777777" w:rsidR="00CA04BD" w:rsidRPr="00B51CDF" w:rsidRDefault="00CA04BD"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7EE4C2F8" w14:textId="77777777" w:rsidR="00CA04BD" w:rsidRPr="00B51CDF" w:rsidRDefault="00CA04BD" w:rsidP="00061216">
                            <w:pPr>
                              <w:spacing w:line="360" w:lineRule="auto"/>
                              <w:jc w:val="center"/>
                              <w:rPr>
                                <w:rFonts w:ascii="Times New Roman" w:hAnsi="Times New Roman" w:cs="Times New Roman"/>
                                <w:sz w:val="20"/>
                                <w:szCs w:val="20"/>
                              </w:rPr>
                            </w:pPr>
                          </w:p>
                        </w:tc>
                      </w:tr>
                      <w:tr w:rsidR="00CA04BD" w:rsidRPr="00B51CDF" w14:paraId="2D3555AB" w14:textId="77777777" w:rsidTr="009875CE">
                        <w:tc>
                          <w:tcPr>
                            <w:tcW w:w="2187" w:type="dxa"/>
                            <w:tcBorders>
                              <w:top w:val="nil"/>
                              <w:left w:val="single" w:sz="4" w:space="0" w:color="auto"/>
                              <w:bottom w:val="single" w:sz="4" w:space="0" w:color="auto"/>
                            </w:tcBorders>
                            <w:shd w:val="clear" w:color="auto" w:fill="auto"/>
                            <w:vAlign w:val="center"/>
                          </w:tcPr>
                          <w:p w14:paraId="2E392DD4" w14:textId="77777777" w:rsidR="00CA04BD" w:rsidRPr="001A7F3A" w:rsidRDefault="00CA04BD"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629FE33F"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2ADDE1CC"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1D2C16E5"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F77031E" w14:textId="77777777" w:rsidR="00CA04BD" w:rsidRPr="001A7F3A" w:rsidRDefault="00CA04BD"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3BF6B04" w14:textId="77777777" w:rsidR="00CA04BD" w:rsidRPr="001A7F3A" w:rsidRDefault="00CA04BD"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71795F7A" w14:textId="77777777" w:rsidR="00CA04BD" w:rsidRPr="001A7F3A" w:rsidRDefault="00CA04BD"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5850C228" w14:textId="77777777" w:rsidR="00CA04BD" w:rsidRPr="00B51CDF" w:rsidRDefault="00CA04BD"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CA04BD" w:rsidRPr="00B51CDF" w14:paraId="0174046B" w14:textId="77777777" w:rsidTr="001A7F3A">
                        <w:tc>
                          <w:tcPr>
                            <w:tcW w:w="10509" w:type="dxa"/>
                            <w:gridSpan w:val="7"/>
                            <w:tcBorders>
                              <w:top w:val="single" w:sz="4" w:space="0" w:color="auto"/>
                              <w:left w:val="nil"/>
                              <w:bottom w:val="nil"/>
                              <w:right w:val="nil"/>
                            </w:tcBorders>
                            <w:shd w:val="clear" w:color="auto" w:fill="auto"/>
                            <w:vAlign w:val="center"/>
                          </w:tcPr>
                          <w:p w14:paraId="7224527E" w14:textId="77777777" w:rsidR="00CA04BD" w:rsidRDefault="00CA04BD"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67D8FA6" w14:textId="77777777" w:rsidR="00CA04BD" w:rsidRPr="001A7F3A" w:rsidRDefault="00CA04BD"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49FCD874" w14:textId="77777777" w:rsidR="00CA04BD" w:rsidRPr="00B603B5" w:rsidRDefault="00CA04BD"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0408AB71" w14:textId="77777777" w:rsidR="00CA04BD" w:rsidRPr="00B51CDF" w:rsidRDefault="00CA04BD"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5BA5C499" w14:textId="77777777" w:rsidR="00CA04BD" w:rsidRPr="00B603B5" w:rsidRDefault="00CA04BD" w:rsidP="00061216">
                            <w:pPr>
                              <w:rPr>
                                <w:rFonts w:ascii="Times New Roman" w:hAnsi="Times New Roman" w:cs="Times New Roman"/>
                                <w:sz w:val="20"/>
                                <w:szCs w:val="20"/>
                                <w:lang w:bidi="en-US"/>
                              </w:rPr>
                            </w:pPr>
                          </w:p>
                        </w:tc>
                      </w:tr>
                    </w:tbl>
                    <w:p w14:paraId="5ADA2063" w14:textId="77777777" w:rsidR="00CA04BD" w:rsidRDefault="00CA04BD" w:rsidP="00CA04BD"/>
                    <w:p w14:paraId="7D19538C" w14:textId="77777777" w:rsidR="00CA04BD" w:rsidRDefault="00CA04BD" w:rsidP="00CA04BD"/>
                    <w:p w14:paraId="4FA72881" w14:textId="77777777" w:rsidR="00CA04BD" w:rsidRDefault="00CA04BD" w:rsidP="00CA04BD"/>
                    <w:p w14:paraId="5AC9C670" w14:textId="77777777" w:rsidR="00CA04BD" w:rsidRDefault="00CA04BD" w:rsidP="00CA04BD"/>
                    <w:p w14:paraId="09CE8DE8" w14:textId="77777777" w:rsidR="00CA04BD" w:rsidRDefault="00CA04BD" w:rsidP="00CA04BD"/>
                    <w:p w14:paraId="5426C13E" w14:textId="77777777" w:rsidR="00CA04BD" w:rsidRDefault="00CA04BD" w:rsidP="00CA04BD"/>
                    <w:p w14:paraId="6DD037B2" w14:textId="77777777" w:rsidR="00CA04BD" w:rsidRDefault="00CA04BD" w:rsidP="00CA04BD"/>
                    <w:p w14:paraId="67F58F23" w14:textId="77777777" w:rsidR="00CA04BD" w:rsidRDefault="00CA04BD" w:rsidP="00CA04BD"/>
                    <w:p w14:paraId="52812C12" w14:textId="77777777" w:rsidR="00CA04BD" w:rsidRDefault="00CA04BD" w:rsidP="00CA04BD"/>
                    <w:p w14:paraId="4084A021" w14:textId="77777777" w:rsidR="00CA04BD" w:rsidRDefault="00CA04BD" w:rsidP="00CA04BD"/>
                    <w:p w14:paraId="3AFFF9EA" w14:textId="77777777" w:rsidR="00CA04BD" w:rsidRDefault="00CA04BD" w:rsidP="00CA04BD"/>
                    <w:p w14:paraId="09235D61" w14:textId="77777777" w:rsidR="00CA04BD" w:rsidRDefault="00CA04BD" w:rsidP="00CA04BD"/>
                    <w:p w14:paraId="2CC1FDC6" w14:textId="77777777" w:rsidR="00CA04BD" w:rsidRDefault="00CA04BD" w:rsidP="00CA04BD"/>
                    <w:p w14:paraId="29315CDD" w14:textId="77777777" w:rsidR="00CA04BD" w:rsidRDefault="00CA04BD" w:rsidP="00CA04BD"/>
                    <w:p w14:paraId="65C44C25" w14:textId="77777777" w:rsidR="00CA04BD" w:rsidRDefault="00CA04BD" w:rsidP="00CA04BD"/>
                    <w:p w14:paraId="36AA1AAF" w14:textId="77777777" w:rsidR="00CA04BD" w:rsidRDefault="00CA04BD" w:rsidP="00CA04BD"/>
                    <w:p w14:paraId="36CE6CFD" w14:textId="77777777" w:rsidR="00CA04BD" w:rsidRDefault="00CA04BD" w:rsidP="00CA04BD"/>
                    <w:p w14:paraId="2837EF57" w14:textId="77777777" w:rsidR="00CA04BD" w:rsidRDefault="00CA04BD" w:rsidP="00CA04BD"/>
                    <w:p w14:paraId="04E5B6C0" w14:textId="77777777" w:rsidR="00CA04BD" w:rsidRDefault="00CA04BD" w:rsidP="00CA04BD"/>
                    <w:p w14:paraId="7BA08491" w14:textId="77777777" w:rsidR="00CA04BD" w:rsidRDefault="00CA04BD" w:rsidP="00CA04BD"/>
                  </w:txbxContent>
                </v:textbox>
              </v:shape>
            </w:pict>
          </mc:Fallback>
        </mc:AlternateContent>
      </w:r>
    </w:p>
    <w:p w14:paraId="59699158" w14:textId="77777777" w:rsidR="00CA04BD" w:rsidRDefault="00CA04BD" w:rsidP="00CA04BD">
      <w:pPr>
        <w:spacing w:line="360" w:lineRule="auto"/>
        <w:rPr>
          <w:rFonts w:ascii="Times New Roman" w:hAnsi="Times New Roman" w:cs="Times New Roman"/>
        </w:rPr>
      </w:pPr>
    </w:p>
    <w:p w14:paraId="41F9C6EB" w14:textId="77777777" w:rsidR="00CA04BD" w:rsidRDefault="00CA04BD" w:rsidP="00CA04BD">
      <w:pPr>
        <w:spacing w:line="360" w:lineRule="auto"/>
        <w:rPr>
          <w:rFonts w:ascii="Times New Roman" w:hAnsi="Times New Roman" w:cs="Times New Roman"/>
        </w:rPr>
      </w:pPr>
    </w:p>
    <w:p w14:paraId="2650F911" w14:textId="77777777" w:rsidR="00CA04BD" w:rsidRDefault="00CA04BD" w:rsidP="00CA04BD">
      <w:pPr>
        <w:spacing w:line="360" w:lineRule="auto"/>
        <w:rPr>
          <w:rFonts w:ascii="Times New Roman" w:hAnsi="Times New Roman" w:cs="Times New Roman"/>
        </w:rPr>
      </w:pPr>
    </w:p>
    <w:p w14:paraId="0B6FD6E6" w14:textId="77777777" w:rsidR="00CA04BD" w:rsidRDefault="00CA04BD" w:rsidP="00CA04BD">
      <w:pPr>
        <w:spacing w:line="360" w:lineRule="auto"/>
        <w:rPr>
          <w:rFonts w:ascii="Times New Roman" w:hAnsi="Times New Roman" w:cs="Times New Roman"/>
        </w:rPr>
      </w:pPr>
    </w:p>
    <w:p w14:paraId="5C93E13D" w14:textId="77777777" w:rsidR="00CA04BD" w:rsidRDefault="00CA04BD" w:rsidP="00CA04BD">
      <w:pPr>
        <w:spacing w:line="360" w:lineRule="auto"/>
        <w:rPr>
          <w:rFonts w:ascii="Times New Roman" w:hAnsi="Times New Roman" w:cs="Times New Roman"/>
        </w:rPr>
      </w:pPr>
    </w:p>
    <w:p w14:paraId="3034B707" w14:textId="77777777" w:rsidR="00CA04BD" w:rsidRDefault="00CA04BD" w:rsidP="00CA04BD">
      <w:pPr>
        <w:spacing w:line="360" w:lineRule="auto"/>
        <w:rPr>
          <w:rFonts w:ascii="Times New Roman" w:hAnsi="Times New Roman" w:cs="Times New Roman"/>
        </w:rPr>
      </w:pPr>
    </w:p>
    <w:p w14:paraId="715E6786" w14:textId="77777777" w:rsidR="00CA04BD" w:rsidRDefault="00CA04BD" w:rsidP="00CA04BD">
      <w:pPr>
        <w:spacing w:line="360" w:lineRule="auto"/>
        <w:rPr>
          <w:rFonts w:ascii="Times New Roman" w:hAnsi="Times New Roman" w:cs="Times New Roman"/>
        </w:rPr>
      </w:pPr>
    </w:p>
    <w:p w14:paraId="4DB673AB" w14:textId="77777777" w:rsidR="00CA04BD" w:rsidRDefault="00CA04BD" w:rsidP="00CA04BD">
      <w:pPr>
        <w:spacing w:line="360" w:lineRule="auto"/>
        <w:rPr>
          <w:rFonts w:ascii="Times New Roman" w:hAnsi="Times New Roman" w:cs="Times New Roman"/>
        </w:rPr>
      </w:pPr>
    </w:p>
    <w:p w14:paraId="6B8047DA" w14:textId="77777777" w:rsidR="00CA04BD" w:rsidRDefault="00CA04BD" w:rsidP="00CA04BD">
      <w:pPr>
        <w:spacing w:line="360" w:lineRule="auto"/>
        <w:rPr>
          <w:rFonts w:ascii="Times New Roman" w:hAnsi="Times New Roman" w:cs="Times New Roman"/>
        </w:rPr>
      </w:pPr>
    </w:p>
    <w:p w14:paraId="33516324" w14:textId="77777777" w:rsidR="00CA04BD" w:rsidRDefault="00CA04BD" w:rsidP="00CA04BD">
      <w:pPr>
        <w:spacing w:line="360" w:lineRule="auto"/>
        <w:rPr>
          <w:rFonts w:ascii="Times New Roman" w:hAnsi="Times New Roman" w:cs="Times New Roman"/>
        </w:rPr>
      </w:pPr>
    </w:p>
    <w:p w14:paraId="54553A1D" w14:textId="77777777" w:rsidR="00CA04BD" w:rsidRDefault="00CA04BD" w:rsidP="00CA04BD">
      <w:pPr>
        <w:spacing w:line="360" w:lineRule="auto"/>
        <w:rPr>
          <w:rFonts w:ascii="Times New Roman" w:hAnsi="Times New Roman" w:cs="Times New Roman"/>
        </w:rPr>
      </w:pPr>
    </w:p>
    <w:p w14:paraId="64A342CC" w14:textId="77777777" w:rsidR="00CA04BD" w:rsidRDefault="00CA04BD" w:rsidP="00CA04BD">
      <w:pPr>
        <w:spacing w:line="360" w:lineRule="auto"/>
        <w:rPr>
          <w:rFonts w:ascii="Times New Roman" w:hAnsi="Times New Roman" w:cs="Times New Roman"/>
        </w:rPr>
      </w:pPr>
    </w:p>
    <w:p w14:paraId="66468B43" w14:textId="77777777" w:rsidR="00CA04BD" w:rsidRDefault="00CA04BD" w:rsidP="00CA04BD">
      <w:pPr>
        <w:spacing w:line="360" w:lineRule="auto"/>
        <w:rPr>
          <w:rFonts w:ascii="Times New Roman" w:hAnsi="Times New Roman" w:cs="Times New Roman"/>
        </w:rPr>
      </w:pPr>
    </w:p>
    <w:p w14:paraId="3B596C8C" w14:textId="77777777" w:rsidR="00CA04BD" w:rsidRDefault="00CA04BD" w:rsidP="00CA04BD">
      <w:pPr>
        <w:spacing w:line="360" w:lineRule="auto"/>
        <w:rPr>
          <w:rFonts w:ascii="Times New Roman" w:hAnsi="Times New Roman" w:cs="Times New Roman"/>
        </w:rPr>
      </w:pPr>
    </w:p>
    <w:p w14:paraId="70A5FD37" w14:textId="77777777" w:rsidR="00CA04BD" w:rsidRDefault="00CA04BD" w:rsidP="00CA04BD">
      <w:pPr>
        <w:spacing w:line="360" w:lineRule="auto"/>
        <w:rPr>
          <w:rFonts w:ascii="Times New Roman" w:hAnsi="Times New Roman" w:cs="Times New Roman"/>
        </w:rPr>
      </w:pPr>
    </w:p>
    <w:p w14:paraId="2AF01653" w14:textId="77777777" w:rsidR="00CA04BD" w:rsidRDefault="00CA04BD" w:rsidP="00CA04BD">
      <w:pPr>
        <w:spacing w:line="360" w:lineRule="auto"/>
        <w:rPr>
          <w:rFonts w:ascii="Times New Roman" w:hAnsi="Times New Roman" w:cs="Times New Roman"/>
        </w:rPr>
      </w:pPr>
    </w:p>
    <w:p w14:paraId="579544FE" w14:textId="77777777" w:rsidR="00CA04BD" w:rsidRDefault="00CA04BD" w:rsidP="00CA04BD">
      <w:pPr>
        <w:spacing w:line="360" w:lineRule="auto"/>
        <w:rPr>
          <w:rFonts w:ascii="Times New Roman" w:hAnsi="Times New Roman" w:cs="Times New Roman"/>
        </w:rPr>
      </w:pPr>
    </w:p>
    <w:p w14:paraId="1484B21F" w14:textId="77777777" w:rsidR="00CA04BD" w:rsidRDefault="00CA04BD" w:rsidP="00CA04BD">
      <w:pPr>
        <w:spacing w:line="360" w:lineRule="auto"/>
        <w:rPr>
          <w:rFonts w:ascii="Times New Roman" w:hAnsi="Times New Roman" w:cs="Times New Roman"/>
        </w:rPr>
      </w:pPr>
    </w:p>
    <w:p w14:paraId="41B20DAD" w14:textId="77777777" w:rsidR="00CA04BD" w:rsidRDefault="00CA04BD" w:rsidP="00CA04BD">
      <w:pPr>
        <w:spacing w:line="360" w:lineRule="auto"/>
        <w:rPr>
          <w:rFonts w:ascii="Times New Roman" w:hAnsi="Times New Roman" w:cs="Times New Roman"/>
        </w:rPr>
      </w:pPr>
    </w:p>
    <w:p w14:paraId="66C38B73" w14:textId="77777777" w:rsidR="00CA04BD" w:rsidRDefault="00CA04BD" w:rsidP="00CA04BD">
      <w:pPr>
        <w:spacing w:line="360" w:lineRule="auto"/>
        <w:rPr>
          <w:rFonts w:ascii="Times New Roman" w:hAnsi="Times New Roman" w:cs="Times New Roman"/>
        </w:rPr>
      </w:pPr>
    </w:p>
    <w:p w14:paraId="76C9A04D" w14:textId="77777777" w:rsidR="00CA04BD" w:rsidRDefault="00CA04BD" w:rsidP="00CA04BD">
      <w:pPr>
        <w:spacing w:line="360" w:lineRule="auto"/>
        <w:rPr>
          <w:rFonts w:ascii="Times New Roman" w:hAnsi="Times New Roman" w:cs="Times New Roman"/>
        </w:rPr>
      </w:pPr>
    </w:p>
    <w:p w14:paraId="3017AEE6" w14:textId="77777777" w:rsidR="00CA04BD" w:rsidRDefault="00CA04BD" w:rsidP="00CA04BD">
      <w:pPr>
        <w:spacing w:line="360" w:lineRule="auto"/>
        <w:rPr>
          <w:rFonts w:ascii="Times New Roman" w:hAnsi="Times New Roman" w:cs="Times New Roman"/>
        </w:rPr>
      </w:pPr>
    </w:p>
    <w:p w14:paraId="179D6A06" w14:textId="77777777" w:rsidR="00CA04BD" w:rsidRDefault="00CA04BD" w:rsidP="00CA04BD">
      <w:pPr>
        <w:spacing w:line="360" w:lineRule="auto"/>
        <w:rPr>
          <w:rFonts w:ascii="Times New Roman" w:hAnsi="Times New Roman" w:cs="Times New Roman"/>
        </w:rPr>
      </w:pPr>
    </w:p>
    <w:p w14:paraId="0CF93210" w14:textId="77777777" w:rsidR="00CA04BD" w:rsidRDefault="00CA04BD" w:rsidP="00CA04BD">
      <w:pPr>
        <w:spacing w:line="360" w:lineRule="auto"/>
        <w:rPr>
          <w:rFonts w:ascii="Times New Roman" w:hAnsi="Times New Roman" w:cs="Times New Roman"/>
        </w:rPr>
      </w:pPr>
    </w:p>
    <w:p w14:paraId="4F024709" w14:textId="77777777" w:rsidR="00CA04BD" w:rsidRDefault="00CA04BD" w:rsidP="00CA04BD">
      <w:pPr>
        <w:spacing w:line="360" w:lineRule="auto"/>
        <w:rPr>
          <w:rFonts w:ascii="Times New Roman" w:hAnsi="Times New Roman" w:cs="Times New Roman"/>
        </w:rPr>
      </w:pPr>
    </w:p>
    <w:p w14:paraId="256BF917" w14:textId="77777777" w:rsidR="00CA04BD" w:rsidRDefault="00CA04BD" w:rsidP="00CA04BD">
      <w:pPr>
        <w:spacing w:line="360" w:lineRule="auto"/>
        <w:rPr>
          <w:rFonts w:ascii="Times New Roman" w:hAnsi="Times New Roman" w:cs="Times New Roman"/>
        </w:rPr>
      </w:pPr>
    </w:p>
    <w:p w14:paraId="3A3FB282" w14:textId="77777777" w:rsidR="00CA04BD" w:rsidRDefault="00CA04BD" w:rsidP="00CA04BD">
      <w:pPr>
        <w:spacing w:line="360" w:lineRule="auto"/>
        <w:rPr>
          <w:rFonts w:ascii="Times New Roman" w:hAnsi="Times New Roman" w:cs="Times New Roman"/>
        </w:rPr>
      </w:pPr>
    </w:p>
    <w:p w14:paraId="38B0062F" w14:textId="77777777" w:rsidR="00CA04BD" w:rsidRDefault="00CA04BD" w:rsidP="00CA04BD">
      <w:pPr>
        <w:spacing w:line="360" w:lineRule="auto"/>
        <w:rPr>
          <w:rFonts w:ascii="Times New Roman" w:hAnsi="Times New Roman" w:cs="Times New Roman"/>
        </w:rPr>
      </w:pPr>
    </w:p>
    <w:p w14:paraId="53EA1490" w14:textId="77777777" w:rsidR="00CA04BD" w:rsidRDefault="00CA04BD" w:rsidP="00CA04BD">
      <w:pPr>
        <w:spacing w:line="360" w:lineRule="auto"/>
        <w:rPr>
          <w:rFonts w:ascii="Times New Roman" w:hAnsi="Times New Roman" w:cs="Times New Roman"/>
        </w:rPr>
      </w:pPr>
    </w:p>
    <w:p w14:paraId="5623A9D5" w14:textId="77777777" w:rsidR="00CA04BD" w:rsidRDefault="00CA04BD" w:rsidP="00CA04BD">
      <w:pPr>
        <w:spacing w:line="360" w:lineRule="auto"/>
        <w:rPr>
          <w:rFonts w:ascii="Times New Roman" w:hAnsi="Times New Roman" w:cs="Times New Roman"/>
        </w:rPr>
      </w:pPr>
    </w:p>
    <w:p w14:paraId="31374232" w14:textId="77777777" w:rsidR="00CA04BD" w:rsidRDefault="00CA04BD" w:rsidP="00CA04BD">
      <w:pPr>
        <w:spacing w:line="360" w:lineRule="auto"/>
        <w:rPr>
          <w:rFonts w:ascii="Times New Roman" w:hAnsi="Times New Roman" w:cs="Times New Roman"/>
        </w:rPr>
      </w:pPr>
    </w:p>
    <w:p w14:paraId="2FF34EA2" w14:textId="77777777" w:rsidR="00CA04BD" w:rsidRDefault="00CA04BD" w:rsidP="00CA04BD">
      <w:pPr>
        <w:spacing w:line="360" w:lineRule="auto"/>
        <w:rPr>
          <w:rFonts w:ascii="Times New Roman" w:hAnsi="Times New Roman" w:cs="Times New Roman"/>
        </w:rPr>
        <w:sectPr w:rsidR="00CA04BD" w:rsidSect="006F2DB4">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6F12C733" wp14:editId="3E70F20E">
                <wp:simplePos x="0" y="0"/>
                <wp:positionH relativeFrom="column">
                  <wp:posOffset>0</wp:posOffset>
                </wp:positionH>
                <wp:positionV relativeFrom="paragraph">
                  <wp:posOffset>-262890</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CA04BD" w:rsidRPr="009550C4" w14:paraId="5E0C5D1D" w14:textId="77777777" w:rsidTr="00106DEE">
                              <w:trPr>
                                <w:trHeight w:val="320"/>
                              </w:trPr>
                              <w:tc>
                                <w:tcPr>
                                  <w:tcW w:w="9350" w:type="dxa"/>
                                  <w:gridSpan w:val="6"/>
                                </w:tcPr>
                                <w:p w14:paraId="2A5A1CB7" w14:textId="77777777" w:rsidR="00CA04BD" w:rsidRPr="009550C4" w:rsidRDefault="00CA04BD"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CA04BD" w:rsidRPr="009550C4" w14:paraId="5223D135" w14:textId="77777777" w:rsidTr="00A814E3">
                              <w:trPr>
                                <w:trHeight w:val="320"/>
                              </w:trPr>
                              <w:tc>
                                <w:tcPr>
                                  <w:tcW w:w="2456" w:type="dxa"/>
                                  <w:noWrap/>
                                  <w:vAlign w:val="center"/>
                                  <w:hideMark/>
                                </w:tcPr>
                                <w:p w14:paraId="1B5D0A10" w14:textId="77777777" w:rsidR="00CA04BD" w:rsidRPr="009550C4" w:rsidRDefault="00CA04BD"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5B57CA33" w14:textId="77777777" w:rsidR="00CA04BD" w:rsidRDefault="00CA04BD"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51F4DDD1" w14:textId="77777777" w:rsidR="00CA04BD" w:rsidRPr="009550C4" w:rsidRDefault="00CA04BD"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39EE8C38" w14:textId="77777777" w:rsidR="00CA04BD" w:rsidRPr="009550C4" w:rsidRDefault="00CA04BD"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0F860C66" w14:textId="77777777" w:rsidR="00CA04BD" w:rsidRPr="009550C4" w:rsidRDefault="00CA04BD"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2496668B" w14:textId="77777777" w:rsidR="00CA04BD" w:rsidRPr="001127FB" w:rsidRDefault="00CA04BD"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8E8B2E5" w14:textId="77777777" w:rsidR="00CA04BD" w:rsidRPr="009550C4" w:rsidRDefault="00CA04BD"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CA04BD" w:rsidRPr="009550C4" w14:paraId="1996A233" w14:textId="77777777" w:rsidTr="00A814E3">
                              <w:trPr>
                                <w:trHeight w:val="320"/>
                              </w:trPr>
                              <w:tc>
                                <w:tcPr>
                                  <w:tcW w:w="2456" w:type="dxa"/>
                                  <w:noWrap/>
                                  <w:vAlign w:val="center"/>
                                  <w:hideMark/>
                                </w:tcPr>
                                <w:p w14:paraId="431DCC2D"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692E9FBB"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CB2AA6A" w14:textId="77777777" w:rsidR="00CA04BD" w:rsidRPr="009550C4" w:rsidRDefault="00CA04BD" w:rsidP="00371B03">
                                  <w:pPr>
                                    <w:jc w:val="center"/>
                                    <w:rPr>
                                      <w:rFonts w:ascii="Times New Roman" w:hAnsi="Times New Roman" w:cs="Times New Roman"/>
                                      <w:sz w:val="20"/>
                                      <w:szCs w:val="20"/>
                                    </w:rPr>
                                  </w:pPr>
                                </w:p>
                                <w:p w14:paraId="2D408A69"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200AB92F" w14:textId="77777777" w:rsidR="00CA04BD" w:rsidRPr="009550C4" w:rsidRDefault="00CA04BD" w:rsidP="00371B03">
                                  <w:pPr>
                                    <w:jc w:val="center"/>
                                    <w:rPr>
                                      <w:rFonts w:ascii="Times New Roman" w:hAnsi="Times New Roman" w:cs="Times New Roman"/>
                                      <w:sz w:val="20"/>
                                      <w:szCs w:val="20"/>
                                    </w:rPr>
                                  </w:pPr>
                                </w:p>
                                <w:p w14:paraId="566F0E26"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D7EABFB" w14:textId="77777777" w:rsidR="00CA04BD" w:rsidRPr="009550C4" w:rsidRDefault="00CA04BD" w:rsidP="00371B03">
                                  <w:pPr>
                                    <w:jc w:val="center"/>
                                    <w:rPr>
                                      <w:rFonts w:ascii="Times New Roman" w:hAnsi="Times New Roman" w:cs="Times New Roman"/>
                                      <w:sz w:val="20"/>
                                      <w:szCs w:val="20"/>
                                    </w:rPr>
                                  </w:pPr>
                                </w:p>
                                <w:p w14:paraId="7F98B6C3"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0A85D57"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761187E0"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60DB747D" w14:textId="77777777" w:rsidTr="00A814E3">
                              <w:trPr>
                                <w:trHeight w:val="320"/>
                              </w:trPr>
                              <w:tc>
                                <w:tcPr>
                                  <w:tcW w:w="2456" w:type="dxa"/>
                                  <w:noWrap/>
                                  <w:vAlign w:val="center"/>
                                  <w:hideMark/>
                                </w:tcPr>
                                <w:p w14:paraId="42D941E3"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23C1869F"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52563D7B" w14:textId="77777777" w:rsidR="00CA04BD" w:rsidRPr="009550C4" w:rsidRDefault="00CA04BD" w:rsidP="00371B03">
                                  <w:pPr>
                                    <w:jc w:val="center"/>
                                    <w:rPr>
                                      <w:rFonts w:ascii="Times New Roman" w:hAnsi="Times New Roman" w:cs="Times New Roman"/>
                                      <w:sz w:val="20"/>
                                      <w:szCs w:val="20"/>
                                    </w:rPr>
                                  </w:pPr>
                                </w:p>
                                <w:p w14:paraId="5181689B"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6C96E2BD" w14:textId="77777777" w:rsidR="00CA04BD" w:rsidRPr="009550C4" w:rsidRDefault="00CA04BD" w:rsidP="00371B03">
                                  <w:pPr>
                                    <w:jc w:val="center"/>
                                    <w:rPr>
                                      <w:rFonts w:ascii="Times New Roman" w:hAnsi="Times New Roman" w:cs="Times New Roman"/>
                                      <w:sz w:val="20"/>
                                      <w:szCs w:val="20"/>
                                    </w:rPr>
                                  </w:pPr>
                                </w:p>
                                <w:p w14:paraId="73856418"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5F5DDB3D" w14:textId="77777777" w:rsidR="00CA04BD" w:rsidRPr="009550C4" w:rsidRDefault="00CA04BD" w:rsidP="00371B03">
                                  <w:pPr>
                                    <w:jc w:val="center"/>
                                    <w:rPr>
                                      <w:rFonts w:ascii="Times New Roman" w:hAnsi="Times New Roman" w:cs="Times New Roman"/>
                                      <w:sz w:val="20"/>
                                      <w:szCs w:val="20"/>
                                    </w:rPr>
                                  </w:pPr>
                                </w:p>
                                <w:p w14:paraId="2EB08A01"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45AB0FD8"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4E8BB63F"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001959C2" w14:textId="77777777" w:rsidTr="00A814E3">
                              <w:trPr>
                                <w:trHeight w:val="320"/>
                              </w:trPr>
                              <w:tc>
                                <w:tcPr>
                                  <w:tcW w:w="2456" w:type="dxa"/>
                                  <w:noWrap/>
                                  <w:vAlign w:val="center"/>
                                  <w:hideMark/>
                                </w:tcPr>
                                <w:p w14:paraId="5E10C4F0"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46009BF"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362C712" w14:textId="77777777" w:rsidR="00CA04BD" w:rsidRPr="009550C4" w:rsidRDefault="00CA04BD" w:rsidP="00371B03">
                                  <w:pPr>
                                    <w:jc w:val="center"/>
                                    <w:rPr>
                                      <w:rFonts w:ascii="Times New Roman" w:hAnsi="Times New Roman" w:cs="Times New Roman"/>
                                      <w:sz w:val="20"/>
                                      <w:szCs w:val="20"/>
                                    </w:rPr>
                                  </w:pPr>
                                </w:p>
                                <w:p w14:paraId="6F7BB97B"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78878982" w14:textId="77777777" w:rsidR="00CA04BD" w:rsidRPr="009550C4" w:rsidRDefault="00CA04BD" w:rsidP="00371B03">
                                  <w:pPr>
                                    <w:jc w:val="center"/>
                                    <w:rPr>
                                      <w:rFonts w:ascii="Times New Roman" w:hAnsi="Times New Roman" w:cs="Times New Roman"/>
                                      <w:sz w:val="20"/>
                                      <w:szCs w:val="20"/>
                                    </w:rPr>
                                  </w:pPr>
                                </w:p>
                                <w:p w14:paraId="02B33ABD"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30E1178A" w14:textId="77777777" w:rsidR="00CA04BD" w:rsidRPr="009550C4" w:rsidRDefault="00CA04BD" w:rsidP="00371B03">
                                  <w:pPr>
                                    <w:jc w:val="center"/>
                                    <w:rPr>
                                      <w:rFonts w:ascii="Times New Roman" w:hAnsi="Times New Roman" w:cs="Times New Roman"/>
                                      <w:sz w:val="20"/>
                                      <w:szCs w:val="20"/>
                                    </w:rPr>
                                  </w:pPr>
                                </w:p>
                                <w:p w14:paraId="4650C96C"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244C1F3C"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175702F6"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78BF1097" w14:textId="77777777" w:rsidTr="00A814E3">
                              <w:trPr>
                                <w:trHeight w:val="320"/>
                              </w:trPr>
                              <w:tc>
                                <w:tcPr>
                                  <w:tcW w:w="2456" w:type="dxa"/>
                                  <w:noWrap/>
                                  <w:vAlign w:val="center"/>
                                  <w:hideMark/>
                                </w:tcPr>
                                <w:p w14:paraId="67951867"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5DD618B6"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97ED7CE" w14:textId="77777777" w:rsidR="00CA04BD" w:rsidRPr="009550C4" w:rsidRDefault="00CA04BD" w:rsidP="00371B03">
                                  <w:pPr>
                                    <w:jc w:val="center"/>
                                    <w:rPr>
                                      <w:rFonts w:ascii="Times New Roman" w:hAnsi="Times New Roman" w:cs="Times New Roman"/>
                                      <w:sz w:val="20"/>
                                      <w:szCs w:val="20"/>
                                    </w:rPr>
                                  </w:pPr>
                                </w:p>
                                <w:p w14:paraId="1229E3F0"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6C1A2974" w14:textId="77777777" w:rsidR="00CA04BD" w:rsidRPr="009550C4" w:rsidRDefault="00CA04BD" w:rsidP="00371B03">
                                  <w:pPr>
                                    <w:jc w:val="center"/>
                                    <w:rPr>
                                      <w:rFonts w:ascii="Times New Roman" w:hAnsi="Times New Roman" w:cs="Times New Roman"/>
                                      <w:sz w:val="20"/>
                                      <w:szCs w:val="20"/>
                                    </w:rPr>
                                  </w:pPr>
                                </w:p>
                                <w:p w14:paraId="42B53AFB"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DA48221" w14:textId="77777777" w:rsidR="00CA04BD" w:rsidRPr="009550C4" w:rsidRDefault="00CA04BD" w:rsidP="00371B03">
                                  <w:pPr>
                                    <w:jc w:val="center"/>
                                    <w:rPr>
                                      <w:rFonts w:ascii="Times New Roman" w:hAnsi="Times New Roman" w:cs="Times New Roman"/>
                                      <w:sz w:val="20"/>
                                      <w:szCs w:val="20"/>
                                    </w:rPr>
                                  </w:pPr>
                                </w:p>
                                <w:p w14:paraId="6B2108BF"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6D5982A4"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1DF5C624"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6EE08063" w14:textId="77777777" w:rsidTr="00A814E3">
                              <w:trPr>
                                <w:trHeight w:val="320"/>
                              </w:trPr>
                              <w:tc>
                                <w:tcPr>
                                  <w:tcW w:w="2456" w:type="dxa"/>
                                  <w:noWrap/>
                                  <w:vAlign w:val="center"/>
                                  <w:hideMark/>
                                </w:tcPr>
                                <w:p w14:paraId="54EC75ED"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0E74F5B8"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03478C" w14:textId="77777777" w:rsidR="00CA04BD" w:rsidRPr="009550C4" w:rsidRDefault="00CA04BD" w:rsidP="00371B03">
                                  <w:pPr>
                                    <w:jc w:val="center"/>
                                    <w:rPr>
                                      <w:rFonts w:ascii="Times New Roman" w:hAnsi="Times New Roman" w:cs="Times New Roman"/>
                                      <w:sz w:val="20"/>
                                      <w:szCs w:val="20"/>
                                    </w:rPr>
                                  </w:pPr>
                                </w:p>
                                <w:p w14:paraId="70DC8612"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571053ED" w14:textId="77777777" w:rsidR="00CA04BD" w:rsidRPr="009550C4" w:rsidRDefault="00CA04BD" w:rsidP="00371B03">
                                  <w:pPr>
                                    <w:jc w:val="center"/>
                                    <w:rPr>
                                      <w:rFonts w:ascii="Times New Roman" w:hAnsi="Times New Roman" w:cs="Times New Roman"/>
                                      <w:sz w:val="20"/>
                                      <w:szCs w:val="20"/>
                                    </w:rPr>
                                  </w:pPr>
                                </w:p>
                                <w:p w14:paraId="2870A0D0"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03D60CC1" w14:textId="77777777" w:rsidR="00CA04BD" w:rsidRPr="009550C4" w:rsidRDefault="00CA04BD" w:rsidP="00371B03">
                                  <w:pPr>
                                    <w:jc w:val="center"/>
                                    <w:rPr>
                                      <w:rFonts w:ascii="Times New Roman" w:hAnsi="Times New Roman" w:cs="Times New Roman"/>
                                      <w:sz w:val="20"/>
                                      <w:szCs w:val="20"/>
                                    </w:rPr>
                                  </w:pPr>
                                </w:p>
                                <w:p w14:paraId="45B3FCA3"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24EFDFB8"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21665BE7"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CA04BD" w:rsidRPr="009550C4" w14:paraId="6FC5E00D" w14:textId="77777777" w:rsidTr="00A814E3">
                              <w:trPr>
                                <w:trHeight w:val="320"/>
                              </w:trPr>
                              <w:tc>
                                <w:tcPr>
                                  <w:tcW w:w="2456" w:type="dxa"/>
                                  <w:tcBorders>
                                    <w:bottom w:val="single" w:sz="4" w:space="0" w:color="auto"/>
                                  </w:tcBorders>
                                  <w:noWrap/>
                                  <w:vAlign w:val="center"/>
                                  <w:hideMark/>
                                </w:tcPr>
                                <w:p w14:paraId="35AA3D24"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5EF86C90"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7B69AC05" w14:textId="77777777" w:rsidR="00CA04BD" w:rsidRPr="009550C4" w:rsidRDefault="00CA04BD" w:rsidP="00371B03">
                                  <w:pPr>
                                    <w:jc w:val="center"/>
                                    <w:rPr>
                                      <w:rFonts w:ascii="Times New Roman" w:hAnsi="Times New Roman" w:cs="Times New Roman"/>
                                      <w:sz w:val="20"/>
                                      <w:szCs w:val="20"/>
                                    </w:rPr>
                                  </w:pPr>
                                </w:p>
                                <w:p w14:paraId="1FF9489C"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396347D6" w14:textId="77777777" w:rsidR="00CA04BD" w:rsidRPr="009550C4" w:rsidRDefault="00CA04BD" w:rsidP="00371B03">
                                  <w:pPr>
                                    <w:jc w:val="center"/>
                                    <w:rPr>
                                      <w:rFonts w:ascii="Times New Roman" w:hAnsi="Times New Roman" w:cs="Times New Roman"/>
                                      <w:sz w:val="20"/>
                                      <w:szCs w:val="20"/>
                                    </w:rPr>
                                  </w:pPr>
                                </w:p>
                                <w:p w14:paraId="30C7BB4E"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79695BA6" w14:textId="77777777" w:rsidR="00CA04BD" w:rsidRPr="009550C4" w:rsidRDefault="00CA04BD" w:rsidP="00371B03">
                                  <w:pPr>
                                    <w:jc w:val="center"/>
                                    <w:rPr>
                                      <w:rFonts w:ascii="Times New Roman" w:hAnsi="Times New Roman" w:cs="Times New Roman"/>
                                      <w:sz w:val="20"/>
                                      <w:szCs w:val="20"/>
                                    </w:rPr>
                                  </w:pPr>
                                </w:p>
                                <w:p w14:paraId="59EDF7F9"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194EF14A"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048B5198"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1ADE32FF" w14:textId="77777777" w:rsidTr="00A814E3">
                              <w:trPr>
                                <w:trHeight w:val="320"/>
                              </w:trPr>
                              <w:tc>
                                <w:tcPr>
                                  <w:tcW w:w="2456" w:type="dxa"/>
                                  <w:tcBorders>
                                    <w:bottom w:val="single" w:sz="4" w:space="0" w:color="auto"/>
                                  </w:tcBorders>
                                  <w:noWrap/>
                                  <w:vAlign w:val="center"/>
                                </w:tcPr>
                                <w:p w14:paraId="15313688" w14:textId="77777777" w:rsidR="00CA04BD" w:rsidRPr="005B5303" w:rsidRDefault="00CA04BD"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1C05B0C9" w14:textId="77777777" w:rsidR="00CA04BD" w:rsidRPr="009550C4" w:rsidRDefault="00CA04BD"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215BDD66"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5C494561"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01F78457"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0F9CB8E1"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0A6D36DB"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CA04BD" w:rsidRPr="009550C4" w14:paraId="76166EDB" w14:textId="77777777" w:rsidTr="00106DEE">
                              <w:trPr>
                                <w:trHeight w:val="320"/>
                              </w:trPr>
                              <w:tc>
                                <w:tcPr>
                                  <w:tcW w:w="9350" w:type="dxa"/>
                                  <w:gridSpan w:val="6"/>
                                  <w:tcBorders>
                                    <w:left w:val="nil"/>
                                    <w:bottom w:val="nil"/>
                                    <w:right w:val="nil"/>
                                  </w:tcBorders>
                                </w:tcPr>
                                <w:p w14:paraId="59572665" w14:textId="77777777" w:rsidR="00CA04BD" w:rsidRDefault="00CA04BD"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7F68CEA6" w14:textId="77777777" w:rsidR="00CA04BD" w:rsidRDefault="00CA04BD"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72CCADF6" w14:textId="77777777" w:rsidR="00CA04BD" w:rsidRDefault="00CA04BD"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13AB9B8" w14:textId="77777777" w:rsidR="00CA04BD" w:rsidRPr="001A7F3A" w:rsidRDefault="00CA04BD"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4F38B5B" w14:textId="77777777" w:rsidR="00CA04BD" w:rsidRDefault="00CA04BD" w:rsidP="00371B03">
                                  <w:pPr>
                                    <w:rPr>
                                      <w:rFonts w:ascii="Times New Roman" w:hAnsi="Times New Roman" w:cs="Times New Roman"/>
                                      <w:sz w:val="20"/>
                                      <w:szCs w:val="20"/>
                                      <w:lang w:bidi="en-US"/>
                                    </w:rPr>
                                  </w:pPr>
                                </w:p>
                                <w:p w14:paraId="7E35EEC8" w14:textId="77777777" w:rsidR="00CA04BD" w:rsidRPr="00AF604F" w:rsidRDefault="00CA04BD" w:rsidP="00371B03">
                                  <w:pPr>
                                    <w:rPr>
                                      <w:rFonts w:ascii="Times New Roman" w:hAnsi="Times New Roman" w:cs="Times New Roman"/>
                                      <w:sz w:val="20"/>
                                      <w:szCs w:val="20"/>
                                    </w:rPr>
                                  </w:pPr>
                                </w:p>
                              </w:tc>
                            </w:tr>
                          </w:tbl>
                          <w:p w14:paraId="55A7BFAB" w14:textId="77777777" w:rsidR="00CA04BD" w:rsidRDefault="00CA04BD" w:rsidP="00CA0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C733" id="Text Box 1" o:spid="_x0000_s1027" type="#_x0000_t202" style="position:absolute;margin-left:0;margin-top:-20.7pt;width:487.15pt;height:3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qB8GwIAADQEAAAOAAAAZHJzL2Uyb0RvYy54bWysU8lu2zAQvRfoPxC815Idx4tgOXATuChg&#13;&#10;JAGcImeaIi0BFIclaUvu13dIyQvSnopeqBnOaJb3HhcPba3IUVhXgc7pcJBSIjSHotL7nP54W3+Z&#13;&#10;UeI80wVToEVOT8LRh+XnT4vGZGIEJahCWIJFtMsak9PSe5MlieOlqJkbgBEagxJszTy6dp8UljVY&#13;&#10;vVbJKE0nSQO2MBa4cA5vn7ogXcb6UgruX6R0whOVU5zNx9PGcxfOZLlg2d4yU1a8H4P9wxQ1qzQ2&#13;&#10;vZR6Yp6Rg63+KFVX3IID6Qcc6gSkrLiIO+A2w/TDNtuSGRF3QXCcucDk/l9Z/nzcmldLfPsVWiQw&#13;&#10;ANIYlzm8DPu00tbhi5MSjCOEpwtsovWE4+VkOJtM5yNKOMbG6d1kPp2FOsn1d2Od/yagJsHIqUVe&#13;&#10;IlzsuHG+Sz2nhG4a1pVSkRulSYMt7u7T+MMlgsWVxh7XYYPl211LquJmkR0UJ9zPQke9M3xd4Qwb&#13;&#10;5vwrs8g1roT69S94SAXYC3qLkhLsr7/dh3ykAKOUNKidnLqfB2YFJeq7RnLmw/E4iC064/vpCB17&#13;&#10;G9ndRvShfgSU5xBfiuHRDPlenU1poX5Hma9CVwwxzbF3Tv3ZfPSdovGZcLFaxSSUl2F+o7eGh9IB&#13;&#10;1YDwW/vOrOlp8MjgM5xVxrIPbHS5HR+rgwdZRaoCzh2qPfwozUh2/4yC9m/9mHV97MvfAAAA//8D&#13;&#10;AFBLAwQUAAYACAAAACEA4kf6EOUAAAANAQAADwAAAGRycy9kb3ducmV2LnhtbEyPQU/CQBCF7yb+&#13;&#10;h82YeIMtUBRKp4TUEBOjB5CLt213aBu7u6W7QPXXO570MpnJy3vzvnQ9mFZcqPeNswiTcQSCbOl0&#13;&#10;YyuEw/t2tADhg7Jatc4Swhd5WGe3N6lKtLvaHV32oRIcYn2iEOoQukRKX9ZklB+7jixrR9cbFfjs&#13;&#10;K6l7deVw08ppFD1IoxrLH2rVUV5T+bk/G4SXfPumdsXULL7b/Pn1uOlOh4854v3d8LTisVmBCDSE&#13;&#10;Pwf8MnB/yLhY4c5We9EiME1AGMWTGATLy8d4BqJAmC95kVkq/1NkPwAAAP//AwBQSwECLQAUAAYA&#13;&#10;CAAAACEAtoM4kv4AAADhAQAAEwAAAAAAAAAAAAAAAAAAAAAAW0NvbnRlbnRfVHlwZXNdLnhtbFBL&#13;&#10;AQItABQABgAIAAAAIQA4/SH/1gAAAJQBAAALAAAAAAAAAAAAAAAAAC8BAABfcmVscy8ucmVsc1BL&#13;&#10;AQItABQABgAIAAAAIQDvMqB8GwIAADQEAAAOAAAAAAAAAAAAAAAAAC4CAABkcnMvZTJvRG9jLnht&#13;&#10;bFBLAQItABQABgAIAAAAIQDiR/oQ5QAAAA0BAAAPAAAAAAAAAAAAAAAAAHUEAABkcnMvZG93bnJl&#13;&#10;di54bWxQSwUGAAAAAAQABADzAAAAhw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CA04BD" w:rsidRPr="009550C4" w14:paraId="5E0C5D1D" w14:textId="77777777" w:rsidTr="00106DEE">
                        <w:trPr>
                          <w:trHeight w:val="320"/>
                        </w:trPr>
                        <w:tc>
                          <w:tcPr>
                            <w:tcW w:w="9350" w:type="dxa"/>
                            <w:gridSpan w:val="6"/>
                          </w:tcPr>
                          <w:p w14:paraId="2A5A1CB7" w14:textId="77777777" w:rsidR="00CA04BD" w:rsidRPr="009550C4" w:rsidRDefault="00CA04BD"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CA04BD" w:rsidRPr="009550C4" w14:paraId="5223D135" w14:textId="77777777" w:rsidTr="00A814E3">
                        <w:trPr>
                          <w:trHeight w:val="320"/>
                        </w:trPr>
                        <w:tc>
                          <w:tcPr>
                            <w:tcW w:w="2456" w:type="dxa"/>
                            <w:noWrap/>
                            <w:vAlign w:val="center"/>
                            <w:hideMark/>
                          </w:tcPr>
                          <w:p w14:paraId="1B5D0A10" w14:textId="77777777" w:rsidR="00CA04BD" w:rsidRPr="009550C4" w:rsidRDefault="00CA04BD"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5B57CA33" w14:textId="77777777" w:rsidR="00CA04BD" w:rsidRDefault="00CA04BD"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51F4DDD1" w14:textId="77777777" w:rsidR="00CA04BD" w:rsidRPr="009550C4" w:rsidRDefault="00CA04BD"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39EE8C38" w14:textId="77777777" w:rsidR="00CA04BD" w:rsidRPr="009550C4" w:rsidRDefault="00CA04BD"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0F860C66" w14:textId="77777777" w:rsidR="00CA04BD" w:rsidRPr="009550C4" w:rsidRDefault="00CA04BD"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2496668B" w14:textId="77777777" w:rsidR="00CA04BD" w:rsidRPr="001127FB" w:rsidRDefault="00CA04BD"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8E8B2E5" w14:textId="77777777" w:rsidR="00CA04BD" w:rsidRPr="009550C4" w:rsidRDefault="00CA04BD"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CA04BD" w:rsidRPr="009550C4" w14:paraId="1996A233" w14:textId="77777777" w:rsidTr="00A814E3">
                        <w:trPr>
                          <w:trHeight w:val="320"/>
                        </w:trPr>
                        <w:tc>
                          <w:tcPr>
                            <w:tcW w:w="2456" w:type="dxa"/>
                            <w:noWrap/>
                            <w:vAlign w:val="center"/>
                            <w:hideMark/>
                          </w:tcPr>
                          <w:p w14:paraId="431DCC2D"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692E9FBB"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CB2AA6A" w14:textId="77777777" w:rsidR="00CA04BD" w:rsidRPr="009550C4" w:rsidRDefault="00CA04BD" w:rsidP="00371B03">
                            <w:pPr>
                              <w:jc w:val="center"/>
                              <w:rPr>
                                <w:rFonts w:ascii="Times New Roman" w:hAnsi="Times New Roman" w:cs="Times New Roman"/>
                                <w:sz w:val="20"/>
                                <w:szCs w:val="20"/>
                              </w:rPr>
                            </w:pPr>
                          </w:p>
                          <w:p w14:paraId="2D408A69"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200AB92F" w14:textId="77777777" w:rsidR="00CA04BD" w:rsidRPr="009550C4" w:rsidRDefault="00CA04BD" w:rsidP="00371B03">
                            <w:pPr>
                              <w:jc w:val="center"/>
                              <w:rPr>
                                <w:rFonts w:ascii="Times New Roman" w:hAnsi="Times New Roman" w:cs="Times New Roman"/>
                                <w:sz w:val="20"/>
                                <w:szCs w:val="20"/>
                              </w:rPr>
                            </w:pPr>
                          </w:p>
                          <w:p w14:paraId="566F0E26"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D7EABFB" w14:textId="77777777" w:rsidR="00CA04BD" w:rsidRPr="009550C4" w:rsidRDefault="00CA04BD" w:rsidP="00371B03">
                            <w:pPr>
                              <w:jc w:val="center"/>
                              <w:rPr>
                                <w:rFonts w:ascii="Times New Roman" w:hAnsi="Times New Roman" w:cs="Times New Roman"/>
                                <w:sz w:val="20"/>
                                <w:szCs w:val="20"/>
                              </w:rPr>
                            </w:pPr>
                          </w:p>
                          <w:p w14:paraId="7F98B6C3"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0A85D57"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761187E0"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60DB747D" w14:textId="77777777" w:rsidTr="00A814E3">
                        <w:trPr>
                          <w:trHeight w:val="320"/>
                        </w:trPr>
                        <w:tc>
                          <w:tcPr>
                            <w:tcW w:w="2456" w:type="dxa"/>
                            <w:noWrap/>
                            <w:vAlign w:val="center"/>
                            <w:hideMark/>
                          </w:tcPr>
                          <w:p w14:paraId="42D941E3"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23C1869F"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52563D7B" w14:textId="77777777" w:rsidR="00CA04BD" w:rsidRPr="009550C4" w:rsidRDefault="00CA04BD" w:rsidP="00371B03">
                            <w:pPr>
                              <w:jc w:val="center"/>
                              <w:rPr>
                                <w:rFonts w:ascii="Times New Roman" w:hAnsi="Times New Roman" w:cs="Times New Roman"/>
                                <w:sz w:val="20"/>
                                <w:szCs w:val="20"/>
                              </w:rPr>
                            </w:pPr>
                          </w:p>
                          <w:p w14:paraId="5181689B"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6C96E2BD" w14:textId="77777777" w:rsidR="00CA04BD" w:rsidRPr="009550C4" w:rsidRDefault="00CA04BD" w:rsidP="00371B03">
                            <w:pPr>
                              <w:jc w:val="center"/>
                              <w:rPr>
                                <w:rFonts w:ascii="Times New Roman" w:hAnsi="Times New Roman" w:cs="Times New Roman"/>
                                <w:sz w:val="20"/>
                                <w:szCs w:val="20"/>
                              </w:rPr>
                            </w:pPr>
                          </w:p>
                          <w:p w14:paraId="73856418"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5F5DDB3D" w14:textId="77777777" w:rsidR="00CA04BD" w:rsidRPr="009550C4" w:rsidRDefault="00CA04BD" w:rsidP="00371B03">
                            <w:pPr>
                              <w:jc w:val="center"/>
                              <w:rPr>
                                <w:rFonts w:ascii="Times New Roman" w:hAnsi="Times New Roman" w:cs="Times New Roman"/>
                                <w:sz w:val="20"/>
                                <w:szCs w:val="20"/>
                              </w:rPr>
                            </w:pPr>
                          </w:p>
                          <w:p w14:paraId="2EB08A01"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45AB0FD8"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4E8BB63F"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001959C2" w14:textId="77777777" w:rsidTr="00A814E3">
                        <w:trPr>
                          <w:trHeight w:val="320"/>
                        </w:trPr>
                        <w:tc>
                          <w:tcPr>
                            <w:tcW w:w="2456" w:type="dxa"/>
                            <w:noWrap/>
                            <w:vAlign w:val="center"/>
                            <w:hideMark/>
                          </w:tcPr>
                          <w:p w14:paraId="5E10C4F0"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46009BF"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362C712" w14:textId="77777777" w:rsidR="00CA04BD" w:rsidRPr="009550C4" w:rsidRDefault="00CA04BD" w:rsidP="00371B03">
                            <w:pPr>
                              <w:jc w:val="center"/>
                              <w:rPr>
                                <w:rFonts w:ascii="Times New Roman" w:hAnsi="Times New Roman" w:cs="Times New Roman"/>
                                <w:sz w:val="20"/>
                                <w:szCs w:val="20"/>
                              </w:rPr>
                            </w:pPr>
                          </w:p>
                          <w:p w14:paraId="6F7BB97B"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78878982" w14:textId="77777777" w:rsidR="00CA04BD" w:rsidRPr="009550C4" w:rsidRDefault="00CA04BD" w:rsidP="00371B03">
                            <w:pPr>
                              <w:jc w:val="center"/>
                              <w:rPr>
                                <w:rFonts w:ascii="Times New Roman" w:hAnsi="Times New Roman" w:cs="Times New Roman"/>
                                <w:sz w:val="20"/>
                                <w:szCs w:val="20"/>
                              </w:rPr>
                            </w:pPr>
                          </w:p>
                          <w:p w14:paraId="02B33ABD"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30E1178A" w14:textId="77777777" w:rsidR="00CA04BD" w:rsidRPr="009550C4" w:rsidRDefault="00CA04BD" w:rsidP="00371B03">
                            <w:pPr>
                              <w:jc w:val="center"/>
                              <w:rPr>
                                <w:rFonts w:ascii="Times New Roman" w:hAnsi="Times New Roman" w:cs="Times New Roman"/>
                                <w:sz w:val="20"/>
                                <w:szCs w:val="20"/>
                              </w:rPr>
                            </w:pPr>
                          </w:p>
                          <w:p w14:paraId="4650C96C"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244C1F3C"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175702F6"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78BF1097" w14:textId="77777777" w:rsidTr="00A814E3">
                        <w:trPr>
                          <w:trHeight w:val="320"/>
                        </w:trPr>
                        <w:tc>
                          <w:tcPr>
                            <w:tcW w:w="2456" w:type="dxa"/>
                            <w:noWrap/>
                            <w:vAlign w:val="center"/>
                            <w:hideMark/>
                          </w:tcPr>
                          <w:p w14:paraId="67951867"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5DD618B6"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97ED7CE" w14:textId="77777777" w:rsidR="00CA04BD" w:rsidRPr="009550C4" w:rsidRDefault="00CA04BD" w:rsidP="00371B03">
                            <w:pPr>
                              <w:jc w:val="center"/>
                              <w:rPr>
                                <w:rFonts w:ascii="Times New Roman" w:hAnsi="Times New Roman" w:cs="Times New Roman"/>
                                <w:sz w:val="20"/>
                                <w:szCs w:val="20"/>
                              </w:rPr>
                            </w:pPr>
                          </w:p>
                          <w:p w14:paraId="1229E3F0"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6C1A2974" w14:textId="77777777" w:rsidR="00CA04BD" w:rsidRPr="009550C4" w:rsidRDefault="00CA04BD" w:rsidP="00371B03">
                            <w:pPr>
                              <w:jc w:val="center"/>
                              <w:rPr>
                                <w:rFonts w:ascii="Times New Roman" w:hAnsi="Times New Roman" w:cs="Times New Roman"/>
                                <w:sz w:val="20"/>
                                <w:szCs w:val="20"/>
                              </w:rPr>
                            </w:pPr>
                          </w:p>
                          <w:p w14:paraId="42B53AFB"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DA48221" w14:textId="77777777" w:rsidR="00CA04BD" w:rsidRPr="009550C4" w:rsidRDefault="00CA04BD" w:rsidP="00371B03">
                            <w:pPr>
                              <w:jc w:val="center"/>
                              <w:rPr>
                                <w:rFonts w:ascii="Times New Roman" w:hAnsi="Times New Roman" w:cs="Times New Roman"/>
                                <w:sz w:val="20"/>
                                <w:szCs w:val="20"/>
                              </w:rPr>
                            </w:pPr>
                          </w:p>
                          <w:p w14:paraId="6B2108BF"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6D5982A4"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1DF5C624"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6EE08063" w14:textId="77777777" w:rsidTr="00A814E3">
                        <w:trPr>
                          <w:trHeight w:val="320"/>
                        </w:trPr>
                        <w:tc>
                          <w:tcPr>
                            <w:tcW w:w="2456" w:type="dxa"/>
                            <w:noWrap/>
                            <w:vAlign w:val="center"/>
                            <w:hideMark/>
                          </w:tcPr>
                          <w:p w14:paraId="54EC75ED"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0E74F5B8"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03478C" w14:textId="77777777" w:rsidR="00CA04BD" w:rsidRPr="009550C4" w:rsidRDefault="00CA04BD" w:rsidP="00371B03">
                            <w:pPr>
                              <w:jc w:val="center"/>
                              <w:rPr>
                                <w:rFonts w:ascii="Times New Roman" w:hAnsi="Times New Roman" w:cs="Times New Roman"/>
                                <w:sz w:val="20"/>
                                <w:szCs w:val="20"/>
                              </w:rPr>
                            </w:pPr>
                          </w:p>
                          <w:p w14:paraId="70DC8612"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571053ED" w14:textId="77777777" w:rsidR="00CA04BD" w:rsidRPr="009550C4" w:rsidRDefault="00CA04BD" w:rsidP="00371B03">
                            <w:pPr>
                              <w:jc w:val="center"/>
                              <w:rPr>
                                <w:rFonts w:ascii="Times New Roman" w:hAnsi="Times New Roman" w:cs="Times New Roman"/>
                                <w:sz w:val="20"/>
                                <w:szCs w:val="20"/>
                              </w:rPr>
                            </w:pPr>
                          </w:p>
                          <w:p w14:paraId="2870A0D0"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03D60CC1" w14:textId="77777777" w:rsidR="00CA04BD" w:rsidRPr="009550C4" w:rsidRDefault="00CA04BD" w:rsidP="00371B03">
                            <w:pPr>
                              <w:jc w:val="center"/>
                              <w:rPr>
                                <w:rFonts w:ascii="Times New Roman" w:hAnsi="Times New Roman" w:cs="Times New Roman"/>
                                <w:sz w:val="20"/>
                                <w:szCs w:val="20"/>
                              </w:rPr>
                            </w:pPr>
                          </w:p>
                          <w:p w14:paraId="45B3FCA3"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24EFDFB8"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21665BE7"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CA04BD" w:rsidRPr="009550C4" w14:paraId="6FC5E00D" w14:textId="77777777" w:rsidTr="00A814E3">
                        <w:trPr>
                          <w:trHeight w:val="320"/>
                        </w:trPr>
                        <w:tc>
                          <w:tcPr>
                            <w:tcW w:w="2456" w:type="dxa"/>
                            <w:tcBorders>
                              <w:bottom w:val="single" w:sz="4" w:space="0" w:color="auto"/>
                            </w:tcBorders>
                            <w:noWrap/>
                            <w:vAlign w:val="center"/>
                            <w:hideMark/>
                          </w:tcPr>
                          <w:p w14:paraId="35AA3D24"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5EF86C90" w14:textId="77777777" w:rsidR="00CA04BD" w:rsidRPr="009550C4" w:rsidRDefault="00CA04BD"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7B69AC05" w14:textId="77777777" w:rsidR="00CA04BD" w:rsidRPr="009550C4" w:rsidRDefault="00CA04BD" w:rsidP="00371B03">
                            <w:pPr>
                              <w:jc w:val="center"/>
                              <w:rPr>
                                <w:rFonts w:ascii="Times New Roman" w:hAnsi="Times New Roman" w:cs="Times New Roman"/>
                                <w:sz w:val="20"/>
                                <w:szCs w:val="20"/>
                              </w:rPr>
                            </w:pPr>
                          </w:p>
                          <w:p w14:paraId="1FF9489C"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396347D6" w14:textId="77777777" w:rsidR="00CA04BD" w:rsidRPr="009550C4" w:rsidRDefault="00CA04BD" w:rsidP="00371B03">
                            <w:pPr>
                              <w:jc w:val="center"/>
                              <w:rPr>
                                <w:rFonts w:ascii="Times New Roman" w:hAnsi="Times New Roman" w:cs="Times New Roman"/>
                                <w:sz w:val="20"/>
                                <w:szCs w:val="20"/>
                              </w:rPr>
                            </w:pPr>
                          </w:p>
                          <w:p w14:paraId="30C7BB4E"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79695BA6" w14:textId="77777777" w:rsidR="00CA04BD" w:rsidRPr="009550C4" w:rsidRDefault="00CA04BD" w:rsidP="00371B03">
                            <w:pPr>
                              <w:jc w:val="center"/>
                              <w:rPr>
                                <w:rFonts w:ascii="Times New Roman" w:hAnsi="Times New Roman" w:cs="Times New Roman"/>
                                <w:sz w:val="20"/>
                                <w:szCs w:val="20"/>
                              </w:rPr>
                            </w:pPr>
                          </w:p>
                          <w:p w14:paraId="59EDF7F9"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194EF14A" w14:textId="77777777" w:rsidR="00CA04BD" w:rsidRPr="009550C4" w:rsidRDefault="00CA04BD"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048B5198" w14:textId="77777777" w:rsidR="00CA04BD" w:rsidRPr="009550C4" w:rsidRDefault="00CA04BD"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CA04BD" w:rsidRPr="009550C4" w14:paraId="1ADE32FF" w14:textId="77777777" w:rsidTr="00A814E3">
                        <w:trPr>
                          <w:trHeight w:val="320"/>
                        </w:trPr>
                        <w:tc>
                          <w:tcPr>
                            <w:tcW w:w="2456" w:type="dxa"/>
                            <w:tcBorders>
                              <w:bottom w:val="single" w:sz="4" w:space="0" w:color="auto"/>
                            </w:tcBorders>
                            <w:noWrap/>
                            <w:vAlign w:val="center"/>
                          </w:tcPr>
                          <w:p w14:paraId="15313688" w14:textId="77777777" w:rsidR="00CA04BD" w:rsidRPr="005B5303" w:rsidRDefault="00CA04BD"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1C05B0C9" w14:textId="77777777" w:rsidR="00CA04BD" w:rsidRPr="009550C4" w:rsidRDefault="00CA04BD"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215BDD66"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5C494561"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01F78457"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0F9CB8E1"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0A6D36DB" w14:textId="77777777" w:rsidR="00CA04BD" w:rsidRPr="005B5303" w:rsidRDefault="00CA04BD"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CA04BD" w:rsidRPr="009550C4" w14:paraId="76166EDB" w14:textId="77777777" w:rsidTr="00106DEE">
                        <w:trPr>
                          <w:trHeight w:val="320"/>
                        </w:trPr>
                        <w:tc>
                          <w:tcPr>
                            <w:tcW w:w="9350" w:type="dxa"/>
                            <w:gridSpan w:val="6"/>
                            <w:tcBorders>
                              <w:left w:val="nil"/>
                              <w:bottom w:val="nil"/>
                              <w:right w:val="nil"/>
                            </w:tcBorders>
                          </w:tcPr>
                          <w:p w14:paraId="59572665" w14:textId="77777777" w:rsidR="00CA04BD" w:rsidRDefault="00CA04BD"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7F68CEA6" w14:textId="77777777" w:rsidR="00CA04BD" w:rsidRDefault="00CA04BD"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72CCADF6" w14:textId="77777777" w:rsidR="00CA04BD" w:rsidRDefault="00CA04BD"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13AB9B8" w14:textId="77777777" w:rsidR="00CA04BD" w:rsidRPr="001A7F3A" w:rsidRDefault="00CA04BD"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4F38B5B" w14:textId="77777777" w:rsidR="00CA04BD" w:rsidRDefault="00CA04BD" w:rsidP="00371B03">
                            <w:pPr>
                              <w:rPr>
                                <w:rFonts w:ascii="Times New Roman" w:hAnsi="Times New Roman" w:cs="Times New Roman"/>
                                <w:sz w:val="20"/>
                                <w:szCs w:val="20"/>
                                <w:lang w:bidi="en-US"/>
                              </w:rPr>
                            </w:pPr>
                          </w:p>
                          <w:p w14:paraId="7E35EEC8" w14:textId="77777777" w:rsidR="00CA04BD" w:rsidRPr="00AF604F" w:rsidRDefault="00CA04BD" w:rsidP="00371B03">
                            <w:pPr>
                              <w:rPr>
                                <w:rFonts w:ascii="Times New Roman" w:hAnsi="Times New Roman" w:cs="Times New Roman"/>
                                <w:sz w:val="20"/>
                                <w:szCs w:val="20"/>
                              </w:rPr>
                            </w:pPr>
                          </w:p>
                        </w:tc>
                      </w:tr>
                    </w:tbl>
                    <w:p w14:paraId="55A7BFAB" w14:textId="77777777" w:rsidR="00CA04BD" w:rsidRDefault="00CA04BD" w:rsidP="00CA04BD"/>
                  </w:txbxContent>
                </v:textbox>
              </v:shape>
            </w:pict>
          </mc:Fallback>
        </mc:AlternateContent>
      </w:r>
    </w:p>
    <w:p w14:paraId="241C67DB" w14:textId="77777777" w:rsidR="00CA04BD" w:rsidRDefault="00CA04BD" w:rsidP="00CA04BD">
      <w:pPr>
        <w:spacing w:line="360" w:lineRule="auto"/>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0E02C6C0" wp14:editId="1B8F680D">
                <wp:simplePos x="0" y="0"/>
                <wp:positionH relativeFrom="column">
                  <wp:posOffset>-622300</wp:posOffset>
                </wp:positionH>
                <wp:positionV relativeFrom="paragraph">
                  <wp:posOffset>-558800</wp:posOffset>
                </wp:positionV>
                <wp:extent cx="9355455" cy="7188740"/>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9355455" cy="7188740"/>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CA04BD" w:rsidRPr="00D4402D" w14:paraId="6A520E66" w14:textId="77777777" w:rsidTr="00AB163E">
                              <w:trPr>
                                <w:trHeight w:val="320"/>
                              </w:trPr>
                              <w:tc>
                                <w:tcPr>
                                  <w:tcW w:w="14395" w:type="dxa"/>
                                  <w:gridSpan w:val="10"/>
                                  <w:noWrap/>
                                  <w:vAlign w:val="center"/>
                                </w:tcPr>
                                <w:p w14:paraId="48D68FA8" w14:textId="77777777" w:rsidR="00CA04BD" w:rsidRPr="004D0389" w:rsidRDefault="00CA04BD"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CA04BD" w:rsidRPr="00D4402D" w14:paraId="5615EDE1" w14:textId="77777777" w:rsidTr="00AB163E">
                              <w:trPr>
                                <w:trHeight w:val="320"/>
                              </w:trPr>
                              <w:tc>
                                <w:tcPr>
                                  <w:tcW w:w="2317" w:type="dxa"/>
                                  <w:noWrap/>
                                  <w:vAlign w:val="center"/>
                                  <w:hideMark/>
                                </w:tcPr>
                                <w:p w14:paraId="68FF4E3F" w14:textId="77777777" w:rsidR="00CA04BD" w:rsidRPr="00173966" w:rsidRDefault="00CA04BD"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2569B602" w14:textId="77777777" w:rsidR="00CA04BD" w:rsidRPr="00D4402D" w:rsidRDefault="00CA04BD"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3782C83"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145089DD"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70C5A8D1"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9EA4958"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5C0C92B4" w14:textId="77777777" w:rsidR="00CA04BD" w:rsidRPr="00D4402D" w:rsidRDefault="00CA04BD"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964E625" w14:textId="77777777" w:rsidR="00CA04BD" w:rsidRPr="00D4402D" w:rsidRDefault="00CA04BD"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5EDE02B7" w14:textId="77777777" w:rsidR="00CA04BD" w:rsidRPr="00D4402D" w:rsidRDefault="00CA04BD"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061B0831" w14:textId="77777777" w:rsidR="00CA04BD" w:rsidRPr="001A6E43" w:rsidRDefault="00CA04BD"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CA04BD" w:rsidRPr="00D4402D" w14:paraId="02D7327F" w14:textId="77777777" w:rsidTr="00AB163E">
                              <w:trPr>
                                <w:trHeight w:val="320"/>
                              </w:trPr>
                              <w:tc>
                                <w:tcPr>
                                  <w:tcW w:w="14395" w:type="dxa"/>
                                  <w:gridSpan w:val="10"/>
                                  <w:noWrap/>
                                  <w:vAlign w:val="center"/>
                                </w:tcPr>
                                <w:p w14:paraId="2253C5C7" w14:textId="77777777" w:rsidR="00CA04BD" w:rsidRPr="00D4402D" w:rsidRDefault="00CA04BD"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CA04BD" w:rsidRPr="00D4402D" w14:paraId="307313A6" w14:textId="77777777" w:rsidTr="006153D4">
                              <w:trPr>
                                <w:trHeight w:val="320"/>
                              </w:trPr>
                              <w:tc>
                                <w:tcPr>
                                  <w:tcW w:w="2317" w:type="dxa"/>
                                  <w:noWrap/>
                                  <w:vAlign w:val="center"/>
                                  <w:hideMark/>
                                </w:tcPr>
                                <w:p w14:paraId="14B8E564"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444EA1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D5977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720E75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5458653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5E2F38E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54A60A6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00E9ABC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1F70623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573A44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CA04BD" w:rsidRPr="00D4402D" w14:paraId="01F2AD4E" w14:textId="77777777" w:rsidTr="006153D4">
                              <w:trPr>
                                <w:trHeight w:val="320"/>
                              </w:trPr>
                              <w:tc>
                                <w:tcPr>
                                  <w:tcW w:w="2317" w:type="dxa"/>
                                  <w:noWrap/>
                                  <w:vAlign w:val="center"/>
                                  <w:hideMark/>
                                </w:tcPr>
                                <w:p w14:paraId="49C5983A"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C6DC981"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D82AEF"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1F4013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78DEA3F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046366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0A1828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7F1A4E7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2F40ECC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68C8FF2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CA04BD" w:rsidRPr="00D4402D" w14:paraId="1DBEE2CB" w14:textId="77777777" w:rsidTr="006153D4">
                              <w:trPr>
                                <w:trHeight w:val="320"/>
                              </w:trPr>
                              <w:tc>
                                <w:tcPr>
                                  <w:tcW w:w="2317" w:type="dxa"/>
                                  <w:noWrap/>
                                  <w:vAlign w:val="center"/>
                                  <w:hideMark/>
                                </w:tcPr>
                                <w:p w14:paraId="55EF4D25"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86F6D0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5B71F5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D3AB02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6F8507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5D79296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0C36E09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052B7D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70640C7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493F557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CA04BD" w:rsidRPr="00D4402D" w14:paraId="5BBC8A37" w14:textId="77777777" w:rsidTr="006153D4">
                              <w:trPr>
                                <w:trHeight w:val="320"/>
                              </w:trPr>
                              <w:tc>
                                <w:tcPr>
                                  <w:tcW w:w="2317" w:type="dxa"/>
                                  <w:noWrap/>
                                  <w:vAlign w:val="center"/>
                                  <w:hideMark/>
                                </w:tcPr>
                                <w:p w14:paraId="3F0F456F"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7E79C4C"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63FBCF"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BFF2C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0FD116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54648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37A147F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153908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3DDD2A5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68AD4EF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CA04BD" w:rsidRPr="00D4402D" w14:paraId="0D5180CA" w14:textId="77777777" w:rsidTr="006153D4">
                              <w:trPr>
                                <w:trHeight w:val="320"/>
                              </w:trPr>
                              <w:tc>
                                <w:tcPr>
                                  <w:tcW w:w="2317" w:type="dxa"/>
                                  <w:noWrap/>
                                  <w:vAlign w:val="center"/>
                                  <w:hideMark/>
                                </w:tcPr>
                                <w:p w14:paraId="6B0F4A4D"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4A26282"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A9FCD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856190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0A0BEA1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0620D43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347B1E7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724CDA8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9684D5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016B52B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CA04BD" w:rsidRPr="00D4402D" w14:paraId="6BCBF313" w14:textId="77777777" w:rsidTr="006153D4">
                              <w:trPr>
                                <w:trHeight w:val="320"/>
                              </w:trPr>
                              <w:tc>
                                <w:tcPr>
                                  <w:tcW w:w="2317" w:type="dxa"/>
                                  <w:noWrap/>
                                  <w:vAlign w:val="center"/>
                                  <w:hideMark/>
                                </w:tcPr>
                                <w:p w14:paraId="0AC68959"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8FD0A4"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14419B5"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C9AE2D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5CFCFA6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701FAA3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09D20DE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5A6BE53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845D68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2A431D6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CA04BD" w:rsidRPr="00D4402D" w14:paraId="58619DDA" w14:textId="77777777" w:rsidTr="00D31C48">
                              <w:trPr>
                                <w:trHeight w:val="320"/>
                              </w:trPr>
                              <w:tc>
                                <w:tcPr>
                                  <w:tcW w:w="2317" w:type="dxa"/>
                                  <w:noWrap/>
                                  <w:vAlign w:val="center"/>
                                </w:tcPr>
                                <w:p w14:paraId="0A390702" w14:textId="77777777" w:rsidR="00CA04BD" w:rsidRDefault="00CA04BD"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48CE88CE"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36631FB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13C4003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61488D20"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375AF458"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375CA72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7884DB61"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BE10722"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22DB7699" w14:textId="77777777" w:rsidR="00CA04BD" w:rsidRPr="004B1377" w:rsidRDefault="00CA04BD"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CA04BD" w:rsidRPr="00D4402D" w14:paraId="576C63B6" w14:textId="77777777" w:rsidTr="00AB163E">
                              <w:trPr>
                                <w:trHeight w:val="320"/>
                              </w:trPr>
                              <w:tc>
                                <w:tcPr>
                                  <w:tcW w:w="14395" w:type="dxa"/>
                                  <w:gridSpan w:val="10"/>
                                  <w:noWrap/>
                                  <w:vAlign w:val="center"/>
                                </w:tcPr>
                                <w:p w14:paraId="33F19EF8" w14:textId="77777777" w:rsidR="00CA04BD" w:rsidRPr="00D4402D" w:rsidRDefault="00CA04BD"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CA04BD" w:rsidRPr="00D4402D" w14:paraId="30262273" w14:textId="77777777" w:rsidTr="006153D4">
                              <w:trPr>
                                <w:trHeight w:val="320"/>
                              </w:trPr>
                              <w:tc>
                                <w:tcPr>
                                  <w:tcW w:w="2317" w:type="dxa"/>
                                  <w:noWrap/>
                                  <w:vAlign w:val="center"/>
                                  <w:hideMark/>
                                </w:tcPr>
                                <w:p w14:paraId="743A323A"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7A5D799"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4D0497"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5B5E00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7D5F8DA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55CB4E1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737E8D6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5903C79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010BD80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3E6B298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CA04BD" w:rsidRPr="00D4402D" w14:paraId="42C65A7C" w14:textId="77777777" w:rsidTr="006153D4">
                              <w:trPr>
                                <w:trHeight w:val="320"/>
                              </w:trPr>
                              <w:tc>
                                <w:tcPr>
                                  <w:tcW w:w="2317" w:type="dxa"/>
                                  <w:noWrap/>
                                  <w:vAlign w:val="center"/>
                                  <w:hideMark/>
                                </w:tcPr>
                                <w:p w14:paraId="4204705E"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F5790C7"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D59F8D6"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FABFBB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3E46A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0CD1EF5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6CD7D03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2E5BD89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9140E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374615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CA04BD" w:rsidRPr="00D4402D" w14:paraId="16DAC203" w14:textId="77777777" w:rsidTr="006153D4">
                              <w:trPr>
                                <w:trHeight w:val="320"/>
                              </w:trPr>
                              <w:tc>
                                <w:tcPr>
                                  <w:tcW w:w="2317" w:type="dxa"/>
                                  <w:noWrap/>
                                  <w:vAlign w:val="center"/>
                                  <w:hideMark/>
                                </w:tcPr>
                                <w:p w14:paraId="4E8A1CC4"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37E5D40"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1CC361E"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44FCE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3BA637B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72B4BB4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1A8265E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178CC66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A45C0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526C112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CA04BD" w:rsidRPr="00D4402D" w14:paraId="562E46BA" w14:textId="77777777" w:rsidTr="006153D4">
                              <w:trPr>
                                <w:trHeight w:val="320"/>
                              </w:trPr>
                              <w:tc>
                                <w:tcPr>
                                  <w:tcW w:w="2317" w:type="dxa"/>
                                  <w:noWrap/>
                                  <w:vAlign w:val="center"/>
                                  <w:hideMark/>
                                </w:tcPr>
                                <w:p w14:paraId="6151B372"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65E0BC3"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F5E82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4D8998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6486BD1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200FF3A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1F03AD5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6B1D50E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EB64CA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12A81B5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CA04BD" w:rsidRPr="00D4402D" w14:paraId="614352B3" w14:textId="77777777" w:rsidTr="006153D4">
                              <w:trPr>
                                <w:trHeight w:val="320"/>
                              </w:trPr>
                              <w:tc>
                                <w:tcPr>
                                  <w:tcW w:w="2317" w:type="dxa"/>
                                  <w:noWrap/>
                                  <w:vAlign w:val="center"/>
                                  <w:hideMark/>
                                </w:tcPr>
                                <w:p w14:paraId="485C3126"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D66802"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60C91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0FC30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1EB9186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DE9870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42EEC59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D1EA00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AEDD72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1164C0C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CA04BD" w:rsidRPr="00D4402D" w14:paraId="3A155B24" w14:textId="77777777" w:rsidTr="006153D4">
                              <w:trPr>
                                <w:trHeight w:val="320"/>
                              </w:trPr>
                              <w:tc>
                                <w:tcPr>
                                  <w:tcW w:w="2317" w:type="dxa"/>
                                  <w:noWrap/>
                                  <w:vAlign w:val="center"/>
                                  <w:hideMark/>
                                </w:tcPr>
                                <w:p w14:paraId="6EC88BC5"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EA6F03E"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55B2EC1"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61D46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C21CDC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37E043A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318F468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6091E7C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5876DB9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62D2550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CA04BD" w:rsidRPr="00D4402D" w14:paraId="325A07B0" w14:textId="77777777" w:rsidTr="00D31C48">
                              <w:trPr>
                                <w:trHeight w:val="320"/>
                              </w:trPr>
                              <w:tc>
                                <w:tcPr>
                                  <w:tcW w:w="2317" w:type="dxa"/>
                                  <w:noWrap/>
                                  <w:vAlign w:val="center"/>
                                </w:tcPr>
                                <w:p w14:paraId="60564D3E" w14:textId="77777777" w:rsidR="00CA04BD" w:rsidRDefault="00CA04BD"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69DE233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09F98060"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3BE875D"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F5BE63B"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039C5169"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1EEBD2E2"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805E23F"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74C562ED"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53710858" w14:textId="77777777" w:rsidR="00CA04BD" w:rsidRPr="004B1377" w:rsidRDefault="00CA04BD"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CA04BD" w:rsidRPr="00D4402D" w14:paraId="02BB037B" w14:textId="77777777" w:rsidTr="00AB163E">
                              <w:trPr>
                                <w:trHeight w:val="320"/>
                              </w:trPr>
                              <w:tc>
                                <w:tcPr>
                                  <w:tcW w:w="14395" w:type="dxa"/>
                                  <w:gridSpan w:val="10"/>
                                  <w:noWrap/>
                                  <w:vAlign w:val="center"/>
                                </w:tcPr>
                                <w:p w14:paraId="42E5BE1C" w14:textId="77777777" w:rsidR="00CA04BD" w:rsidRPr="00D4402D" w:rsidRDefault="00CA04BD"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CA04BD" w:rsidRPr="00D4402D" w14:paraId="2552CB1D" w14:textId="77777777" w:rsidTr="006153D4">
                              <w:trPr>
                                <w:trHeight w:val="320"/>
                              </w:trPr>
                              <w:tc>
                                <w:tcPr>
                                  <w:tcW w:w="2317" w:type="dxa"/>
                                  <w:noWrap/>
                                  <w:vAlign w:val="center"/>
                                  <w:hideMark/>
                                </w:tcPr>
                                <w:p w14:paraId="5B8127D9"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4E2A972"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8B3D54"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BC7AD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27C21E5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5D13CAD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B58CFD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92AB7C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76DA635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3321735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CA04BD" w:rsidRPr="00D4402D" w14:paraId="4BDFEC21" w14:textId="77777777" w:rsidTr="006153D4">
                              <w:trPr>
                                <w:trHeight w:val="320"/>
                              </w:trPr>
                              <w:tc>
                                <w:tcPr>
                                  <w:tcW w:w="2317" w:type="dxa"/>
                                  <w:noWrap/>
                                  <w:vAlign w:val="center"/>
                                  <w:hideMark/>
                                </w:tcPr>
                                <w:p w14:paraId="7446F0B2"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08CE2B6"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7E23850"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C97008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7FBD5A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033FE0E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44A4B09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7D17C8E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148254C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66FB25A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CA04BD" w:rsidRPr="00D4402D" w14:paraId="09A05DDC" w14:textId="77777777" w:rsidTr="006153D4">
                              <w:trPr>
                                <w:trHeight w:val="320"/>
                              </w:trPr>
                              <w:tc>
                                <w:tcPr>
                                  <w:tcW w:w="2317" w:type="dxa"/>
                                  <w:noWrap/>
                                  <w:vAlign w:val="center"/>
                                  <w:hideMark/>
                                </w:tcPr>
                                <w:p w14:paraId="687288E0"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CF9DFE1"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90E80C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C6FE59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1BC745F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46D30D0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9A7EDF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2A619C9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7DC1F21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14728D3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CA04BD" w:rsidRPr="00D4402D" w14:paraId="3C4A7D10" w14:textId="77777777" w:rsidTr="006153D4">
                              <w:trPr>
                                <w:trHeight w:val="320"/>
                              </w:trPr>
                              <w:tc>
                                <w:tcPr>
                                  <w:tcW w:w="2317" w:type="dxa"/>
                                  <w:noWrap/>
                                  <w:vAlign w:val="center"/>
                                  <w:hideMark/>
                                </w:tcPr>
                                <w:p w14:paraId="683D8375"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E904BC"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6762F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14D2A5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785E793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B5D078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1AF58F2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5981498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FEE4D4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41888F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CA04BD" w:rsidRPr="00D4402D" w14:paraId="679D9271" w14:textId="77777777" w:rsidTr="006153D4">
                              <w:trPr>
                                <w:trHeight w:val="320"/>
                              </w:trPr>
                              <w:tc>
                                <w:tcPr>
                                  <w:tcW w:w="2317" w:type="dxa"/>
                                  <w:noWrap/>
                                  <w:vAlign w:val="center"/>
                                  <w:hideMark/>
                                </w:tcPr>
                                <w:p w14:paraId="10AC9DCA"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92E1318"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79F48D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BA917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046B338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FA4D62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1B95A2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0EC49A4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275E94C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727E054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CA04BD" w:rsidRPr="00D4402D" w14:paraId="201D7BD1" w14:textId="77777777" w:rsidTr="006153D4">
                              <w:trPr>
                                <w:trHeight w:val="320"/>
                              </w:trPr>
                              <w:tc>
                                <w:tcPr>
                                  <w:tcW w:w="2317" w:type="dxa"/>
                                  <w:tcBorders>
                                    <w:bottom w:val="single" w:sz="4" w:space="0" w:color="auto"/>
                                  </w:tcBorders>
                                  <w:noWrap/>
                                  <w:vAlign w:val="center"/>
                                  <w:hideMark/>
                                </w:tcPr>
                                <w:p w14:paraId="2307D97C"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7F2F3B1E"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51FBDC44"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463E0BF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55E1F2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16DF0BB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5D23E4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DAD1EB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258006E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3B96B7F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CA04BD" w:rsidRPr="00D4402D" w14:paraId="4FCADD62" w14:textId="77777777" w:rsidTr="00D31C48">
                              <w:trPr>
                                <w:trHeight w:val="320"/>
                              </w:trPr>
                              <w:tc>
                                <w:tcPr>
                                  <w:tcW w:w="2317" w:type="dxa"/>
                                  <w:tcBorders>
                                    <w:bottom w:val="single" w:sz="4" w:space="0" w:color="auto"/>
                                  </w:tcBorders>
                                  <w:noWrap/>
                                  <w:vAlign w:val="center"/>
                                </w:tcPr>
                                <w:p w14:paraId="2623D406" w14:textId="77777777" w:rsidR="00CA04BD" w:rsidRDefault="00CA04BD"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4789AE8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07F8CA9C"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6E816F2D"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76930D80"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279E6F5"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199DF76F"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5C2A1A2B"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563AC0FB"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270A4376" w14:textId="77777777" w:rsidR="00CA04BD" w:rsidRPr="004B1377" w:rsidRDefault="00CA04BD"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CA04BD" w:rsidRPr="00D4402D" w14:paraId="60B35D69" w14:textId="77777777" w:rsidTr="00AB163E">
                              <w:trPr>
                                <w:trHeight w:val="320"/>
                              </w:trPr>
                              <w:tc>
                                <w:tcPr>
                                  <w:tcW w:w="14395" w:type="dxa"/>
                                  <w:gridSpan w:val="10"/>
                                  <w:tcBorders>
                                    <w:left w:val="nil"/>
                                    <w:bottom w:val="nil"/>
                                    <w:right w:val="nil"/>
                                  </w:tcBorders>
                                  <w:noWrap/>
                                  <w:vAlign w:val="center"/>
                                </w:tcPr>
                                <w:p w14:paraId="349BD870" w14:textId="77777777" w:rsidR="00CA04BD" w:rsidRPr="00173966" w:rsidRDefault="00CA04BD"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9CB0060" w14:textId="77777777" w:rsidR="00CA04BD" w:rsidRDefault="00CA04BD"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5BDA4BD9" w14:textId="77777777" w:rsidR="00CA04BD" w:rsidRDefault="00CA04BD"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609CB007" w14:textId="77777777" w:rsidR="00CA04BD" w:rsidRDefault="00CA04BD"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7619E178" w14:textId="77777777" w:rsidR="00CA04BD" w:rsidRDefault="00CA04BD"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59EBAC22" w14:textId="77777777" w:rsidR="00CA04BD" w:rsidRDefault="00CA04BD"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13771CA" w14:textId="77777777" w:rsidR="00CA04BD" w:rsidRPr="00136031" w:rsidRDefault="00CA04BD"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07151945" w14:textId="77777777" w:rsidR="00CA04BD" w:rsidRDefault="00CA04BD"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F771919" w14:textId="77777777" w:rsidR="00CA04BD" w:rsidRPr="00173966" w:rsidRDefault="00CA04BD" w:rsidP="00D9498C">
                                  <w:pPr>
                                    <w:rPr>
                                      <w:rFonts w:ascii="Times New Roman" w:hAnsi="Times New Roman" w:cs="Times New Roman"/>
                                      <w:b/>
                                      <w:bCs/>
                                      <w:sz w:val="20"/>
                                      <w:szCs w:val="20"/>
                                      <w:lang w:bidi="en-US"/>
                                    </w:rPr>
                                  </w:pPr>
                                </w:p>
                                <w:p w14:paraId="270AB44B" w14:textId="77777777" w:rsidR="00CA04BD" w:rsidRPr="001A6E43" w:rsidRDefault="00CA04BD" w:rsidP="00D9498C">
                                  <w:pPr>
                                    <w:rPr>
                                      <w:rFonts w:ascii="Times New Roman" w:hAnsi="Times New Roman" w:cs="Times New Roman"/>
                                      <w:sz w:val="20"/>
                                      <w:szCs w:val="20"/>
                                    </w:rPr>
                                  </w:pPr>
                                </w:p>
                              </w:tc>
                            </w:tr>
                          </w:tbl>
                          <w:p w14:paraId="5C137FE0" w14:textId="77777777" w:rsidR="00CA04BD" w:rsidRDefault="00CA04BD" w:rsidP="00CA04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C6C0" id="Text Box 8" o:spid="_x0000_s1028" type="#_x0000_t202" style="position:absolute;margin-left:-49pt;margin-top:-44pt;width:736.65pt;height:56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2ajMwIAAFwEAAAOAAAAZHJzL2Uyb0RvYy54bWysVEtv2zAMvg/YfxB0X5ykSZsacYosRYYB&#13;&#10;QVsgHXpWZCkWIIuapMTOfv0oOa92Ow27yKRI8fF9pKcPba3JXjivwBR00OtTIgyHUpltQX+8Lr9M&#13;&#10;KPGBmZJpMKKgB+Hpw+zzp2ljczGECnQpHMEgxueNLWgVgs2zzPNK1Mz3wAqDRgmuZgFVt81KxxqM&#13;&#10;Xuts2O/fZg240jrgwnu8feyMdJbiSyl4eJbSi0B0QbG2kE6Xzk08s9mU5VvHbKX4sQz2D1XUTBlM&#13;&#10;eg71yAIjO6f+CFUr7sCDDD0OdQZSKi5SD9jNoP+hm3XFrEi9IDjenmHy/y8sf9qv7Ysjof0KLRIY&#13;&#10;AWmszz1exn5a6er4xUoJ2hHCwxk20QbC8fL+ZjwejceUcLTdDSaTu1ECNrs8t86HbwJqEoWCOuQl&#13;&#10;wcX2Kx8wJbqeXGI2D1qVS6V1UuIsiIV2ZM+QRR1SkfjinZc2pCno7c24nwIbiM+7yNpggktTUQrt&#13;&#10;piWqLOjw1PAGygPi4KAbEW/5UmGtK+bDC3M4E9g6znl4xkNqwFxwlCipwP362330R6rQSkmDM1ZQ&#13;&#10;/3PHnKBEfzdI4v1ghEiRkJTR+G6Iiru2bK4tZlcvAAEY4EZZnsToH/RJlA7qN1yHecyKJmY45i5o&#13;&#10;OImL0E0+rhMX83lywjG0LKzM2vIYOgIemXht35izR7oCMv0Ep2lk+QfWOt/40sB8F0CqRGnEuUP1&#13;&#10;CD+OcGL6uG5xR6715HX5Kcx+AwAA//8DAFBLAwQUAAYACAAAACEA1FyS+uYAAAASAQAADwAAAGRy&#13;&#10;cy9kb3ducmV2LnhtbEyPTU/DMAyG70j8h8hIXNCWjm6sdE0nxKfEjZUPccsa01Y0TtVkbfn3eCe4&#13;&#10;WI9l+/X7ZtvJtmLA3jeOFCzmEQik0pmGKgWvxcMsAeGDJqNbR6jgBz1s89OTTKfGjfSCwy5UgkXI&#13;&#10;p1pBHUKXSunLGq32c9ch8ezL9VYHbvtKml6PLG5beRlFV9LqhvhDrTu8rbH83h2sgs+L6uPZT49v&#13;&#10;Y7yKu/unoVi/m0Kp87PpbsPlZgMi4BT+LuCYgf1Dzsb27kDGi1bB7DrhQIEhOcJxI16vYhB7pmi5&#13;&#10;XIDMM/k/Sv4LAAD//wMAUEsBAi0AFAAGAAgAAAAhALaDOJL+AAAA4QEAABMAAAAAAAAAAAAAAAAA&#13;&#10;AAAAAFtDb250ZW50X1R5cGVzXS54bWxQSwECLQAUAAYACAAAACEAOP0h/9YAAACUAQAACwAAAAAA&#13;&#10;AAAAAAAAAAAvAQAAX3JlbHMvLnJlbHNQSwECLQAUAAYACAAAACEAq8tmozMCAABcBAAADgAAAAAA&#13;&#10;AAAAAAAAAAAuAgAAZHJzL2Uyb0RvYy54bWxQSwECLQAUAAYACAAAACEA1FyS+uYAAAASAQAADwAA&#13;&#10;AAAAAAAAAAAAAACNBAAAZHJzL2Rvd25yZXYueG1sUEsFBgAAAAAEAAQA8wAAAKA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CA04BD" w:rsidRPr="00D4402D" w14:paraId="6A520E66" w14:textId="77777777" w:rsidTr="00AB163E">
                        <w:trPr>
                          <w:trHeight w:val="320"/>
                        </w:trPr>
                        <w:tc>
                          <w:tcPr>
                            <w:tcW w:w="14395" w:type="dxa"/>
                            <w:gridSpan w:val="10"/>
                            <w:noWrap/>
                            <w:vAlign w:val="center"/>
                          </w:tcPr>
                          <w:p w14:paraId="48D68FA8" w14:textId="77777777" w:rsidR="00CA04BD" w:rsidRPr="004D0389" w:rsidRDefault="00CA04BD"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CA04BD" w:rsidRPr="00D4402D" w14:paraId="5615EDE1" w14:textId="77777777" w:rsidTr="00AB163E">
                        <w:trPr>
                          <w:trHeight w:val="320"/>
                        </w:trPr>
                        <w:tc>
                          <w:tcPr>
                            <w:tcW w:w="2317" w:type="dxa"/>
                            <w:noWrap/>
                            <w:vAlign w:val="center"/>
                            <w:hideMark/>
                          </w:tcPr>
                          <w:p w14:paraId="68FF4E3F" w14:textId="77777777" w:rsidR="00CA04BD" w:rsidRPr="00173966" w:rsidRDefault="00CA04BD"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2569B602" w14:textId="77777777" w:rsidR="00CA04BD" w:rsidRPr="00D4402D" w:rsidRDefault="00CA04BD"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3782C83"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145089DD"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70C5A8D1"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9EA4958" w14:textId="77777777" w:rsidR="00CA04BD" w:rsidRPr="00D4402D" w:rsidRDefault="00CA04BD"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5C0C92B4" w14:textId="77777777" w:rsidR="00CA04BD" w:rsidRPr="00D4402D" w:rsidRDefault="00CA04BD"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964E625" w14:textId="77777777" w:rsidR="00CA04BD" w:rsidRPr="00D4402D" w:rsidRDefault="00CA04BD"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5EDE02B7" w14:textId="77777777" w:rsidR="00CA04BD" w:rsidRPr="00D4402D" w:rsidRDefault="00CA04BD"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061B0831" w14:textId="77777777" w:rsidR="00CA04BD" w:rsidRPr="001A6E43" w:rsidRDefault="00CA04BD"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CA04BD" w:rsidRPr="00D4402D" w14:paraId="02D7327F" w14:textId="77777777" w:rsidTr="00AB163E">
                        <w:trPr>
                          <w:trHeight w:val="320"/>
                        </w:trPr>
                        <w:tc>
                          <w:tcPr>
                            <w:tcW w:w="14395" w:type="dxa"/>
                            <w:gridSpan w:val="10"/>
                            <w:noWrap/>
                            <w:vAlign w:val="center"/>
                          </w:tcPr>
                          <w:p w14:paraId="2253C5C7" w14:textId="77777777" w:rsidR="00CA04BD" w:rsidRPr="00D4402D" w:rsidRDefault="00CA04BD"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CA04BD" w:rsidRPr="00D4402D" w14:paraId="307313A6" w14:textId="77777777" w:rsidTr="006153D4">
                        <w:trPr>
                          <w:trHeight w:val="320"/>
                        </w:trPr>
                        <w:tc>
                          <w:tcPr>
                            <w:tcW w:w="2317" w:type="dxa"/>
                            <w:noWrap/>
                            <w:vAlign w:val="center"/>
                            <w:hideMark/>
                          </w:tcPr>
                          <w:p w14:paraId="14B8E564"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444EA1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D5977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720E75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5458653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5E2F38E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54A60A6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00E9ABC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1F70623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573A44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CA04BD" w:rsidRPr="00D4402D" w14:paraId="01F2AD4E" w14:textId="77777777" w:rsidTr="006153D4">
                        <w:trPr>
                          <w:trHeight w:val="320"/>
                        </w:trPr>
                        <w:tc>
                          <w:tcPr>
                            <w:tcW w:w="2317" w:type="dxa"/>
                            <w:noWrap/>
                            <w:vAlign w:val="center"/>
                            <w:hideMark/>
                          </w:tcPr>
                          <w:p w14:paraId="49C5983A"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C6DC981"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D82AEF"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1F4013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78DEA3F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046366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0A1828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7F1A4E7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2F40ECC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68C8FF2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CA04BD" w:rsidRPr="00D4402D" w14:paraId="1DBEE2CB" w14:textId="77777777" w:rsidTr="006153D4">
                        <w:trPr>
                          <w:trHeight w:val="320"/>
                        </w:trPr>
                        <w:tc>
                          <w:tcPr>
                            <w:tcW w:w="2317" w:type="dxa"/>
                            <w:noWrap/>
                            <w:vAlign w:val="center"/>
                            <w:hideMark/>
                          </w:tcPr>
                          <w:p w14:paraId="55EF4D25"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86F6D0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5B71F5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D3AB02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6F8507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5D79296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0C36E09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052B7D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70640C7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493F557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CA04BD" w:rsidRPr="00D4402D" w14:paraId="5BBC8A37" w14:textId="77777777" w:rsidTr="006153D4">
                        <w:trPr>
                          <w:trHeight w:val="320"/>
                        </w:trPr>
                        <w:tc>
                          <w:tcPr>
                            <w:tcW w:w="2317" w:type="dxa"/>
                            <w:noWrap/>
                            <w:vAlign w:val="center"/>
                            <w:hideMark/>
                          </w:tcPr>
                          <w:p w14:paraId="3F0F456F"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7E79C4C"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63FBCF"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BFF2C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0FD116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54648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37A147F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153908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3DDD2A5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68AD4EF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CA04BD" w:rsidRPr="00D4402D" w14:paraId="0D5180CA" w14:textId="77777777" w:rsidTr="006153D4">
                        <w:trPr>
                          <w:trHeight w:val="320"/>
                        </w:trPr>
                        <w:tc>
                          <w:tcPr>
                            <w:tcW w:w="2317" w:type="dxa"/>
                            <w:noWrap/>
                            <w:vAlign w:val="center"/>
                            <w:hideMark/>
                          </w:tcPr>
                          <w:p w14:paraId="6B0F4A4D"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4A26282"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A9FCD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856190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0A0BEA1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0620D43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347B1E7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724CDA8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9684D5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016B52B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CA04BD" w:rsidRPr="00D4402D" w14:paraId="6BCBF313" w14:textId="77777777" w:rsidTr="006153D4">
                        <w:trPr>
                          <w:trHeight w:val="320"/>
                        </w:trPr>
                        <w:tc>
                          <w:tcPr>
                            <w:tcW w:w="2317" w:type="dxa"/>
                            <w:noWrap/>
                            <w:vAlign w:val="center"/>
                            <w:hideMark/>
                          </w:tcPr>
                          <w:p w14:paraId="0AC68959"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8FD0A4"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14419B5"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C9AE2D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5CFCFA6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701FAA3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09D20DE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5A6BE53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845D68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2A431D6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CA04BD" w:rsidRPr="00D4402D" w14:paraId="58619DDA" w14:textId="77777777" w:rsidTr="00D31C48">
                        <w:trPr>
                          <w:trHeight w:val="320"/>
                        </w:trPr>
                        <w:tc>
                          <w:tcPr>
                            <w:tcW w:w="2317" w:type="dxa"/>
                            <w:noWrap/>
                            <w:vAlign w:val="center"/>
                          </w:tcPr>
                          <w:p w14:paraId="0A390702" w14:textId="77777777" w:rsidR="00CA04BD" w:rsidRDefault="00CA04BD"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48CE88CE"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36631FB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13C4003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61488D20"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375AF458"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375CA72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7884DB61"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BE10722"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22DB7699" w14:textId="77777777" w:rsidR="00CA04BD" w:rsidRPr="004B1377" w:rsidRDefault="00CA04BD"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CA04BD" w:rsidRPr="00D4402D" w14:paraId="576C63B6" w14:textId="77777777" w:rsidTr="00AB163E">
                        <w:trPr>
                          <w:trHeight w:val="320"/>
                        </w:trPr>
                        <w:tc>
                          <w:tcPr>
                            <w:tcW w:w="14395" w:type="dxa"/>
                            <w:gridSpan w:val="10"/>
                            <w:noWrap/>
                            <w:vAlign w:val="center"/>
                          </w:tcPr>
                          <w:p w14:paraId="33F19EF8" w14:textId="77777777" w:rsidR="00CA04BD" w:rsidRPr="00D4402D" w:rsidRDefault="00CA04BD"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CA04BD" w:rsidRPr="00D4402D" w14:paraId="30262273" w14:textId="77777777" w:rsidTr="006153D4">
                        <w:trPr>
                          <w:trHeight w:val="320"/>
                        </w:trPr>
                        <w:tc>
                          <w:tcPr>
                            <w:tcW w:w="2317" w:type="dxa"/>
                            <w:noWrap/>
                            <w:vAlign w:val="center"/>
                            <w:hideMark/>
                          </w:tcPr>
                          <w:p w14:paraId="743A323A"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7A5D799"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4D0497"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5B5E00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7D5F8DA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55CB4E1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737E8D6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5903C79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010BD80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3E6B298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CA04BD" w:rsidRPr="00D4402D" w14:paraId="42C65A7C" w14:textId="77777777" w:rsidTr="006153D4">
                        <w:trPr>
                          <w:trHeight w:val="320"/>
                        </w:trPr>
                        <w:tc>
                          <w:tcPr>
                            <w:tcW w:w="2317" w:type="dxa"/>
                            <w:noWrap/>
                            <w:vAlign w:val="center"/>
                            <w:hideMark/>
                          </w:tcPr>
                          <w:p w14:paraId="4204705E"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F5790C7"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D59F8D6"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FABFBB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3E46A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0CD1EF5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6CD7D03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2E5BD89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9140E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374615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CA04BD" w:rsidRPr="00D4402D" w14:paraId="16DAC203" w14:textId="77777777" w:rsidTr="006153D4">
                        <w:trPr>
                          <w:trHeight w:val="320"/>
                        </w:trPr>
                        <w:tc>
                          <w:tcPr>
                            <w:tcW w:w="2317" w:type="dxa"/>
                            <w:noWrap/>
                            <w:vAlign w:val="center"/>
                            <w:hideMark/>
                          </w:tcPr>
                          <w:p w14:paraId="4E8A1CC4"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37E5D40"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1CC361E"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44FCE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3BA637B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72B4BB4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1A8265E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178CC66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A45C0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526C112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CA04BD" w:rsidRPr="00D4402D" w14:paraId="562E46BA" w14:textId="77777777" w:rsidTr="006153D4">
                        <w:trPr>
                          <w:trHeight w:val="320"/>
                        </w:trPr>
                        <w:tc>
                          <w:tcPr>
                            <w:tcW w:w="2317" w:type="dxa"/>
                            <w:noWrap/>
                            <w:vAlign w:val="center"/>
                            <w:hideMark/>
                          </w:tcPr>
                          <w:p w14:paraId="6151B372"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65E0BC3"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F5E82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4D8998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6486BD1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200FF3A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1F03AD5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6B1D50E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EB64CAB"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12A81B5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CA04BD" w:rsidRPr="00D4402D" w14:paraId="614352B3" w14:textId="77777777" w:rsidTr="006153D4">
                        <w:trPr>
                          <w:trHeight w:val="320"/>
                        </w:trPr>
                        <w:tc>
                          <w:tcPr>
                            <w:tcW w:w="2317" w:type="dxa"/>
                            <w:noWrap/>
                            <w:vAlign w:val="center"/>
                            <w:hideMark/>
                          </w:tcPr>
                          <w:p w14:paraId="485C3126"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D66802"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60C91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0FC30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1EB9186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DE9870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42EEC59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D1EA00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AEDD72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1164C0C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CA04BD" w:rsidRPr="00D4402D" w14:paraId="3A155B24" w14:textId="77777777" w:rsidTr="006153D4">
                        <w:trPr>
                          <w:trHeight w:val="320"/>
                        </w:trPr>
                        <w:tc>
                          <w:tcPr>
                            <w:tcW w:w="2317" w:type="dxa"/>
                            <w:noWrap/>
                            <w:vAlign w:val="center"/>
                            <w:hideMark/>
                          </w:tcPr>
                          <w:p w14:paraId="6EC88BC5"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EA6F03E"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55B2EC1"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61D466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C21CDC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37E043A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318F468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6091E7C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5876DB9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62D2550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CA04BD" w:rsidRPr="00D4402D" w14:paraId="325A07B0" w14:textId="77777777" w:rsidTr="00D31C48">
                        <w:trPr>
                          <w:trHeight w:val="320"/>
                        </w:trPr>
                        <w:tc>
                          <w:tcPr>
                            <w:tcW w:w="2317" w:type="dxa"/>
                            <w:noWrap/>
                            <w:vAlign w:val="center"/>
                          </w:tcPr>
                          <w:p w14:paraId="60564D3E" w14:textId="77777777" w:rsidR="00CA04BD" w:rsidRDefault="00CA04BD"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69DE233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09F98060"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3BE875D"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F5BE63B"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039C5169"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1EEBD2E2"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805E23F"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74C562ED"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53710858" w14:textId="77777777" w:rsidR="00CA04BD" w:rsidRPr="004B1377" w:rsidRDefault="00CA04BD"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CA04BD" w:rsidRPr="00D4402D" w14:paraId="02BB037B" w14:textId="77777777" w:rsidTr="00AB163E">
                        <w:trPr>
                          <w:trHeight w:val="320"/>
                        </w:trPr>
                        <w:tc>
                          <w:tcPr>
                            <w:tcW w:w="14395" w:type="dxa"/>
                            <w:gridSpan w:val="10"/>
                            <w:noWrap/>
                            <w:vAlign w:val="center"/>
                          </w:tcPr>
                          <w:p w14:paraId="42E5BE1C" w14:textId="77777777" w:rsidR="00CA04BD" w:rsidRPr="00D4402D" w:rsidRDefault="00CA04BD"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CA04BD" w:rsidRPr="00D4402D" w14:paraId="2552CB1D" w14:textId="77777777" w:rsidTr="006153D4">
                        <w:trPr>
                          <w:trHeight w:val="320"/>
                        </w:trPr>
                        <w:tc>
                          <w:tcPr>
                            <w:tcW w:w="2317" w:type="dxa"/>
                            <w:noWrap/>
                            <w:vAlign w:val="center"/>
                            <w:hideMark/>
                          </w:tcPr>
                          <w:p w14:paraId="5B8127D9"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4E2A972"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8B3D54"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BC7AD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27C21E5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5D13CAD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B58CFD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92AB7C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76DA635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3321735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CA04BD" w:rsidRPr="00D4402D" w14:paraId="4BDFEC21" w14:textId="77777777" w:rsidTr="006153D4">
                        <w:trPr>
                          <w:trHeight w:val="320"/>
                        </w:trPr>
                        <w:tc>
                          <w:tcPr>
                            <w:tcW w:w="2317" w:type="dxa"/>
                            <w:noWrap/>
                            <w:vAlign w:val="center"/>
                            <w:hideMark/>
                          </w:tcPr>
                          <w:p w14:paraId="7446F0B2"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08CE2B6"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7E23850"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C97008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7FBD5A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033FE0E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44A4B09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7D17C8E1"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148254C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66FB25A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CA04BD" w:rsidRPr="00D4402D" w14:paraId="09A05DDC" w14:textId="77777777" w:rsidTr="006153D4">
                        <w:trPr>
                          <w:trHeight w:val="320"/>
                        </w:trPr>
                        <w:tc>
                          <w:tcPr>
                            <w:tcW w:w="2317" w:type="dxa"/>
                            <w:noWrap/>
                            <w:vAlign w:val="center"/>
                            <w:hideMark/>
                          </w:tcPr>
                          <w:p w14:paraId="687288E0"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CF9DFE1"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90E80C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C6FE594"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1BC745F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46D30D0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9A7EDFC"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2A619C9D"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7DC1F21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14728D3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CA04BD" w:rsidRPr="00D4402D" w14:paraId="3C4A7D10" w14:textId="77777777" w:rsidTr="006153D4">
                        <w:trPr>
                          <w:trHeight w:val="320"/>
                        </w:trPr>
                        <w:tc>
                          <w:tcPr>
                            <w:tcW w:w="2317" w:type="dxa"/>
                            <w:noWrap/>
                            <w:vAlign w:val="center"/>
                            <w:hideMark/>
                          </w:tcPr>
                          <w:p w14:paraId="683D8375" w14:textId="77777777" w:rsidR="00CA04BD" w:rsidRPr="00D4402D" w:rsidRDefault="00CA04BD"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E904BC"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6762FB"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14D2A5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785E7936"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B5D0780"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1AF58F2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5981498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FEE4D4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41888F3"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CA04BD" w:rsidRPr="00D4402D" w14:paraId="679D9271" w14:textId="77777777" w:rsidTr="006153D4">
                        <w:trPr>
                          <w:trHeight w:val="320"/>
                        </w:trPr>
                        <w:tc>
                          <w:tcPr>
                            <w:tcW w:w="2317" w:type="dxa"/>
                            <w:noWrap/>
                            <w:vAlign w:val="center"/>
                            <w:hideMark/>
                          </w:tcPr>
                          <w:p w14:paraId="10AC9DCA"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92E1318"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79F48DA"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BA9177"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046B338A"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FA4D62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1B95A2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0EC49A42"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275E94C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727E0548"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CA04BD" w:rsidRPr="00D4402D" w14:paraId="201D7BD1" w14:textId="77777777" w:rsidTr="006153D4">
                        <w:trPr>
                          <w:trHeight w:val="320"/>
                        </w:trPr>
                        <w:tc>
                          <w:tcPr>
                            <w:tcW w:w="2317" w:type="dxa"/>
                            <w:tcBorders>
                              <w:bottom w:val="single" w:sz="4" w:space="0" w:color="auto"/>
                            </w:tcBorders>
                            <w:noWrap/>
                            <w:vAlign w:val="center"/>
                            <w:hideMark/>
                          </w:tcPr>
                          <w:p w14:paraId="2307D97C" w14:textId="77777777" w:rsidR="00CA04BD" w:rsidRPr="00D4402D" w:rsidRDefault="00CA04BD"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7F2F3B1E"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51FBDC44" w14:textId="77777777" w:rsidR="00CA04BD" w:rsidRPr="00D4402D" w:rsidRDefault="00CA04BD"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463E0BF9"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55E1F2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16DF0BBE"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5D23E4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DAD1EB5"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258006E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3B96B7FF" w14:textId="77777777" w:rsidR="00CA04BD" w:rsidRPr="006153D4" w:rsidRDefault="00CA04BD"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CA04BD" w:rsidRPr="00D4402D" w14:paraId="4FCADD62" w14:textId="77777777" w:rsidTr="00D31C48">
                        <w:trPr>
                          <w:trHeight w:val="320"/>
                        </w:trPr>
                        <w:tc>
                          <w:tcPr>
                            <w:tcW w:w="2317" w:type="dxa"/>
                            <w:tcBorders>
                              <w:bottom w:val="single" w:sz="4" w:space="0" w:color="auto"/>
                            </w:tcBorders>
                            <w:noWrap/>
                            <w:vAlign w:val="center"/>
                          </w:tcPr>
                          <w:p w14:paraId="2623D406" w14:textId="77777777" w:rsidR="00CA04BD" w:rsidRDefault="00CA04BD"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4789AE84"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07F8CA9C"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6E816F2D"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76930D80"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279E6F5"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199DF76F"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5C2A1A2B"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563AC0FB" w14:textId="77777777" w:rsidR="00CA04BD" w:rsidRPr="004B1377" w:rsidRDefault="00CA04BD"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270A4376" w14:textId="77777777" w:rsidR="00CA04BD" w:rsidRPr="004B1377" w:rsidRDefault="00CA04BD"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CA04BD" w:rsidRPr="00D4402D" w14:paraId="60B35D69" w14:textId="77777777" w:rsidTr="00AB163E">
                        <w:trPr>
                          <w:trHeight w:val="320"/>
                        </w:trPr>
                        <w:tc>
                          <w:tcPr>
                            <w:tcW w:w="14395" w:type="dxa"/>
                            <w:gridSpan w:val="10"/>
                            <w:tcBorders>
                              <w:left w:val="nil"/>
                              <w:bottom w:val="nil"/>
                              <w:right w:val="nil"/>
                            </w:tcBorders>
                            <w:noWrap/>
                            <w:vAlign w:val="center"/>
                          </w:tcPr>
                          <w:p w14:paraId="349BD870" w14:textId="77777777" w:rsidR="00CA04BD" w:rsidRPr="00173966" w:rsidRDefault="00CA04BD"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9CB0060" w14:textId="77777777" w:rsidR="00CA04BD" w:rsidRDefault="00CA04BD"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5BDA4BD9" w14:textId="77777777" w:rsidR="00CA04BD" w:rsidRDefault="00CA04BD"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609CB007" w14:textId="77777777" w:rsidR="00CA04BD" w:rsidRDefault="00CA04BD"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7619E178" w14:textId="77777777" w:rsidR="00CA04BD" w:rsidRDefault="00CA04BD"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59EBAC22" w14:textId="77777777" w:rsidR="00CA04BD" w:rsidRDefault="00CA04BD"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13771CA" w14:textId="77777777" w:rsidR="00CA04BD" w:rsidRPr="00136031" w:rsidRDefault="00CA04BD"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07151945" w14:textId="77777777" w:rsidR="00CA04BD" w:rsidRDefault="00CA04BD"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F771919" w14:textId="77777777" w:rsidR="00CA04BD" w:rsidRPr="00173966" w:rsidRDefault="00CA04BD" w:rsidP="00D9498C">
                            <w:pPr>
                              <w:rPr>
                                <w:rFonts w:ascii="Times New Roman" w:hAnsi="Times New Roman" w:cs="Times New Roman"/>
                                <w:b/>
                                <w:bCs/>
                                <w:sz w:val="20"/>
                                <w:szCs w:val="20"/>
                                <w:lang w:bidi="en-US"/>
                              </w:rPr>
                            </w:pPr>
                          </w:p>
                          <w:p w14:paraId="270AB44B" w14:textId="77777777" w:rsidR="00CA04BD" w:rsidRPr="001A6E43" w:rsidRDefault="00CA04BD" w:rsidP="00D9498C">
                            <w:pPr>
                              <w:rPr>
                                <w:rFonts w:ascii="Times New Roman" w:hAnsi="Times New Roman" w:cs="Times New Roman"/>
                                <w:sz w:val="20"/>
                                <w:szCs w:val="20"/>
                              </w:rPr>
                            </w:pPr>
                          </w:p>
                        </w:tc>
                      </w:tr>
                    </w:tbl>
                    <w:p w14:paraId="5C137FE0" w14:textId="77777777" w:rsidR="00CA04BD" w:rsidRDefault="00CA04BD" w:rsidP="00CA04BD"/>
                  </w:txbxContent>
                </v:textbox>
              </v:shape>
            </w:pict>
          </mc:Fallback>
        </mc:AlternateContent>
      </w:r>
    </w:p>
    <w:p w14:paraId="70C90F94" w14:textId="77777777" w:rsidR="00CA04BD" w:rsidRDefault="00CA04BD" w:rsidP="00CA04BD">
      <w:pPr>
        <w:spacing w:line="360" w:lineRule="auto"/>
        <w:rPr>
          <w:rFonts w:ascii="Times New Roman" w:hAnsi="Times New Roman" w:cs="Times New Roman"/>
        </w:rPr>
      </w:pPr>
    </w:p>
    <w:p w14:paraId="6C67847E" w14:textId="77777777" w:rsidR="00CA04BD" w:rsidRDefault="00CA04BD" w:rsidP="00CA04BD">
      <w:pPr>
        <w:spacing w:line="360" w:lineRule="auto"/>
        <w:rPr>
          <w:rFonts w:ascii="Times New Roman" w:hAnsi="Times New Roman" w:cs="Times New Roman"/>
        </w:rPr>
      </w:pPr>
    </w:p>
    <w:p w14:paraId="5A52CCFC" w14:textId="77777777" w:rsidR="00CA04BD" w:rsidRDefault="00CA04BD" w:rsidP="00CA04BD">
      <w:pPr>
        <w:spacing w:line="360" w:lineRule="auto"/>
        <w:rPr>
          <w:rFonts w:ascii="Times New Roman" w:hAnsi="Times New Roman" w:cs="Times New Roman"/>
        </w:rPr>
      </w:pPr>
    </w:p>
    <w:p w14:paraId="358EB916" w14:textId="77777777" w:rsidR="00CA04BD" w:rsidRDefault="00CA04BD" w:rsidP="00CA04BD">
      <w:pPr>
        <w:spacing w:line="360" w:lineRule="auto"/>
        <w:rPr>
          <w:rFonts w:ascii="Times New Roman" w:hAnsi="Times New Roman" w:cs="Times New Roman"/>
        </w:rPr>
      </w:pPr>
    </w:p>
    <w:p w14:paraId="3F5F5D28" w14:textId="77777777" w:rsidR="00CA04BD" w:rsidRDefault="00CA04BD" w:rsidP="00CA04BD">
      <w:pPr>
        <w:spacing w:line="360" w:lineRule="auto"/>
        <w:rPr>
          <w:rFonts w:ascii="Times New Roman" w:hAnsi="Times New Roman" w:cs="Times New Roman"/>
        </w:rPr>
      </w:pPr>
    </w:p>
    <w:p w14:paraId="48858B0B" w14:textId="77777777" w:rsidR="00CA04BD" w:rsidRDefault="00CA04BD" w:rsidP="00CA04BD">
      <w:pPr>
        <w:spacing w:line="360" w:lineRule="auto"/>
        <w:rPr>
          <w:rFonts w:ascii="Times New Roman" w:hAnsi="Times New Roman" w:cs="Times New Roman"/>
        </w:rPr>
      </w:pPr>
    </w:p>
    <w:p w14:paraId="4633F1B9" w14:textId="77777777" w:rsidR="00CA04BD" w:rsidRDefault="00CA04BD" w:rsidP="00CA04BD">
      <w:pPr>
        <w:spacing w:line="360" w:lineRule="auto"/>
        <w:rPr>
          <w:rFonts w:ascii="Times New Roman" w:hAnsi="Times New Roman" w:cs="Times New Roman"/>
        </w:rPr>
      </w:pPr>
    </w:p>
    <w:p w14:paraId="51CD200C" w14:textId="77777777" w:rsidR="00CA04BD" w:rsidRDefault="00CA04BD" w:rsidP="00CA04BD">
      <w:pPr>
        <w:spacing w:line="360" w:lineRule="auto"/>
        <w:rPr>
          <w:rFonts w:ascii="Times New Roman" w:hAnsi="Times New Roman" w:cs="Times New Roman"/>
        </w:rPr>
      </w:pPr>
    </w:p>
    <w:p w14:paraId="45533E08" w14:textId="77777777" w:rsidR="00CA04BD" w:rsidRDefault="00CA04BD" w:rsidP="00CA04BD">
      <w:pPr>
        <w:spacing w:line="360" w:lineRule="auto"/>
        <w:rPr>
          <w:rFonts w:ascii="Times New Roman" w:hAnsi="Times New Roman" w:cs="Times New Roman"/>
        </w:rPr>
      </w:pPr>
    </w:p>
    <w:p w14:paraId="257F924C" w14:textId="77777777" w:rsidR="00CA04BD" w:rsidRDefault="00CA04BD" w:rsidP="00CA04BD">
      <w:pPr>
        <w:spacing w:line="360" w:lineRule="auto"/>
        <w:rPr>
          <w:rFonts w:ascii="Times New Roman" w:hAnsi="Times New Roman" w:cs="Times New Roman"/>
        </w:rPr>
      </w:pPr>
    </w:p>
    <w:p w14:paraId="2A1C3BD6" w14:textId="77777777" w:rsidR="00CA04BD" w:rsidRDefault="00CA04BD" w:rsidP="00CA04BD">
      <w:pPr>
        <w:spacing w:line="360" w:lineRule="auto"/>
        <w:rPr>
          <w:rFonts w:ascii="Times New Roman" w:hAnsi="Times New Roman" w:cs="Times New Roman"/>
        </w:rPr>
      </w:pPr>
    </w:p>
    <w:p w14:paraId="18304C7F" w14:textId="77777777" w:rsidR="00CA04BD" w:rsidRDefault="00CA04BD" w:rsidP="00CA04BD">
      <w:pPr>
        <w:spacing w:line="360" w:lineRule="auto"/>
        <w:rPr>
          <w:rFonts w:ascii="Times New Roman" w:hAnsi="Times New Roman" w:cs="Times New Roman"/>
        </w:rPr>
      </w:pPr>
    </w:p>
    <w:p w14:paraId="0FF3701E" w14:textId="77777777" w:rsidR="00CA04BD" w:rsidRDefault="00CA04BD" w:rsidP="00CA04BD">
      <w:pPr>
        <w:spacing w:line="360" w:lineRule="auto"/>
        <w:rPr>
          <w:rFonts w:ascii="Times New Roman" w:hAnsi="Times New Roman" w:cs="Times New Roman"/>
        </w:rPr>
      </w:pPr>
    </w:p>
    <w:p w14:paraId="0920E96C" w14:textId="77777777" w:rsidR="00CA04BD" w:rsidRDefault="00CA04BD" w:rsidP="00CA04BD">
      <w:pPr>
        <w:spacing w:line="360" w:lineRule="auto"/>
        <w:rPr>
          <w:rFonts w:ascii="Times New Roman" w:hAnsi="Times New Roman" w:cs="Times New Roman"/>
        </w:rPr>
      </w:pPr>
    </w:p>
    <w:p w14:paraId="4EA78264" w14:textId="77777777" w:rsidR="00CA04BD" w:rsidRDefault="00CA04BD" w:rsidP="00CA04BD">
      <w:pPr>
        <w:spacing w:line="360" w:lineRule="auto"/>
        <w:rPr>
          <w:rFonts w:ascii="Times New Roman" w:hAnsi="Times New Roman" w:cs="Times New Roman"/>
        </w:rPr>
      </w:pPr>
    </w:p>
    <w:p w14:paraId="0B420BFA" w14:textId="77777777" w:rsidR="00CA04BD" w:rsidRDefault="00CA04BD" w:rsidP="00CA04BD">
      <w:pPr>
        <w:spacing w:line="360" w:lineRule="auto"/>
        <w:rPr>
          <w:rFonts w:ascii="Times New Roman" w:hAnsi="Times New Roman" w:cs="Times New Roman"/>
        </w:rPr>
      </w:pPr>
    </w:p>
    <w:p w14:paraId="7FD21A88" w14:textId="77777777" w:rsidR="00CA04BD" w:rsidRDefault="00CA04BD" w:rsidP="00CA04BD">
      <w:pPr>
        <w:spacing w:line="360" w:lineRule="auto"/>
        <w:rPr>
          <w:rFonts w:ascii="Times New Roman" w:hAnsi="Times New Roman" w:cs="Times New Roman"/>
        </w:rPr>
      </w:pPr>
    </w:p>
    <w:p w14:paraId="3A50D3C2" w14:textId="77777777" w:rsidR="00CA04BD" w:rsidRDefault="00CA04BD" w:rsidP="00CA04BD">
      <w:pPr>
        <w:spacing w:line="360" w:lineRule="auto"/>
        <w:rPr>
          <w:rFonts w:ascii="Times New Roman" w:hAnsi="Times New Roman" w:cs="Times New Roman"/>
        </w:rPr>
      </w:pPr>
    </w:p>
    <w:p w14:paraId="49D89929" w14:textId="77777777" w:rsidR="00CA04BD" w:rsidRDefault="00CA04BD" w:rsidP="00CA04BD">
      <w:pPr>
        <w:spacing w:line="360" w:lineRule="auto"/>
        <w:rPr>
          <w:rFonts w:ascii="Times New Roman" w:hAnsi="Times New Roman" w:cs="Times New Roman"/>
        </w:rPr>
      </w:pPr>
    </w:p>
    <w:p w14:paraId="15789203" w14:textId="77777777" w:rsidR="00CA04BD" w:rsidRDefault="00CA04BD" w:rsidP="00CA04BD">
      <w:pPr>
        <w:spacing w:line="360" w:lineRule="auto"/>
        <w:rPr>
          <w:rFonts w:ascii="Times New Roman" w:hAnsi="Times New Roman" w:cs="Times New Roman"/>
        </w:rPr>
      </w:pPr>
    </w:p>
    <w:p w14:paraId="4D8647F1" w14:textId="77777777" w:rsidR="00CA04BD" w:rsidRDefault="00CA04BD" w:rsidP="00CA04BD">
      <w:pPr>
        <w:spacing w:line="360" w:lineRule="auto"/>
        <w:rPr>
          <w:rFonts w:ascii="Times New Roman" w:hAnsi="Times New Roman" w:cs="Times New Roman"/>
        </w:rPr>
        <w:sectPr w:rsidR="00CA04BD" w:rsidSect="00192A74">
          <w:pgSz w:w="15840" w:h="12240" w:orient="landscape"/>
          <w:pgMar w:top="1440" w:right="1440" w:bottom="1440" w:left="1440" w:header="720" w:footer="720" w:gutter="0"/>
          <w:cols w:space="720"/>
          <w:docGrid w:linePitch="360"/>
        </w:sectPr>
      </w:pPr>
    </w:p>
    <w:p w14:paraId="0EB4D4B9" w14:textId="672BE8DE" w:rsidR="009C3F68" w:rsidRDefault="00BB5F5C" w:rsidP="00CA04BD">
      <w:r>
        <w:rPr>
          <w:noProof/>
        </w:rPr>
        <w:lastRenderedPageBreak/>
        <mc:AlternateContent>
          <mc:Choice Requires="wps">
            <w:drawing>
              <wp:anchor distT="0" distB="0" distL="114300" distR="114300" simplePos="0" relativeHeight="251665408" behindDoc="0" locked="0" layoutInCell="1" allowOverlap="1" wp14:anchorId="1A918669" wp14:editId="22C04E92">
                <wp:simplePos x="0" y="0"/>
                <wp:positionH relativeFrom="column">
                  <wp:posOffset>-622300</wp:posOffset>
                </wp:positionH>
                <wp:positionV relativeFrom="paragraph">
                  <wp:posOffset>190500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5ED4B065" w14:textId="77777777" w:rsidR="00BB5F5C" w:rsidRPr="008918EB" w:rsidRDefault="00BB5F5C" w:rsidP="00BB5F5C">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18669" id="_x0000_s1029" type="#_x0000_t202" style="position:absolute;margin-left:-49pt;margin-top:15pt;width:45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1S/GwIAAD8EAAAOAAAAZHJzL2Uyb0RvYy54bWysU8Fu2zAMvQ/YPwi6L07apQuMOEWWIsOA&#13;&#10;oC2QDj0rshwLkEWNUmJnXz9KjpOt22nYRaZJihTfe5zfd41hR4Vegy34ZDTmTFkJpbb7gn97WX+Y&#13;&#10;ceaDsKUwYFXBT8rz+8X7d/PW5eoGajClQkZFrM9bV/A6BJdnmZe1aoQfgVOWghVgIwL94j4rUbRU&#13;&#10;vTHZzXh8l7WApUOQynvyPvRBvkj1q0rJ8FRVXgVmCk5vC+nEdO7imS3mIt+jcLWW52eIf3hFI7Sl&#13;&#10;ppdSDyIIdkD9R6lGSwQPVRhJaDKoKi1VmoGmmYzfTLOthVNpFgLHuwtM/v+VlY/HrXtGFrrP0BGB&#13;&#10;EZDW+dyTM87TVdjEL72UUZwgPF1gU11gkpzTT7Ppx9mUM0mxu9tprJFdrzr04YuChkWj4EicJKjE&#13;&#10;ceNDnzqkxE4ejC7X2pj4EwMrg+woiL+21kGdi/+WZWzMtRBv9QWjJ7vOEa3Q7Tqmy4LfDjPuoDzR&#13;&#10;6Ai9KryTa039NsKHZ4EkA5qWpB2e6KgMtAWHs8VZDfjjb/6YT+xQlLOWZFVw//0gUHFmvlriLWpw&#13;&#10;MHAwdoNhD80KaNIJLY2TyaQLGMxgVgjNKyl+GbtQSFhJvQoeBnMVenHTxki1XKYkUpoTYWO3TsbS&#13;&#10;A64v3atAd2YlEJmPMAhO5G/I6XMTPW55CIR0Yi7i2qN4hptUmrg/b1Rcg1//U9Z17xc/AQAA//8D&#13;&#10;AFBLAwQUAAYACAAAACEAU/OFReQAAAAOAQAADwAAAGRycy9kb3ducmV2LnhtbEyPPU/DMBCGdyT+&#13;&#10;g3VILKh1QqoqpHGqqsAAS0XowubGbhyIz5HttOHfc53Kcqf7eu99yvVke3bSPnQOBaTzBJjGxqkO&#13;&#10;WwH7z9dZDixEiUr2DrWAXx1gXd3elLJQ7owf+lTHlpEIhkIKMDEOBeehMdrKMHeDRpodnbcyUulb&#13;&#10;rrw8k7jt+WOSLLmVHdIHIwe9Nbr5qUcrYLf42pmH8fjyvllk/m0/bpffbS3E/d30vKKwWQGLeorX&#13;&#10;C7gwkH+oyNjBjagC6wXMnnICigKyhDIt5GmWAjtcGinwquT/Mao/AAAA//8DAFBLAQItABQABgAI&#13;&#10;AAAAIQC2gziS/gAAAOEBAAATAAAAAAAAAAAAAAAAAAAAAABbQ29udGVudF9UeXBlc10ueG1sUEsB&#13;&#10;Ai0AFAAGAAgAAAAhADj9If/WAAAAlAEAAAsAAAAAAAAAAAAAAAAALwEAAF9yZWxzLy5yZWxzUEsB&#13;&#10;Ai0AFAAGAAgAAAAhAJOrVL8bAgAAPwQAAA4AAAAAAAAAAAAAAAAALgIAAGRycy9lMm9Eb2MueG1s&#13;&#10;UEsBAi0AFAAGAAgAAAAhAFPzhUXkAAAADgEAAA8AAAAAAAAAAAAAAAAAdQQAAGRycy9kb3ducmV2&#13;&#10;LnhtbFBLBQYAAAAABAAEAPMAAACGBQAAAAA=&#13;&#10;" stroked="f">
                <v:textbox style="mso-fit-shape-to-text:t" inset="0,0,0,0">
                  <w:txbxContent>
                    <w:p w14:paraId="5ED4B065" w14:textId="77777777" w:rsidR="00BB5F5C" w:rsidRPr="008918EB" w:rsidRDefault="00BB5F5C" w:rsidP="00BB5F5C">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sidR="00CA04BD" w:rsidRPr="00C90B6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9B501F6" wp14:editId="15383493">
                <wp:simplePos x="0" y="0"/>
                <wp:positionH relativeFrom="column">
                  <wp:posOffset>-621665</wp:posOffset>
                </wp:positionH>
                <wp:positionV relativeFrom="paragraph">
                  <wp:posOffset>710565</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206592BD" w14:textId="77777777" w:rsidR="00CA04BD" w:rsidRDefault="00CA04BD" w:rsidP="00CA04BD">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73BB2530" w14:textId="77777777" w:rsidR="00CA04BD" w:rsidRDefault="00CA04BD" w:rsidP="00CA04BD">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6D8E9C0B" w14:textId="77777777" w:rsidR="00CA04BD" w:rsidRPr="003A60E7" w:rsidRDefault="00CA04BD" w:rsidP="00CA04BD">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501F6" id="_x0000_s1030" type="#_x0000_t202" style="position:absolute;margin-left:-48.95pt;margin-top:55.95pt;width:401.25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SzoHwIAAEIEAAAOAAAAZHJzL2Uyb0RvYy54bWysU8Fu2zAMvQ/YPwi6L06KpWmNOEWWIsOA&#13;&#10;oC2QDj0rshwLkEWNUmJnXz9Kjpuu22nYRaZFiuR7fJzfdY1hR4Vegy34ZDTmTFkJpbb7gn9/Xn+6&#13;&#10;4cwHYUthwKqCn5Tnd4uPH+aty9UV1GBKhYySWJ+3ruB1CC7PMi9r1Qg/AqcsOSvARgT6xX1Womgp&#13;&#10;e2Oyq/H4OmsBS4cglfd0e987+SLlryolw2NVeRWYKTj1FtKJ6dzFM1vMRb5H4Wotz22If+iiEdpS&#13;&#10;0ddU9yIIdkD9R6pGSwQPVRhJaDKoKi1VwkBoJuN3aLa1cCphIXK8e6XJ/7+08uG4dU/IQvcFOhpg&#13;&#10;JKR1Pvd0GfF0FTbxS50y8hOFp1faVBeYpMvp+HZ6M5tyJsk3u51NrxOv2eW1Qx++KmhYNAqONJbE&#13;&#10;ljhufKCKFDqExGIejC7X2pj4Ex0rg+woaIRtrYOKPdKL36KMjbEW4qveHW+yC5RohW7XMV0W/PMA&#13;&#10;cwflidAj9MLwTq411dsIH54EkhIIMKk7PNJRGWgLDmeLsxrw59/uYzwNiLyctaSsgvsfB4GKM/PN&#13;&#10;0uiiDAcDB2M3GPbQrICQTmhvnEwmPcBgBrNCaF5I9MtYhVzCSqpV8DCYq9Drm5ZGquUyBZHYnAgb&#13;&#10;u3Uyph54fe5eBLrzVALN8wEGzYn83XD62J7l5SFApdPkIq89i2e6SahpPOelipvw9j9FXVZ/8QsA&#13;&#10;AP//AwBQSwMEFAAGAAgAAAAhAJOpRvvkAAAAEAEAAA8AAABkcnMvZG93bnJldi54bWxMTz1PwzAQ&#13;&#10;3ZH4D9YhsaDWSYCEpnEqaGCDoaXq7MYmiYjPke006b/nmGA53em9ex/FZjY9O2vnO4sC4mUETGNt&#13;&#10;VYeNgMPn2+IJmA8SlewtagEX7WFTXl8VMld2wp0+70PDSAR9LgW0IQw5575utZF+aQeNhH1ZZ2Sg&#13;&#10;0zVcOTmRuOl5EkUpN7JDcmjloLetrr/3oxGQVm6cdri9qw6v7/JjaJLjy+UoxO3NXK1pPK+BBT2H&#13;&#10;vw/47UD5oaRgJzui8qwXsFhlK6ISEMe0ECOLHlJgJwHJffYIvCz4/yLlDwAAAP//AwBQSwECLQAU&#13;&#10;AAYACAAAACEAtoM4kv4AAADhAQAAEwAAAAAAAAAAAAAAAAAAAAAAW0NvbnRlbnRfVHlwZXNdLnht&#13;&#10;bFBLAQItABQABgAIAAAAIQA4/SH/1gAAAJQBAAALAAAAAAAAAAAAAAAAAC8BAABfcmVscy8ucmVs&#13;&#10;c1BLAQItABQABgAIAAAAIQDYTSzoHwIAAEIEAAAOAAAAAAAAAAAAAAAAAC4CAABkcnMvZTJvRG9j&#13;&#10;LnhtbFBLAQItABQABgAIAAAAIQCTqUb75AAAABABAAAPAAAAAAAAAAAAAAAAAHkEAABkcnMvZG93&#13;&#10;bnJldi54bWxQSwUGAAAAAAQABADzAAAAigUAAAAA&#13;&#10;" stroked="f">
                <v:textbox inset="0,0,0,0">
                  <w:txbxContent>
                    <w:p w14:paraId="206592BD" w14:textId="77777777" w:rsidR="00CA04BD" w:rsidRDefault="00CA04BD" w:rsidP="00CA04BD">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73BB2530" w14:textId="77777777" w:rsidR="00CA04BD" w:rsidRDefault="00CA04BD" w:rsidP="00CA04BD">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6D8E9C0B" w14:textId="77777777" w:rsidR="00CA04BD" w:rsidRPr="003A60E7" w:rsidRDefault="00CA04BD" w:rsidP="00CA04BD">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sidR="00CA04BD" w:rsidRPr="00C90B6F">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7978C51" wp14:editId="017F99E8">
                <wp:simplePos x="0" y="0"/>
                <wp:positionH relativeFrom="column">
                  <wp:posOffset>-627380</wp:posOffset>
                </wp:positionH>
                <wp:positionV relativeFrom="paragraph">
                  <wp:posOffset>1727200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52EDC2BC" w14:textId="77777777" w:rsidR="00CA04BD" w:rsidRPr="00E43C36" w:rsidRDefault="00CA04BD" w:rsidP="00CA04BD">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06547F8A" w14:textId="77777777" w:rsidR="00CA04BD" w:rsidRDefault="00CA04BD" w:rsidP="00CA04BD">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72AD916B" w14:textId="77777777" w:rsidR="00CA04BD" w:rsidRPr="00E43C36" w:rsidRDefault="00CA04BD" w:rsidP="00CA04BD">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78C51" id="Text Box 6" o:spid="_x0000_s1031" type="#_x0000_t202" style="position:absolute;margin-left:-49.4pt;margin-top:136pt;width:489.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ag5GAIAAD8EAAAOAAAAZHJzL2Uyb0RvYy54bWysU8Fu2zAMvQ/YPwi6L05SNCiMOEWWIsOA&#13;&#10;oC3QDj0rshwLkEWNUmJnXz9KtpOt22nYRaZJ6lHke1zed41hJ4Vegy34bDLlTFkJpbaHgn973X66&#13;&#10;48wHYUthwKqCn5Xn96uPH5aty9UcajClQkYg1uetK3gdgsuzzMtaNcJPwClLwQqwEYF+8ZCVKFpC&#13;&#10;b0w2n04XWQtYOgSpvCfvQx/kq4RfVUqGp6ryKjBTcHpbSCemcx/PbLUU+QGFq7UcniH+4RWN0JaK&#13;&#10;XqAeRBDsiPoPqEZLBA9VmEhoMqgqLVXqgbqZTd9181ILp1IvNBzvLmPy/w9WPp5e3DOy0H2GjgiM&#13;&#10;A2mdzz05Yz9dhU380ksZxWmE58vYVBeYJOdiPru9uaOQpNji5jZiZNerDn34oqBh0Sg4EidpVOK0&#13;&#10;86FPHVNiJQ9Gl1ttTPyJgY1BdhLEX1vroAbw37KMjbkW4q0eMHqyax/RCt2+Y7oseHpf9OyhPFPr&#13;&#10;CL0qvJNbTfV2wodngSQDaomkHZ7oqAy0BYfB4qwG/PE3f8wndijKWUuyKrj/fhSoODNfLfEWNTga&#13;&#10;OBr70bDHZgPU6YyWxslk0gUMZjQrhOaNFL+OVSgkrKRaBQ+juQm9uGljpFqvUxIpzYmwsy9ORuhx&#13;&#10;rq/dm0A3sBKIzEcYBSfyd+T0uYketz4GmnRi7jrFYdyk0sT9sFFxDX79T1nXvV/9BAAA//8DAFBL&#13;&#10;AwQUAAYACAAAACEAg3ghyOUAAAAQAQAADwAAAGRycy9kb3ducmV2LnhtbEyPPU/DMBCGdyT+g3VI&#13;&#10;LKh1GqoS0jhVVWAoS0XowubGbhyIz5HttOHf92CB5XSf7z1vsRptx07ah9ahgNk0AaaxdqrFRsD+&#13;&#10;/WWSAQtRopKdQy3gWwdYlddXhcyVO+ObPlWxYSSCIZcCTIx9znmojbYyTF2vkWZH562MVPqGKy/P&#13;&#10;JG47nibJglvZIn0wstcbo+uvarACdvOPnbkbjs+v6/m93+6HzeKzqYS4vRmflhTWS2BRj/HvAn48&#13;&#10;ED+UBHZwA6rAOgGTx4z4o4D0ISVntJFlCSWH384MeFnw/0bKCwAAAP//AwBQSwECLQAUAAYACAAA&#13;&#10;ACEAtoM4kv4AAADhAQAAEwAAAAAAAAAAAAAAAAAAAAAAW0NvbnRlbnRfVHlwZXNdLnhtbFBLAQIt&#13;&#10;ABQABgAIAAAAIQA4/SH/1gAAAJQBAAALAAAAAAAAAAAAAAAAAC8BAABfcmVscy8ucmVsc1BLAQIt&#13;&#10;ABQABgAIAAAAIQClIag5GAIAAD8EAAAOAAAAAAAAAAAAAAAAAC4CAABkcnMvZTJvRG9jLnhtbFBL&#13;&#10;AQItABQABgAIAAAAIQCDeCHI5QAAABABAAAPAAAAAAAAAAAAAAAAAHIEAABkcnMvZG93bnJldi54&#13;&#10;bWxQSwUGAAAAAAQABADzAAAAhAUAAAAA&#13;&#10;" stroked="f">
                <v:textbox style="mso-fit-shape-to-text:t" inset="0,0,0,0">
                  <w:txbxContent>
                    <w:p w14:paraId="52EDC2BC" w14:textId="77777777" w:rsidR="00CA04BD" w:rsidRPr="00E43C36" w:rsidRDefault="00CA04BD" w:rsidP="00CA04BD">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four 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Pr="00E43C36">
                        <w:rPr>
                          <w:rFonts w:ascii="Times New Roman" w:hAnsi="Times New Roman" w:cs="Times New Roman"/>
                          <w:i/>
                          <w:iCs/>
                          <w:sz w:val="20"/>
                          <w:szCs w:val="20"/>
                        </w:rPr>
                        <w:t>.</w:t>
                      </w:r>
                    </w:p>
                    <w:p w14:paraId="06547F8A" w14:textId="77777777" w:rsidR="00CA04BD" w:rsidRDefault="00CA04BD" w:rsidP="00CA04BD">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pattern scores were normalized prior to plotting</w:t>
                      </w:r>
                    </w:p>
                    <w:p w14:paraId="72AD916B" w14:textId="77777777" w:rsidR="00CA04BD" w:rsidRPr="00E43C36" w:rsidRDefault="00CA04BD" w:rsidP="00CA04BD">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p>
    <w:sectPr w:rsidR="009C3F68" w:rsidSect="00CA04BD">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135CC3"/>
    <w:rsid w:val="001762EB"/>
    <w:rsid w:val="00190525"/>
    <w:rsid w:val="002C70C5"/>
    <w:rsid w:val="002C775F"/>
    <w:rsid w:val="003245FD"/>
    <w:rsid w:val="003378CE"/>
    <w:rsid w:val="003B6A0A"/>
    <w:rsid w:val="00661515"/>
    <w:rsid w:val="00687A69"/>
    <w:rsid w:val="008118A7"/>
    <w:rsid w:val="00811C65"/>
    <w:rsid w:val="008343E2"/>
    <w:rsid w:val="00853C24"/>
    <w:rsid w:val="00A256DF"/>
    <w:rsid w:val="00BB5F5C"/>
    <w:rsid w:val="00CA04BD"/>
    <w:rsid w:val="00E21CDB"/>
    <w:rsid w:val="00F678B8"/>
    <w:rsid w:val="00F86F98"/>
    <w:rsid w:val="00FD6E10"/>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semiHidden/>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semiHidden/>
    <w:unhideWhenUsed/>
    <w:rsid w:val="00CA04BD"/>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mainov/nhanes-fi-ca-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28</Pages>
  <Words>24128</Words>
  <Characters>137530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19</cp:revision>
  <dcterms:created xsi:type="dcterms:W3CDTF">2023-06-12T14:49:00Z</dcterms:created>
  <dcterms:modified xsi:type="dcterms:W3CDTF">2023-06-15T08:24:00Z</dcterms:modified>
</cp:coreProperties>
</file>