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30F92677"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A cancer diagnosis can upend several facets of life and well-being. In addition to psychological distress from the diagnosis, financial toxicity and its accompanying distress can emerge for many cancer survivors due to exorbitant treatment, prescription, and indirect costs (e.g., lost income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Pr>
          <w:rFonts w:ascii="Times New Roman" w:hAnsi="Times New Roman" w:cs="Times New Roman"/>
        </w:rPr>
        <w:t>about</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52D92675"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A framework of competing demands conceptualizes one manifestation of food insecurity amongst cancer survivors, involving cancer survivors facing difficult decisions between choosing medical care or nutritious foods</w:t>
      </w:r>
      <w:r w:rsidRPr="00377C36">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 though more research is needed to substantiate this conjecture.</w:t>
      </w:r>
    </w:p>
    <w:p w14:paraId="7DABA6DC" w14:textId="6F68908E"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and which was inversely associated with being food-insecure in the same population. Whether these dietary patterns impact clinically meaningful outcomes for cancer survivors was left open-ended.</w:t>
      </w:r>
    </w:p>
    <w:p w14:paraId="5AD1D093" w14:textId="5402CF63"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lastRenderedPageBreak/>
        <w:t>Understanding how food insecurity impacts different aspects of life, including dietary intake, is a means of delineating at least one potential driving factor behind the health disparities that may arise for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The hypothesis was that the dietary patterns describing consumption patterns in the food-insecure cancer survivor population would be positively associated with mortality in the cancer survivor and food-insecure cancer survivor populations.</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BF80633"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w:t>
      </w:r>
      <w:r w:rsidR="005E6B5F">
        <w:rPr>
          <w:rFonts w:ascii="Times New Roman" w:hAnsi="Times New Roman" w:cs="Times New Roman"/>
        </w:rPr>
        <w:t>,</w:t>
      </w:r>
      <w:r w:rsidR="001B0695">
        <w:rPr>
          <w:rFonts w:ascii="Times New Roman" w:hAnsi="Times New Roman" w:cs="Times New Roman"/>
        </w:rPr>
        <w:t xml:space="preserve">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4685533"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United States Department of Agriculture’s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w:t>
      </w:r>
      <w:r w:rsidR="00377C36">
        <w:rPr>
          <w:rFonts w:ascii="Times New Roman" w:hAnsi="Times New Roman" w:cs="Times New Roman"/>
        </w:rPr>
        <w:lastRenderedPageBreak/>
        <w:t>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377C36">
        <w:rPr>
          <w:rFonts w:ascii="Times New Roman" w:hAnsi="Times New Roman" w:cs="Times New Roman"/>
        </w:rPr>
        <w:t>food-secure</w:t>
      </w:r>
      <w:commentRangeStart w:id="0"/>
      <w:commentRangeStart w:id="1"/>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 on the Medical Conditions Questionnaire (MCQ). </w:t>
      </w:r>
      <w:r w:rsidR="00221EC2">
        <w:rPr>
          <w:rFonts w:ascii="Times New Roman" w:hAnsi="Times New Roman" w:cs="Times New Roman"/>
        </w:rPr>
        <w:t xml:space="preserve">We note that 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56585E44" w:rsidR="0027484B" w:rsidRPr="00C6784D" w:rsidRDefault="00A14902" w:rsidP="008918EB">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4BE8BBF"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w:t>
      </w:r>
      <w:r w:rsidR="0014127A" w:rsidRPr="0014127A">
        <w:rPr>
          <w:rFonts w:ascii="Times New Roman" w:hAnsi="Times New Roman" w:cs="Times New Roman"/>
        </w:rPr>
        <w:lastRenderedPageBreak/>
        <w:t>and 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1D0D429"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 Tenth Revision (ICD-10) codes</w:t>
      </w:r>
      <w:r w:rsidR="00A358D5">
        <w:rPr>
          <w:rFonts w:ascii="Times New Roman" w:hAnsi="Times New Roman" w:cs="Times New Roman"/>
        </w:rPr>
        <w:t xml:space="preserve"> to classify causes of death</w:t>
      </w:r>
      <w:r w:rsidR="00756082">
        <w:rPr>
          <w:rFonts w:ascii="Times New Roman" w:hAnsi="Times New Roman" w:cs="Times New Roman"/>
        </w:rPr>
        <w:t xml:space="preserve">.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A15601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0E5296">
        <w:rPr>
          <w:rFonts w:ascii="Times New Roman" w:hAnsi="Times New Roman" w:cs="Times New Roman"/>
        </w:rPr>
        <w:t>in</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These data</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63E078A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w:t>
      </w:r>
      <w:r w:rsidR="00662128">
        <w:rPr>
          <w:rFonts w:ascii="Times New Roman" w:hAnsi="Times New Roman" w:cs="Times New Roman"/>
        </w:rPr>
        <w:t>with</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6D3BED32"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z</m:t>
          </m:r>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E69C3CC"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a</m:t>
          </m:r>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327B2D5A"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5FF79FD0" w14:textId="110ABCBC"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x</m:t>
          </m:r>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m:rPr>
                              <m:sty m:val="bi"/>
                            </m:rP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1C9379E3"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x</m:t>
          </m:r>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3CC2BB9A"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K=k</m:t>
            </m:r>
          </m:sub>
        </m:sSub>
      </m:oMath>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2"/>
      <w:r>
        <w:rPr>
          <w:rFonts w:ascii="Times New Roman" w:eastAsiaTheme="minorEastAsia" w:hAnsi="Times New Roman" w:cs="Times New Roman"/>
        </w:rPr>
        <w:t xml:space="preserve"> </w:t>
      </w:r>
      <m:oMath>
        <m:r>
          <w:rPr>
            <w:rFonts w:ascii="Cambria Math" w:eastAsiaTheme="minorEastAsia" w:hAnsi="Cambria Math" w:cs="Times New Roman"/>
          </w:rPr>
          <m:t>M=6</m:t>
        </m:r>
      </m:oMath>
      <w:r>
        <w:rPr>
          <w:rFonts w:ascii="Times New Roman" w:eastAsiaTheme="minorEastAsia" w:hAnsi="Times New Roman" w:cs="Times New Roman"/>
        </w:rPr>
        <w:t xml:space="preserve"> </w:t>
      </w:r>
      <w:commentRangeEnd w:id="2"/>
      <w:r>
        <w:rPr>
          <w:rStyle w:val="CommentReference"/>
        </w:rPr>
        <w:commentReference w:id="2"/>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natural cubic spline</w:t>
      </w:r>
      <w:r w:rsidR="00D33B18">
        <w:rPr>
          <w:rFonts w:ascii="Times New Roman" w:eastAsiaTheme="minorEastAsia" w:hAnsi="Times New Roman" w:cs="Times New Roman"/>
        </w:rPr>
        <w:t>s</w:t>
      </w:r>
      <w:r>
        <w:rPr>
          <w:rFonts w:ascii="Times New Roman" w:eastAsiaTheme="minorEastAsia" w:hAnsi="Times New Roman" w:cs="Times New Roman"/>
        </w:rPr>
        <w:t>. Models fit using equation 4 used four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3"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3"/>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4"/>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4"/>
      <w:r w:rsidR="005538C5">
        <w:rPr>
          <w:rStyle w:val="CommentReference"/>
        </w:rPr>
        <w:commentReference w:id="4"/>
      </w:r>
      <w:r w:rsidR="006F4653" w:rsidRPr="006F4653">
        <w:t xml:space="preserve"> </w:t>
      </w:r>
      <w:r w:rsidR="006F4653" w:rsidRPr="006F4653">
        <w:rPr>
          <w:rFonts w:ascii="Times New Roman" w:hAnsi="Times New Roman" w:cs="Times New Roman"/>
        </w:rPr>
        <w:t>We also considered the NHANES ADL as a covariate, given that food security can be associated with physical disability and functional deficit. However,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w:t>
      </w:r>
      <w:proofErr w:type="spellStart"/>
      <w:r w:rsidR="00E21C9A">
        <w:rPr>
          <w:rFonts w:ascii="Times New Roman" w:hAnsi="Times New Roman" w:cs="Times New Roman"/>
        </w:rPr>
        <w:t>s</w:t>
      </w:r>
      <w:r w:rsidR="00D33B18">
        <w:rPr>
          <w:rFonts w:ascii="Times New Roman" w:hAnsi="Times New Roman" w:cs="Times New Roman"/>
        </w:rPr>
        <w:t>ub</w:t>
      </w:r>
      <w:r w:rsidR="00E21C9A">
        <w:rPr>
          <w:rFonts w:ascii="Times New Roman" w:hAnsi="Times New Roman" w:cs="Times New Roman"/>
        </w:rPr>
        <w:t>analysis</w:t>
      </w:r>
      <w:proofErr w:type="spellEnd"/>
      <w:r w:rsidR="00E21C9A">
        <w:rPr>
          <w:rFonts w:ascii="Times New Roman" w:hAnsi="Times New Roman" w:cs="Times New Roman"/>
        </w:rPr>
        <w:t xml:space="preserve">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0A2F95"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contributions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more likely to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w:t>
      </w:r>
      <w:r w:rsidR="00377C36">
        <w:rPr>
          <w:rFonts w:ascii="Times New Roman" w:hAnsi="Times New Roman" w:cs="Times New Roman"/>
        </w:rPr>
        <w:t>food-secure</w:t>
      </w:r>
      <w:r w:rsidR="00332B47">
        <w:rPr>
          <w:rFonts w:ascii="Times New Roman" w:hAnsi="Times New Roman" w:cs="Times New Roman"/>
        </w:rPr>
        <w:t xml:space="preserv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5"/>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6"/>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6"/>
            <w:r w:rsidR="00FB536B">
              <w:rPr>
                <w:rStyle w:val="CommentReference"/>
              </w:rPr>
              <w:commentReference w:id="6"/>
            </w:r>
            <w:r w:rsidR="00E2638A">
              <w:rPr>
                <w:rStyle w:val="CommentReference"/>
              </w:rPr>
              <w:commentReference w:id="5"/>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5"/>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2F548D28"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 xml:space="preserve">Finally, the two patterns extracted with PCA, in general, appeared to reflect “prudent” patterns emphasizing fruit and vegetable intake while de-emphasizing added sugars and were negatively correlated with the FI, </w:t>
      </w:r>
      <w:r w:rsidR="002263B5" w:rsidRPr="002263B5">
        <w:rPr>
          <w:rFonts w:ascii="Times New Roman" w:hAnsi="Times New Roman" w:cs="Times New Roman"/>
        </w:rPr>
        <w:lastRenderedPageBreak/>
        <w:t>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pattern, and lower scores on the Age, Prudent #1, and Prudent #2 patterns compared to </w:t>
      </w:r>
      <w:r w:rsidR="00377C36">
        <w:rPr>
          <w:rFonts w:ascii="Times New Roman" w:hAnsi="Times New Roman" w:cs="Times New Roman"/>
        </w:rPr>
        <w:t>food-secure</w:t>
      </w:r>
      <w:r w:rsidR="00AA50B7">
        <w:rPr>
          <w:rFonts w:ascii="Times New Roman" w:hAnsi="Times New Roman" w:cs="Times New Roman"/>
        </w:rPr>
        <w:t xml:space="preserv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5A0E59">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5A0E59">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33B60586" w:rsidR="0024408E" w:rsidRDefault="00401BB7"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6672" behindDoc="0" locked="0" layoutInCell="1" allowOverlap="1" wp14:anchorId="68FEB554" wp14:editId="2C7A4BDA">
            <wp:simplePos x="0" y="0"/>
            <wp:positionH relativeFrom="column">
              <wp:posOffset>282102</wp:posOffset>
            </wp:positionH>
            <wp:positionV relativeFrom="paragraph">
              <wp:posOffset>0</wp:posOffset>
            </wp:positionV>
            <wp:extent cx="5144770" cy="4337573"/>
            <wp:effectExtent l="0" t="0" r="0" b="6350"/>
            <wp:wrapSquare wrapText="bothSides"/>
            <wp:docPr id="1992354501" name="Picture 4" descr="A picture containing diagram, screenshot,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54501" name="Picture 4" descr="A picture containing diagram, screenshot, text, circle&#10;&#10;Description automatically generated"/>
                    <pic:cNvPicPr/>
                  </pic:nvPicPr>
                  <pic:blipFill rotWithShape="1">
                    <a:blip r:embed="rId11" cstate="print">
                      <a:extLst>
                        <a:ext uri="{28A0092B-C50C-407E-A947-70E740481C1C}">
                          <a14:useLocalDpi xmlns:a14="http://schemas.microsoft.com/office/drawing/2010/main" val="0"/>
                        </a:ext>
                      </a:extLst>
                    </a:blip>
                    <a:srcRect l="13422" t="4685" b="4496"/>
                    <a:stretch/>
                  </pic:blipFill>
                  <pic:spPr bwMode="auto">
                    <a:xfrm>
                      <a:off x="0" y="0"/>
                      <a:ext cx="5144770" cy="4337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604957" w14:textId="73EFDC1A" w:rsidR="00387D8D" w:rsidRDefault="00387D8D" w:rsidP="00E43C36">
      <w:pPr>
        <w:spacing w:line="360" w:lineRule="auto"/>
        <w:rPr>
          <w:rFonts w:ascii="Times New Roman" w:hAnsi="Times New Roman" w:cs="Times New Roman"/>
        </w:rPr>
      </w:pPr>
    </w:p>
    <w:p w14:paraId="1B660C42" w14:textId="55280C3E" w:rsidR="00387D8D" w:rsidRDefault="00387D8D" w:rsidP="00E43C36">
      <w:pPr>
        <w:spacing w:line="360" w:lineRule="auto"/>
        <w:rPr>
          <w:rFonts w:ascii="Times New Roman" w:hAnsi="Times New Roman" w:cs="Times New Roman"/>
        </w:rPr>
      </w:pPr>
    </w:p>
    <w:p w14:paraId="1F5025EC" w14:textId="77777777" w:rsidR="00387D8D" w:rsidRDefault="00387D8D" w:rsidP="00E43C36">
      <w:pPr>
        <w:spacing w:line="360" w:lineRule="auto"/>
        <w:rPr>
          <w:rFonts w:ascii="Times New Roman" w:hAnsi="Times New Roman" w:cs="Times New Roman"/>
        </w:rPr>
      </w:pPr>
    </w:p>
    <w:p w14:paraId="7A9CBFCB" w14:textId="77777777" w:rsidR="00387D8D" w:rsidRDefault="00387D8D" w:rsidP="00E43C36">
      <w:pPr>
        <w:spacing w:line="360" w:lineRule="auto"/>
        <w:rPr>
          <w:rFonts w:ascii="Times New Roman" w:hAnsi="Times New Roman" w:cs="Times New Roman"/>
        </w:rPr>
      </w:pPr>
    </w:p>
    <w:p w14:paraId="6B6F6C21" w14:textId="77777777" w:rsidR="00387D8D" w:rsidRDefault="00387D8D" w:rsidP="00E43C36">
      <w:pPr>
        <w:spacing w:line="360" w:lineRule="auto"/>
        <w:rPr>
          <w:rFonts w:ascii="Times New Roman" w:hAnsi="Times New Roman" w:cs="Times New Roman"/>
        </w:rPr>
      </w:pPr>
    </w:p>
    <w:p w14:paraId="46E0379F" w14:textId="77777777" w:rsidR="00387D8D" w:rsidRDefault="00387D8D" w:rsidP="00E43C36">
      <w:pPr>
        <w:spacing w:line="360" w:lineRule="auto"/>
        <w:rPr>
          <w:rFonts w:ascii="Times New Roman" w:hAnsi="Times New Roman" w:cs="Times New Roman"/>
        </w:rPr>
      </w:pPr>
    </w:p>
    <w:p w14:paraId="2004968B" w14:textId="77777777" w:rsidR="00387D8D" w:rsidRDefault="00387D8D" w:rsidP="00E43C36">
      <w:pPr>
        <w:spacing w:line="360" w:lineRule="auto"/>
        <w:rPr>
          <w:rFonts w:ascii="Times New Roman" w:hAnsi="Times New Roman" w:cs="Times New Roman"/>
        </w:rPr>
      </w:pPr>
    </w:p>
    <w:p w14:paraId="630F389E" w14:textId="77777777" w:rsidR="00387D8D" w:rsidRDefault="00387D8D" w:rsidP="00E43C36">
      <w:pPr>
        <w:spacing w:line="360" w:lineRule="auto"/>
        <w:rPr>
          <w:rFonts w:ascii="Times New Roman" w:hAnsi="Times New Roman" w:cs="Times New Roman"/>
        </w:rPr>
      </w:pPr>
    </w:p>
    <w:p w14:paraId="2E81FAE7" w14:textId="77777777" w:rsidR="00387D8D" w:rsidRDefault="00387D8D" w:rsidP="00E43C36">
      <w:pPr>
        <w:spacing w:line="360" w:lineRule="auto"/>
        <w:rPr>
          <w:rFonts w:ascii="Times New Roman" w:hAnsi="Times New Roman" w:cs="Times New Roman"/>
        </w:rPr>
      </w:pPr>
    </w:p>
    <w:p w14:paraId="05023C8D" w14:textId="77777777" w:rsidR="00387D8D" w:rsidRDefault="00387D8D" w:rsidP="00E43C36">
      <w:pPr>
        <w:spacing w:line="360" w:lineRule="auto"/>
        <w:rPr>
          <w:rFonts w:ascii="Times New Roman" w:hAnsi="Times New Roman" w:cs="Times New Roman"/>
        </w:rPr>
      </w:pPr>
    </w:p>
    <w:p w14:paraId="558C3DF9" w14:textId="77777777" w:rsidR="00387D8D" w:rsidRDefault="00387D8D" w:rsidP="00E43C36">
      <w:pPr>
        <w:spacing w:line="360" w:lineRule="auto"/>
        <w:rPr>
          <w:rFonts w:ascii="Times New Roman" w:hAnsi="Times New Roman" w:cs="Times New Roman"/>
        </w:rPr>
      </w:pPr>
    </w:p>
    <w:p w14:paraId="280281A4" w14:textId="77777777" w:rsidR="00387D8D" w:rsidRDefault="00387D8D"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p w14:paraId="329C164C" w14:textId="77777777" w:rsidR="00387D8D" w:rsidRDefault="00387D8D" w:rsidP="00B51CDF">
      <w:pPr>
        <w:spacing w:line="360" w:lineRule="auto"/>
        <w:rPr>
          <w:rFonts w:ascii="Times New Roman" w:hAnsi="Times New Roman" w:cs="Times New Roman"/>
        </w:rPr>
      </w:pPr>
    </w:p>
    <w:p w14:paraId="2A93DC6C" w14:textId="77777777" w:rsidR="00387D8D" w:rsidRDefault="00387D8D" w:rsidP="00B51CDF">
      <w:pPr>
        <w:spacing w:line="360" w:lineRule="auto"/>
        <w:rPr>
          <w:rFonts w:ascii="Times New Roman" w:hAnsi="Times New Roman" w:cs="Times New Roman"/>
        </w:rPr>
      </w:pPr>
    </w:p>
    <w:p w14:paraId="2E5BA278" w14:textId="1102B1E4" w:rsidR="00387D8D" w:rsidRDefault="00C8070C"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6AD4D6D">
                <wp:simplePos x="0" y="0"/>
                <wp:positionH relativeFrom="column">
                  <wp:posOffset>368935</wp:posOffset>
                </wp:positionH>
                <wp:positionV relativeFrom="paragraph">
                  <wp:posOffset>179219</wp:posOffset>
                </wp:positionV>
                <wp:extent cx="5242560" cy="635"/>
                <wp:effectExtent l="0" t="0" r="2540" b="12065"/>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84C1B" id="_x0000_s1027" type="#_x0000_t202" style="position:absolute;margin-left:29.05pt;margin-top:14.1pt;width:41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u2YFw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" stroked="f">
                <v:textbox style="mso-fit-shape-to-text:t" inset="0,0,0,0">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v:textbox>
                <w10:wrap type="square"/>
              </v:shape>
            </w:pict>
          </mc:Fallback>
        </mc:AlternateContent>
      </w:r>
    </w:p>
    <w:p w14:paraId="7072E9E9" w14:textId="37995946" w:rsidR="00387D8D" w:rsidRDefault="00387D8D" w:rsidP="00B51CDF">
      <w:pPr>
        <w:spacing w:line="360" w:lineRule="auto"/>
        <w:rPr>
          <w:rFonts w:ascii="Times New Roman" w:hAnsi="Times New Roman" w:cs="Times New Roman"/>
        </w:rPr>
      </w:pPr>
    </w:p>
    <w:p w14:paraId="0F83CA19" w14:textId="77777777" w:rsidR="00387D8D" w:rsidRDefault="00387D8D" w:rsidP="00B51CDF">
      <w:pPr>
        <w:spacing w:line="360" w:lineRule="auto"/>
        <w:rPr>
          <w:rFonts w:ascii="Times New Roman" w:hAnsi="Times New Roman" w:cs="Times New Roman"/>
        </w:rPr>
      </w:pPr>
    </w:p>
    <w:p w14:paraId="3C3E48A5" w14:textId="77777777" w:rsidR="00387D8D" w:rsidRDefault="00387D8D"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4D29FBCF"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317)</w:t>
            </w:r>
          </w:p>
        </w:tc>
        <w:tc>
          <w:tcPr>
            <w:tcW w:w="1320" w:type="dxa"/>
            <w:noWrap/>
            <w:vAlign w:val="center"/>
            <w:hideMark/>
          </w:tcPr>
          <w:p w14:paraId="179E5AB8" w14:textId="04DC273D"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D90248">
        <w:trPr>
          <w:trHeight w:val="320"/>
        </w:trPr>
        <w:tc>
          <w:tcPr>
            <w:tcW w:w="2456" w:type="dxa"/>
            <w:noWrap/>
            <w:vAlign w:val="center"/>
            <w:hideMark/>
          </w:tcPr>
          <w:p w14:paraId="556A813C" w14:textId="13185AD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387D8D">
            <w:pPr>
              <w:jc w:val="center"/>
              <w:rPr>
                <w:rFonts w:ascii="Times New Roman" w:hAnsi="Times New Roman" w:cs="Times New Roman"/>
                <w:sz w:val="20"/>
                <w:szCs w:val="20"/>
              </w:rPr>
            </w:pPr>
          </w:p>
          <w:p w14:paraId="3BAE44B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387D8D">
            <w:pPr>
              <w:jc w:val="center"/>
              <w:rPr>
                <w:rFonts w:ascii="Times New Roman" w:hAnsi="Times New Roman" w:cs="Times New Roman"/>
                <w:sz w:val="20"/>
                <w:szCs w:val="20"/>
              </w:rPr>
            </w:pPr>
          </w:p>
          <w:p w14:paraId="445107B9"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387D8D">
            <w:pPr>
              <w:jc w:val="center"/>
              <w:rPr>
                <w:rFonts w:ascii="Times New Roman" w:hAnsi="Times New Roman" w:cs="Times New Roman"/>
                <w:sz w:val="20"/>
                <w:szCs w:val="20"/>
              </w:rPr>
            </w:pPr>
          </w:p>
          <w:p w14:paraId="2BE9353C"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ABFCEA" w14:textId="0642113D"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D90248">
        <w:trPr>
          <w:trHeight w:val="320"/>
        </w:trPr>
        <w:tc>
          <w:tcPr>
            <w:tcW w:w="2456" w:type="dxa"/>
            <w:noWrap/>
            <w:vAlign w:val="center"/>
            <w:hideMark/>
          </w:tcPr>
          <w:p w14:paraId="25FC3050" w14:textId="2862552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387D8D">
            <w:pPr>
              <w:jc w:val="center"/>
              <w:rPr>
                <w:rFonts w:ascii="Times New Roman" w:hAnsi="Times New Roman" w:cs="Times New Roman"/>
                <w:sz w:val="20"/>
                <w:szCs w:val="20"/>
              </w:rPr>
            </w:pPr>
          </w:p>
          <w:p w14:paraId="18C3C487"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387D8D">
            <w:pPr>
              <w:jc w:val="center"/>
              <w:rPr>
                <w:rFonts w:ascii="Times New Roman" w:hAnsi="Times New Roman" w:cs="Times New Roman"/>
                <w:sz w:val="20"/>
                <w:szCs w:val="20"/>
              </w:rPr>
            </w:pPr>
          </w:p>
          <w:p w14:paraId="0F80923B"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387D8D">
            <w:pPr>
              <w:jc w:val="center"/>
              <w:rPr>
                <w:rFonts w:ascii="Times New Roman" w:hAnsi="Times New Roman" w:cs="Times New Roman"/>
                <w:sz w:val="20"/>
                <w:szCs w:val="20"/>
              </w:rPr>
            </w:pPr>
          </w:p>
          <w:p w14:paraId="2D5A9C5E" w14:textId="416C6EDE"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082D7A6C" w14:textId="106A8761"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D90248">
        <w:trPr>
          <w:trHeight w:val="320"/>
        </w:trPr>
        <w:tc>
          <w:tcPr>
            <w:tcW w:w="2456" w:type="dxa"/>
            <w:noWrap/>
            <w:vAlign w:val="center"/>
            <w:hideMark/>
          </w:tcPr>
          <w:p w14:paraId="45578080" w14:textId="5F69B1F3"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387D8D">
            <w:pPr>
              <w:jc w:val="center"/>
              <w:rPr>
                <w:rFonts w:ascii="Times New Roman" w:hAnsi="Times New Roman" w:cs="Times New Roman"/>
                <w:sz w:val="20"/>
                <w:szCs w:val="20"/>
              </w:rPr>
            </w:pPr>
          </w:p>
          <w:p w14:paraId="7E241423"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387D8D">
            <w:pPr>
              <w:jc w:val="center"/>
              <w:rPr>
                <w:rFonts w:ascii="Times New Roman" w:hAnsi="Times New Roman" w:cs="Times New Roman"/>
                <w:sz w:val="20"/>
                <w:szCs w:val="20"/>
              </w:rPr>
            </w:pPr>
          </w:p>
          <w:p w14:paraId="40E26EAF"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387D8D">
            <w:pPr>
              <w:jc w:val="center"/>
              <w:rPr>
                <w:rFonts w:ascii="Times New Roman" w:hAnsi="Times New Roman" w:cs="Times New Roman"/>
                <w:sz w:val="20"/>
                <w:szCs w:val="20"/>
              </w:rPr>
            </w:pPr>
          </w:p>
          <w:p w14:paraId="75414C1D"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6511FA0E" w14:textId="43B98CD4"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D90248">
        <w:trPr>
          <w:trHeight w:val="320"/>
        </w:trPr>
        <w:tc>
          <w:tcPr>
            <w:tcW w:w="2456" w:type="dxa"/>
            <w:noWrap/>
            <w:vAlign w:val="center"/>
            <w:hideMark/>
          </w:tcPr>
          <w:p w14:paraId="522D5C3F" w14:textId="74DCAFF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387D8D">
            <w:pPr>
              <w:jc w:val="center"/>
              <w:rPr>
                <w:rFonts w:ascii="Times New Roman" w:hAnsi="Times New Roman" w:cs="Times New Roman"/>
                <w:sz w:val="20"/>
                <w:szCs w:val="20"/>
              </w:rPr>
            </w:pPr>
          </w:p>
          <w:p w14:paraId="725764D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387D8D">
            <w:pPr>
              <w:jc w:val="center"/>
              <w:rPr>
                <w:rFonts w:ascii="Times New Roman" w:hAnsi="Times New Roman" w:cs="Times New Roman"/>
                <w:sz w:val="20"/>
                <w:szCs w:val="20"/>
              </w:rPr>
            </w:pPr>
          </w:p>
          <w:p w14:paraId="2733B88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387D8D">
            <w:pPr>
              <w:jc w:val="center"/>
              <w:rPr>
                <w:rFonts w:ascii="Times New Roman" w:hAnsi="Times New Roman" w:cs="Times New Roman"/>
                <w:sz w:val="20"/>
                <w:szCs w:val="20"/>
              </w:rPr>
            </w:pPr>
          </w:p>
          <w:p w14:paraId="70EB0E9E"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049CB598" w14:textId="398B3695"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D90248">
        <w:trPr>
          <w:trHeight w:val="320"/>
        </w:trPr>
        <w:tc>
          <w:tcPr>
            <w:tcW w:w="2456" w:type="dxa"/>
            <w:noWrap/>
            <w:vAlign w:val="center"/>
            <w:hideMark/>
          </w:tcPr>
          <w:p w14:paraId="15C9793D" w14:textId="426C547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387D8D">
            <w:pPr>
              <w:jc w:val="center"/>
              <w:rPr>
                <w:rFonts w:ascii="Times New Roman" w:hAnsi="Times New Roman" w:cs="Times New Roman"/>
                <w:sz w:val="20"/>
                <w:szCs w:val="20"/>
              </w:rPr>
            </w:pPr>
          </w:p>
          <w:p w14:paraId="6C1B4311"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387D8D">
            <w:pPr>
              <w:jc w:val="center"/>
              <w:rPr>
                <w:rFonts w:ascii="Times New Roman" w:hAnsi="Times New Roman" w:cs="Times New Roman"/>
                <w:sz w:val="20"/>
                <w:szCs w:val="20"/>
              </w:rPr>
            </w:pPr>
          </w:p>
          <w:p w14:paraId="3DB56E92"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387D8D">
            <w:pPr>
              <w:jc w:val="center"/>
              <w:rPr>
                <w:rFonts w:ascii="Times New Roman" w:hAnsi="Times New Roman" w:cs="Times New Roman"/>
                <w:sz w:val="20"/>
                <w:szCs w:val="20"/>
              </w:rPr>
            </w:pPr>
          </w:p>
          <w:p w14:paraId="12EC9DA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1A67B94D" w14:textId="6C1DF9EE"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D90248">
        <w:trPr>
          <w:trHeight w:val="320"/>
        </w:trPr>
        <w:tc>
          <w:tcPr>
            <w:tcW w:w="2456" w:type="dxa"/>
            <w:tcBorders>
              <w:bottom w:val="single" w:sz="4" w:space="0" w:color="auto"/>
            </w:tcBorders>
            <w:noWrap/>
            <w:vAlign w:val="center"/>
            <w:hideMark/>
          </w:tcPr>
          <w:p w14:paraId="63DF81DA" w14:textId="50F149FF"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387D8D">
            <w:pPr>
              <w:jc w:val="center"/>
              <w:rPr>
                <w:rFonts w:ascii="Times New Roman" w:hAnsi="Times New Roman" w:cs="Times New Roman"/>
                <w:sz w:val="20"/>
                <w:szCs w:val="20"/>
              </w:rPr>
            </w:pPr>
          </w:p>
          <w:p w14:paraId="5E868235"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387D8D">
            <w:pPr>
              <w:jc w:val="center"/>
              <w:rPr>
                <w:rFonts w:ascii="Times New Roman" w:hAnsi="Times New Roman" w:cs="Times New Roman"/>
                <w:sz w:val="20"/>
                <w:szCs w:val="20"/>
              </w:rPr>
            </w:pPr>
          </w:p>
          <w:p w14:paraId="0AFFFF46"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387D8D">
            <w:pPr>
              <w:jc w:val="center"/>
              <w:rPr>
                <w:rFonts w:ascii="Times New Roman" w:hAnsi="Times New Roman" w:cs="Times New Roman"/>
                <w:sz w:val="20"/>
                <w:szCs w:val="20"/>
              </w:rPr>
            </w:pPr>
          </w:p>
          <w:p w14:paraId="4834AEFC" w14:textId="66AE2272"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2829E239" w14:textId="7FB87693"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1FF7D7AB"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 xml:space="preserve">values are for survey-weighted t-tests comparing </w:t>
            </w:r>
            <w:r w:rsidR="00377C36">
              <w:rPr>
                <w:rFonts w:ascii="Times New Roman" w:hAnsi="Times New Roman" w:cs="Times New Roman"/>
                <w:sz w:val="20"/>
                <w:szCs w:val="20"/>
              </w:rPr>
              <w:t>food-secure</w:t>
            </w:r>
            <w:r>
              <w:rPr>
                <w:rFonts w:ascii="Times New Roman" w:hAnsi="Times New Roman" w:cs="Times New Roman"/>
                <w:sz w:val="20"/>
                <w:szCs w:val="20"/>
              </w:rPr>
              <w:t xml:space="preserv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27F1B0A4" w14:textId="5973E3BD" w:rsidR="00AA50B7" w:rsidRDefault="00AF604F" w:rsidP="00D90248">
      <w:pPr>
        <w:spacing w:line="360" w:lineRule="auto"/>
        <w:ind w:firstLine="720"/>
        <w:rPr>
          <w:rFonts w:ascii="Times New Roman" w:hAnsi="Times New Roman" w:cs="Times New Roman"/>
        </w:rPr>
      </w:pPr>
      <w:r>
        <w:rPr>
          <w:rFonts w:ascii="Times New Roman" w:hAnsi="Times New Roman" w:cs="Times New Roman"/>
        </w:rPr>
        <w:lastRenderedPageBreak/>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335B53">
        <w:rPr>
          <w:rFonts w:ascii="Times New Roman" w:hAnsi="Times New Roman" w:cs="Times New Roman"/>
        </w:rPr>
        <w:t>3</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w:t>
      </w:r>
      <w:r w:rsidR="00377C36">
        <w:rPr>
          <w:rFonts w:ascii="Times New Roman" w:hAnsi="Times New Roman" w:cs="Times New Roman"/>
        </w:rPr>
        <w:t>food-insecure</w:t>
      </w:r>
      <w:r w:rsidR="0045132D">
        <w:rPr>
          <w:rFonts w:ascii="Times New Roman" w:hAnsi="Times New Roman" w:cs="Times New Roman"/>
        </w:rPr>
        <w:t xml:space="preserv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C3798E"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for </w:t>
      </w:r>
      <w:r w:rsidR="00E2638A">
        <w:rPr>
          <w:rFonts w:ascii="Times New Roman" w:hAnsi="Times New Roman" w:cs="Times New Roman"/>
        </w:rPr>
        <w:t xml:space="preserve">linear </w:t>
      </w:r>
      <w:r w:rsidR="00FE4324">
        <w:rPr>
          <w:rFonts w:ascii="Times New Roman" w:hAnsi="Times New Roman" w:cs="Times New Roman"/>
        </w:rPr>
        <w:t>trend</w:t>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3FD81F02" w14:textId="612A58DB" w:rsidR="00D9498C" w:rsidRDefault="00D9498C" w:rsidP="00387D8D">
      <w:pPr>
        <w:spacing w:line="360" w:lineRule="auto"/>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8"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9"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30"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Bm3bbDGwIAAD8EAAAOAAAAAAAAAAAAAAAAAC4CAABkcnMvZTJvRG9jLnht&#13;&#10;bFBLAQItABQABgAIAAAAIQA3Ib515QAAAA8BAAAPAAAAAAAAAAAAAAAAAHUEAABkcnMvZG93bnJl&#13;&#10;di54bWxQSwUGAAAAAAQABADzAAAAhwUAAAAA&#13;&#10;" stroked="f">
                <v:textbox style="mso-fit-shape-to-text:t" inset="0,0,0,0">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7"/>
      <w:commentRangeEnd w:id="7"/>
      <w:r w:rsidR="00E2638A">
        <w:rPr>
          <w:rStyle w:val="CommentReference"/>
        </w:rPr>
        <w:commentReference w:id="7"/>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15632C15"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As a follow-up </w:t>
      </w:r>
      <w:r>
        <w:rPr>
          <w:rFonts w:ascii="Times New Roman" w:hAnsi="Times New Roman" w:cs="Times New Roman"/>
        </w:rPr>
        <w:lastRenderedPageBreak/>
        <w:t xml:space="preserve">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8"/>
      <w:commentRangeStart w:id="9"/>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the prudent-style patterns </w:t>
      </w:r>
      <w:commentRangeEnd w:id="8"/>
      <w:r w:rsidR="00C32235">
        <w:rPr>
          <w:rStyle w:val="CommentReference"/>
        </w:rPr>
        <w:commentReference w:id="8"/>
      </w:r>
      <w:commentRangeEnd w:id="9"/>
      <w:r w:rsidR="00563FE1">
        <w:rPr>
          <w:rStyle w:val="CommentReference"/>
        </w:rPr>
        <w:commentReference w:id="9"/>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0"/>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0"/>
      <w:r w:rsidR="00C32235">
        <w:rPr>
          <w:rStyle w:val="CommentReference"/>
        </w:rPr>
        <w:commentReference w:id="10"/>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1"/>
      <w:commentRangeStart w:id="12"/>
      <w:r w:rsidR="006B401F">
        <w:rPr>
          <w:rFonts w:ascii="Times New Roman" w:hAnsi="Times New Roman" w:cs="Times New Roman"/>
        </w:rPr>
        <w:t xml:space="preserve">the other biomarkers </w:t>
      </w:r>
      <w:commentRangeEnd w:id="11"/>
      <w:r w:rsidR="00C32235">
        <w:rPr>
          <w:rStyle w:val="CommentReference"/>
        </w:rPr>
        <w:commentReference w:id="11"/>
      </w:r>
      <w:commentRangeEnd w:id="12"/>
      <w:r w:rsidR="005E0A90">
        <w:rPr>
          <w:rStyle w:val="CommentReference"/>
        </w:rPr>
        <w:commentReference w:id="12"/>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62F3FDF8"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3"/>
      <w:commentRangeStart w:id="14"/>
      <w:r w:rsidR="004A7671">
        <w:rPr>
          <w:rFonts w:ascii="Times New Roman" w:hAnsi="Times New Roman" w:cs="Times New Roman"/>
        </w:rPr>
        <w:t>area</w:t>
      </w:r>
      <w:commentRangeEnd w:id="13"/>
      <w:r w:rsidR="00C32235">
        <w:rPr>
          <w:rStyle w:val="CommentReference"/>
        </w:rPr>
        <w:commentReference w:id="13"/>
      </w:r>
      <w:commentRangeEnd w:id="14"/>
      <w:r w:rsidR="00563FE1">
        <w:rPr>
          <w:rStyle w:val="CommentReference"/>
        </w:rPr>
        <w:commentReference w:id="14"/>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C9D8F1A"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hopefully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4"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6"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5"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7"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8"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9"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0"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1"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2"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3"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14"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49C6FAA4" w15:done="0"/>
  <w15:commentEx w15:paraId="0C69A879" w15:done="0"/>
  <w15:commentEx w15:paraId="344DA250" w15:done="0"/>
  <w15:commentEx w15:paraId="5FA1ECC5" w15:paraIdParent="344DA250"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C529E4" w16cex:dateUtc="2023-03-22T12:1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49C6FAA4" w16cid:durableId="27C529E4"/>
  <w16cid:commentId w16cid:paraId="0C69A879" w16cid:durableId="27AC3A03"/>
  <w16cid:commentId w16cid:paraId="344DA250" w16cid:durableId="27AEDB18"/>
  <w16cid:commentId w16cid:paraId="5FA1ECC5" w16cid:durableId="27E13383"/>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76EA1"/>
    <w:rsid w:val="00084064"/>
    <w:rsid w:val="00091EC0"/>
    <w:rsid w:val="000A41FF"/>
    <w:rsid w:val="000B1B5D"/>
    <w:rsid w:val="000C32C1"/>
    <w:rsid w:val="000E1C30"/>
    <w:rsid w:val="000E4846"/>
    <w:rsid w:val="000E5296"/>
    <w:rsid w:val="000F3BBC"/>
    <w:rsid w:val="000F7778"/>
    <w:rsid w:val="001067FC"/>
    <w:rsid w:val="001127FB"/>
    <w:rsid w:val="00120671"/>
    <w:rsid w:val="00131D44"/>
    <w:rsid w:val="0014127A"/>
    <w:rsid w:val="001436D6"/>
    <w:rsid w:val="00146E52"/>
    <w:rsid w:val="00163E9B"/>
    <w:rsid w:val="00172468"/>
    <w:rsid w:val="00173966"/>
    <w:rsid w:val="001759A4"/>
    <w:rsid w:val="00185EC0"/>
    <w:rsid w:val="00190925"/>
    <w:rsid w:val="001A1B81"/>
    <w:rsid w:val="001A6E43"/>
    <w:rsid w:val="001B0695"/>
    <w:rsid w:val="001B1D50"/>
    <w:rsid w:val="001C2F91"/>
    <w:rsid w:val="001E1EC7"/>
    <w:rsid w:val="001F6316"/>
    <w:rsid w:val="00202226"/>
    <w:rsid w:val="00216026"/>
    <w:rsid w:val="00221EC2"/>
    <w:rsid w:val="00222BAF"/>
    <w:rsid w:val="002262B7"/>
    <w:rsid w:val="002263B5"/>
    <w:rsid w:val="0023438F"/>
    <w:rsid w:val="0024408E"/>
    <w:rsid w:val="00247025"/>
    <w:rsid w:val="002548C8"/>
    <w:rsid w:val="0026524B"/>
    <w:rsid w:val="0027484B"/>
    <w:rsid w:val="0028265E"/>
    <w:rsid w:val="00284F95"/>
    <w:rsid w:val="00291D99"/>
    <w:rsid w:val="00293FB1"/>
    <w:rsid w:val="002A1991"/>
    <w:rsid w:val="002A3CAF"/>
    <w:rsid w:val="002D415D"/>
    <w:rsid w:val="002E02CB"/>
    <w:rsid w:val="002E0FA2"/>
    <w:rsid w:val="002E7DAC"/>
    <w:rsid w:val="002F2BA6"/>
    <w:rsid w:val="002F3D6E"/>
    <w:rsid w:val="0031204C"/>
    <w:rsid w:val="00332B47"/>
    <w:rsid w:val="00332B65"/>
    <w:rsid w:val="00334684"/>
    <w:rsid w:val="00335B53"/>
    <w:rsid w:val="00341FFB"/>
    <w:rsid w:val="003701E1"/>
    <w:rsid w:val="00377C36"/>
    <w:rsid w:val="00387D8D"/>
    <w:rsid w:val="00391B83"/>
    <w:rsid w:val="00397057"/>
    <w:rsid w:val="003A2185"/>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498F"/>
    <w:rsid w:val="0057714E"/>
    <w:rsid w:val="0058552C"/>
    <w:rsid w:val="00586A40"/>
    <w:rsid w:val="0059611C"/>
    <w:rsid w:val="005A0E59"/>
    <w:rsid w:val="005C1580"/>
    <w:rsid w:val="005C42F5"/>
    <w:rsid w:val="005C5D3B"/>
    <w:rsid w:val="005E0A90"/>
    <w:rsid w:val="005E4F8D"/>
    <w:rsid w:val="005E511A"/>
    <w:rsid w:val="005E6B5F"/>
    <w:rsid w:val="005F16DD"/>
    <w:rsid w:val="005F3910"/>
    <w:rsid w:val="005F5291"/>
    <w:rsid w:val="005F75D0"/>
    <w:rsid w:val="00620A46"/>
    <w:rsid w:val="00651AED"/>
    <w:rsid w:val="00660C86"/>
    <w:rsid w:val="00662128"/>
    <w:rsid w:val="00664EA4"/>
    <w:rsid w:val="00671560"/>
    <w:rsid w:val="00683F64"/>
    <w:rsid w:val="00687A69"/>
    <w:rsid w:val="006956C7"/>
    <w:rsid w:val="006B401F"/>
    <w:rsid w:val="006C07F1"/>
    <w:rsid w:val="006C6BFE"/>
    <w:rsid w:val="006D40D7"/>
    <w:rsid w:val="006E1B8D"/>
    <w:rsid w:val="006F4653"/>
    <w:rsid w:val="006F69C5"/>
    <w:rsid w:val="00706FBC"/>
    <w:rsid w:val="0071461F"/>
    <w:rsid w:val="007440DF"/>
    <w:rsid w:val="007442EB"/>
    <w:rsid w:val="00745280"/>
    <w:rsid w:val="00745EA3"/>
    <w:rsid w:val="007510BB"/>
    <w:rsid w:val="00756082"/>
    <w:rsid w:val="00761797"/>
    <w:rsid w:val="00764BBB"/>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901FF4"/>
    <w:rsid w:val="00935DEF"/>
    <w:rsid w:val="00936BFB"/>
    <w:rsid w:val="009377F4"/>
    <w:rsid w:val="00942279"/>
    <w:rsid w:val="00950F87"/>
    <w:rsid w:val="009535A4"/>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358D5"/>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10956"/>
    <w:rsid w:val="00C32235"/>
    <w:rsid w:val="00C47A75"/>
    <w:rsid w:val="00C56BFA"/>
    <w:rsid w:val="00C64346"/>
    <w:rsid w:val="00C6784D"/>
    <w:rsid w:val="00C7631E"/>
    <w:rsid w:val="00C770E5"/>
    <w:rsid w:val="00C8070C"/>
    <w:rsid w:val="00C8218A"/>
    <w:rsid w:val="00CA4EE1"/>
    <w:rsid w:val="00CC62DA"/>
    <w:rsid w:val="00CD1B64"/>
    <w:rsid w:val="00CF01DB"/>
    <w:rsid w:val="00D00CD3"/>
    <w:rsid w:val="00D03E1F"/>
    <w:rsid w:val="00D25ED6"/>
    <w:rsid w:val="00D33B18"/>
    <w:rsid w:val="00D4402D"/>
    <w:rsid w:val="00D742AA"/>
    <w:rsid w:val="00D753EF"/>
    <w:rsid w:val="00D90248"/>
    <w:rsid w:val="00D9372E"/>
    <w:rsid w:val="00D9498C"/>
    <w:rsid w:val="00D96943"/>
    <w:rsid w:val="00D9696B"/>
    <w:rsid w:val="00DB444E"/>
    <w:rsid w:val="00DD3645"/>
    <w:rsid w:val="00DF1912"/>
    <w:rsid w:val="00E04103"/>
    <w:rsid w:val="00E06C48"/>
    <w:rsid w:val="00E12DE6"/>
    <w:rsid w:val="00E171A4"/>
    <w:rsid w:val="00E21C9A"/>
    <w:rsid w:val="00E24881"/>
    <w:rsid w:val="00E2638A"/>
    <w:rsid w:val="00E308A2"/>
    <w:rsid w:val="00E40212"/>
    <w:rsid w:val="00E43C36"/>
    <w:rsid w:val="00E4546C"/>
    <w:rsid w:val="00E466A6"/>
    <w:rsid w:val="00E500E4"/>
    <w:rsid w:val="00E50522"/>
    <w:rsid w:val="00E56D78"/>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19</Pages>
  <Words>25465</Words>
  <Characters>145157</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54</cp:revision>
  <dcterms:created xsi:type="dcterms:W3CDTF">2023-04-27T20:52:00Z</dcterms:created>
  <dcterms:modified xsi:type="dcterms:W3CDTF">2023-05-07T18:43:00Z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