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30F92677"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A cancer diagnosis can upend several facets of life and well-being. In addition to psychological distress from the diagnosis, financial toxicity and its accompanying distress can emerge for many cancer survivors due to exorbitant treatment, prescription, and indirect costs (e.g., lost income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Pr>
          <w:rFonts w:ascii="Times New Roman" w:hAnsi="Times New Roman" w:cs="Times New Roman"/>
        </w:rPr>
        <w:t>about</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52D92675"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A framework of competing demands conceptualizes one manifestation of food insecurity amongst cancer survivors, involving cancer survivors facing difficult decisions between choosing medical care or nutritious foods</w:t>
      </w:r>
      <w:r w:rsidRPr="00377C36">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 though more research is needed to substantiate this conjecture.</w:t>
      </w:r>
    </w:p>
    <w:p w14:paraId="7DABA6DC" w14:textId="6F68908E"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and which was inversely associated with being food-insecure in the same population. Whether these dietary patterns impact clinically meaningful outcomes for cancer survivors was left open-ended.</w:t>
      </w:r>
    </w:p>
    <w:p w14:paraId="5AD1D093" w14:textId="5402CF63"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lastRenderedPageBreak/>
        <w:t>Understanding how food insecurity impacts different aspects of life, including dietary intake, is a means of delineating at least one potential driving factor behind the health disparities that may arise for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The hypothesis was that the dietary patterns describing consumption patterns in the food-insecure cancer survivor population would be positively associated with mortality in the cancer survivor and food-insecure cancer survivor populations.</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BF80633"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w:t>
      </w:r>
      <w:r w:rsidR="005E6B5F">
        <w:rPr>
          <w:rFonts w:ascii="Times New Roman" w:hAnsi="Times New Roman" w:cs="Times New Roman"/>
        </w:rPr>
        <w:t>,</w:t>
      </w:r>
      <w:r w:rsidR="001B0695">
        <w:rPr>
          <w:rFonts w:ascii="Times New Roman" w:hAnsi="Times New Roman" w:cs="Times New Roman"/>
        </w:rPr>
        <w:t xml:space="preserve">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4685533"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w:t>
      </w:r>
      <w:r w:rsidR="00216026">
        <w:rPr>
          <w:rFonts w:ascii="Times New Roman" w:hAnsi="Times New Roman" w:cs="Times New Roman"/>
        </w:rPr>
        <w:t xml:space="preserve">was </w:t>
      </w:r>
      <w:r>
        <w:rPr>
          <w:rFonts w:ascii="Times New Roman" w:hAnsi="Times New Roman" w:cs="Times New Roman"/>
        </w:rPr>
        <w:t xml:space="preserve">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United States Department of Agriculture’s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w:t>
      </w:r>
      <w:r w:rsidR="00377C36">
        <w:rPr>
          <w:rFonts w:ascii="Times New Roman" w:hAnsi="Times New Roman" w:cs="Times New Roman"/>
        </w:rPr>
        <w:lastRenderedPageBreak/>
        <w:t>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377C36">
        <w:rPr>
          <w:rFonts w:ascii="Times New Roman" w:hAnsi="Times New Roman" w:cs="Times New Roman"/>
        </w:rPr>
        <w:t>food-secure</w:t>
      </w:r>
      <w:commentRangeStart w:id="0"/>
      <w:commentRangeStart w:id="1"/>
      <w:r w:rsidR="00334684">
        <w:rPr>
          <w:rFonts w:ascii="Times New Roman" w:hAnsi="Times New Roman" w:cs="Times New Roman"/>
        </w:rPr>
        <w:t xml:space="preserve"> </w:t>
      </w:r>
      <w:commentRangeEnd w:id="0"/>
      <w:r w:rsidR="00004653">
        <w:rPr>
          <w:rStyle w:val="CommentReference"/>
        </w:rPr>
        <w:commentReference w:id="0"/>
      </w:r>
      <w:commentRangeEnd w:id="1"/>
      <w:r w:rsidR="003E12C0">
        <w:rPr>
          <w:rStyle w:val="CommentReference"/>
        </w:rPr>
        <w:commentReference w:id="1"/>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 on the Medical Conditions Questionnaire (MCQ). </w:t>
      </w:r>
      <w:r w:rsidR="00221EC2">
        <w:rPr>
          <w:rFonts w:ascii="Times New Roman" w:hAnsi="Times New Roman" w:cs="Times New Roman"/>
        </w:rPr>
        <w:t xml:space="preserve">We note that 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56585E44" w:rsidR="0027484B" w:rsidRPr="00C6784D" w:rsidRDefault="00A14902" w:rsidP="008918EB">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4BE8BBF"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 xml:space="preserve">We used the USDA Food Patterns Equivalents Database (FPED) </w:t>
      </w:r>
      <w:r w:rsidR="0014127A" w:rsidRPr="0014127A">
        <w:rPr>
          <w:rFonts w:ascii="Times New Roman" w:hAnsi="Times New Roman" w:cs="Times New Roman"/>
        </w:rPr>
        <w:lastRenderedPageBreak/>
        <w:t>and 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1D0D429"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 Tenth Revision (ICD-10) codes</w:t>
      </w:r>
      <w:r w:rsidR="00A358D5">
        <w:rPr>
          <w:rFonts w:ascii="Times New Roman" w:hAnsi="Times New Roman" w:cs="Times New Roman"/>
        </w:rPr>
        <w:t xml:space="preserve"> to classify causes of death</w:t>
      </w:r>
      <w:r w:rsidR="00756082">
        <w:rPr>
          <w:rFonts w:ascii="Times New Roman" w:hAnsi="Times New Roman" w:cs="Times New Roman"/>
        </w:rPr>
        <w:t xml:space="preserve">.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A156014"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0E5296">
        <w:rPr>
          <w:rFonts w:ascii="Times New Roman" w:hAnsi="Times New Roman" w:cs="Times New Roman"/>
        </w:rPr>
        <w:t>in</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 xml:space="preserve">not </w:t>
      </w:r>
      <w:r w:rsidRPr="000143D6">
        <w:rPr>
          <w:rFonts w:ascii="Times New Roman" w:hAnsi="Times New Roman" w:cs="Times New Roman"/>
          <w:i/>
          <w:iCs/>
        </w:rPr>
        <w:lastRenderedPageBreak/>
        <w:t>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These data</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46828895"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w:t>
      </w:r>
      <w:r w:rsidR="00662128">
        <w:rPr>
          <w:rFonts w:ascii="Times New Roman" w:hAnsi="Times New Roman" w:cs="Times New Roman"/>
        </w:rPr>
        <w:t>with</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r w:rsidR="002C675E">
        <w:rPr>
          <w:rFonts w:ascii="Times New Roman" w:hAnsi="Times New Roman" w:cs="Times New Roman"/>
        </w:rPr>
        <w:t xml:space="preserve"> (</w:t>
      </w:r>
      <w:r w:rsidR="00DA4EBC">
        <w:rPr>
          <w:rFonts w:ascii="Times New Roman" w:hAnsi="Times New Roman" w:cs="Times New Roman"/>
        </w:rPr>
        <w:t>e</w:t>
      </w:r>
      <w:r w:rsidR="002C675E">
        <w:rPr>
          <w:rFonts w:ascii="Times New Roman" w:hAnsi="Times New Roman" w:cs="Times New Roman"/>
        </w:rPr>
        <w:t>quations 1-4)</w:t>
      </w:r>
      <w:r w:rsidR="00AB3643">
        <w:rPr>
          <w:rFonts w:ascii="Times New Roman" w:hAnsi="Times New Roman" w:cs="Times New Roman"/>
        </w:rPr>
        <w:t>.</w:t>
      </w:r>
    </w:p>
    <w:p w14:paraId="4EACA47D" w14:textId="48E94121"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(1)</m:t>
          </m:r>
        </m:oMath>
      </m:oMathPara>
    </w:p>
    <w:p w14:paraId="502F2EF1" w14:textId="434A6DEA"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(2)</m:t>
          </m:r>
        </m:oMath>
      </m:oMathPara>
    </w:p>
    <w:p w14:paraId="3D28C418" w14:textId="0758B77B"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m:t>
              </m:r>
              <m:r>
                <w:rPr>
                  <w:rFonts w:ascii="Cambria Math" w:eastAsiaTheme="minorEastAsia" w:hAnsi="Cambria Math" w:cs="Times New Roman"/>
                  <w:vertAlign w:val="subscript"/>
                </w:rPr>
                <m:t>=1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m:t>
          </m:r>
          <m: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55C92219" w14:textId="02A1CB91" w:rsidR="00544BCA" w:rsidRPr="00544BC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(3)</m:t>
          </m:r>
        </m:oMath>
      </m:oMathPara>
    </w:p>
    <w:p w14:paraId="5FF79FD0" w14:textId="60D223D5" w:rsidR="00F5018F" w:rsidRPr="00CC62DA" w:rsidRDefault="00544BCA"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39BAD943" w14:textId="6555C918"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(4)</m:t>
          </m:r>
        </m:oMath>
      </m:oMathPara>
    </w:p>
    <w:p w14:paraId="410DEC18" w14:textId="076BA177"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r>
          <w:rPr>
            <w:rFonts w:ascii="Cambria Math" w:eastAsiaTheme="minorEastAsia" w:hAnsi="Cambria Math" w:cs="Times New Roman"/>
          </w:rPr>
          <m:t>-</m:t>
        </m:r>
      </m:oMath>
      <w:r w:rsidR="00DA4EBC">
        <w:rPr>
          <w:rFonts w:ascii="Times New Roman" w:eastAsiaTheme="minorEastAsia" w:hAnsi="Times New Roman" w:cs="Times New Roman"/>
        </w:rPr>
        <w:t xml:space="preserve"> 1</w:t>
      </w:r>
      <w:r>
        <w:rPr>
          <w:rFonts w:ascii="Times New Roman" w:eastAsiaTheme="minorEastAsia" w:hAnsi="Times New Roman" w:cs="Times New Roman"/>
        </w:rPr>
        <w:t xml:space="preserve">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subject’s membership in one of the quintiles</w:t>
      </w:r>
      <w:r w:rsidR="00DA4EBC">
        <w:rPr>
          <w:rFonts w:ascii="Times New Roman" w:eastAsiaTheme="minorEastAsia" w:hAnsi="Times New Roman" w:cs="Times New Roman"/>
        </w:rPr>
        <w:t xml:space="preserve"> (</w:t>
      </w:r>
      <m:oMath>
        <m:r>
          <w:rPr>
            <w:rFonts w:ascii="Cambria Math" w:eastAsiaTheme="minorEastAsia" w:hAnsi="Cambria Math" w:cs="Times New Roman"/>
          </w:rPr>
          <m:t>K</m:t>
        </m:r>
        <m:r>
          <w:rPr>
            <w:rFonts w:ascii="Cambria Math" w:eastAsiaTheme="minorEastAsia" w:hAnsi="Cambria Math" w:cs="Times New Roman"/>
          </w:rPr>
          <m:t>=5</m:t>
        </m:r>
      </m:oMath>
      <w:r w:rsidR="00DA4EBC">
        <w:rPr>
          <w:rFonts w:ascii="Times New Roman" w:eastAsiaTheme="minorEastAsia" w:hAnsi="Times New Roman" w:cs="Times New Roman"/>
        </w:rPr>
        <w:t>)</w:t>
      </w:r>
      <w:r>
        <w:rPr>
          <w:rFonts w:ascii="Times New Roman" w:eastAsiaTheme="minorEastAsia" w:hAnsi="Times New Roman" w:cs="Times New Roman"/>
        </w:rPr>
        <w:t xml:space="preserve"> of the diet</w:t>
      </w:r>
      <w:r w:rsidR="00786AC2">
        <w:rPr>
          <w:rFonts w:ascii="Times New Roman" w:eastAsiaTheme="minorEastAsia" w:hAnsi="Times New Roman" w:cs="Times New Roman"/>
        </w:rPr>
        <w:t>ary</w:t>
      </w:r>
      <w:r>
        <w:rPr>
          <w:rFonts w:ascii="Times New Roman" w:eastAsiaTheme="minorEastAsia" w:hAnsi="Times New Roman" w:cs="Times New Roman"/>
        </w:rPr>
        <w:t xml:space="preserve">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00786AC2">
        <w:rPr>
          <w:rFonts w:ascii="Times New Roman" w:eastAsiaTheme="minorEastAsia" w:hAnsi="Times New Roman" w:cs="Times New Roman"/>
        </w:rPr>
        <w:t xml:space="preserve"> </w:t>
      </w:r>
      <w:r w:rsidR="00C25CA0">
        <w:rPr>
          <w:rFonts w:ascii="Times New Roman" w:eastAsiaTheme="minorEastAsia" w:hAnsi="Times New Roman" w:cs="Times New Roman"/>
        </w:rPr>
        <w:t>is the set of diet quality</w:t>
      </w:r>
      <w:r w:rsidR="003959F7">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index </w:t>
      </w:r>
      <w:r w:rsidR="003959F7">
        <w:rPr>
          <w:rFonts w:ascii="Times New Roman" w:eastAsiaTheme="minorEastAsia" w:hAnsi="Times New Roman" w:cs="Times New Roman"/>
        </w:rPr>
        <w:t xml:space="preserve">scores </w:t>
      </w:r>
      <w:r w:rsidR="00786AC2">
        <w:rPr>
          <w:rFonts w:ascii="Times New Roman" w:eastAsiaTheme="minorEastAsia" w:hAnsi="Times New Roman" w:cs="Times New Roman"/>
        </w:rPr>
        <w:t xml:space="preserve">for subjects </w:t>
      </w:r>
      <w:r w:rsidR="003959F7">
        <w:rPr>
          <w:rFonts w:ascii="Times New Roman" w:eastAsiaTheme="minorEastAsia" w:hAnsi="Times New Roman" w:cs="Times New Roman"/>
        </w:rPr>
        <w:t xml:space="preserve">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00786AC2">
        <w:rPr>
          <w:rFonts w:ascii="Times New Roman" w:eastAsiaTheme="minorEastAsia" w:hAnsi="Times New Roman" w:cs="Times New Roman"/>
        </w:rPr>
        <w:t xml:space="preserve"> quintile</w:t>
      </w:r>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In equation 3 we specify the diet index as a continuous variable scaled by the standard deviation of the index and in equation 4 we specify the diet index with a basis expansion of</w:t>
      </w:r>
      <w:commentRangeStart w:id="2"/>
      <w:r>
        <w:rPr>
          <w:rFonts w:ascii="Times New Roman" w:eastAsiaTheme="minorEastAsia" w:hAnsi="Times New Roman" w:cs="Times New Roman"/>
        </w:rPr>
        <w:t xml:space="preserve"> </w:t>
      </w:r>
      <m:oMath>
        <m:r>
          <w:rPr>
            <w:rFonts w:ascii="Cambria Math" w:eastAsiaTheme="minorEastAsia" w:hAnsi="Cambria Math" w:cs="Times New Roman"/>
          </w:rPr>
          <m:t>M=</m:t>
        </m:r>
        <m:r>
          <w:rPr>
            <w:rFonts w:ascii="Cambria Math" w:eastAsiaTheme="minorEastAsia" w:hAnsi="Cambria Math" w:cs="Times New Roman"/>
          </w:rPr>
          <m:t>4</m:t>
        </m:r>
      </m:oMath>
      <w:r>
        <w:rPr>
          <w:rFonts w:ascii="Times New Roman" w:eastAsiaTheme="minorEastAsia" w:hAnsi="Times New Roman" w:cs="Times New Roman"/>
        </w:rPr>
        <w:t xml:space="preserve"> </w:t>
      </w:r>
      <w:commentRangeEnd w:id="2"/>
      <w:r>
        <w:rPr>
          <w:rStyle w:val="CommentReference"/>
        </w:rPr>
        <w:commentReference w:id="2"/>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w:t>
      </w:r>
      <w:r w:rsidR="003473C4">
        <w:rPr>
          <w:rFonts w:ascii="Times New Roman" w:eastAsiaTheme="minorEastAsia" w:hAnsi="Times New Roman" w:cs="Times New Roman"/>
        </w:rPr>
        <w:t xml:space="preserve">a </w:t>
      </w:r>
      <w:r>
        <w:rPr>
          <w:rFonts w:ascii="Times New Roman" w:eastAsiaTheme="minorEastAsia" w:hAnsi="Times New Roman" w:cs="Times New Roman"/>
        </w:rPr>
        <w:t xml:space="preserve">natural cubic spline. Models fit using equation 4 used </w:t>
      </w:r>
      <w:r w:rsidR="009B5A8A">
        <w:rPr>
          <w:rFonts w:ascii="Times New Roman" w:eastAsiaTheme="minorEastAsia" w:hAnsi="Times New Roman" w:cs="Times New Roman"/>
        </w:rPr>
        <w:t>two</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[33,34]</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3"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3"/>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commentRangeStart w:id="4"/>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4"/>
      <w:r w:rsidR="005538C5">
        <w:rPr>
          <w:rStyle w:val="CommentReference"/>
        </w:rPr>
        <w:commentReference w:id="4"/>
      </w:r>
      <w:r w:rsidR="006F4653" w:rsidRPr="006F4653">
        <w:t xml:space="preserve"> </w:t>
      </w:r>
      <w:r w:rsidR="006F4653" w:rsidRPr="006F4653">
        <w:rPr>
          <w:rFonts w:ascii="Times New Roman" w:hAnsi="Times New Roman" w:cs="Times New Roman"/>
        </w:rPr>
        <w:t>We also considered the NHANES ADL as a covariate, given that food security can be associated with physical disability and functional deficit. However,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w:t>
      </w:r>
      <w:proofErr w:type="spellStart"/>
      <w:r w:rsidR="00E21C9A">
        <w:rPr>
          <w:rFonts w:ascii="Times New Roman" w:hAnsi="Times New Roman" w:cs="Times New Roman"/>
        </w:rPr>
        <w:t>s</w:t>
      </w:r>
      <w:r w:rsidR="00D33B18">
        <w:rPr>
          <w:rFonts w:ascii="Times New Roman" w:hAnsi="Times New Roman" w:cs="Times New Roman"/>
        </w:rPr>
        <w:t>ub</w:t>
      </w:r>
      <w:r w:rsidR="00E21C9A">
        <w:rPr>
          <w:rFonts w:ascii="Times New Roman" w:hAnsi="Times New Roman" w:cs="Times New Roman"/>
        </w:rPr>
        <w:t>analysis</w:t>
      </w:r>
      <w:proofErr w:type="spellEnd"/>
      <w:r w:rsidR="00E21C9A">
        <w:rPr>
          <w:rFonts w:ascii="Times New Roman" w:hAnsi="Times New Roman" w:cs="Times New Roman"/>
        </w:rPr>
        <w:t xml:space="preserve">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70A2F95"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lastRenderedPageBreak/>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contributions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more likely to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w:t>
      </w:r>
      <w:r w:rsidR="00377C36">
        <w:rPr>
          <w:rFonts w:ascii="Times New Roman" w:hAnsi="Times New Roman" w:cs="Times New Roman"/>
        </w:rPr>
        <w:t>food-secure</w:t>
      </w:r>
      <w:r w:rsidR="00332B47">
        <w:rPr>
          <w:rFonts w:ascii="Times New Roman" w:hAnsi="Times New Roman" w:cs="Times New Roman"/>
        </w:rPr>
        <w:t xml:space="preserv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commentRangeStart w:id="5"/>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6"/>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6"/>
            <w:r w:rsidR="00FB536B">
              <w:rPr>
                <w:rStyle w:val="CommentReference"/>
              </w:rPr>
              <w:commentReference w:id="6"/>
            </w:r>
            <w:r w:rsidR="00E2638A">
              <w:rPr>
                <w:rStyle w:val="CommentReference"/>
              </w:rPr>
              <w:commentReference w:id="5"/>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commentRangeEnd w:id="5"/>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1F9EAB6E" w14:textId="77777777" w:rsidR="00190925" w:rsidRDefault="00190925" w:rsidP="00190925">
            <w:pPr>
              <w:rPr>
                <w:rFonts w:ascii="Times New Roman" w:eastAsia="+mn-ea"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p w14:paraId="6AD5AB00" w14:textId="3A8A75A3" w:rsidR="003A60E7" w:rsidRPr="00190925" w:rsidRDefault="003A60E7" w:rsidP="00190925">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c>
      </w:tr>
    </w:tbl>
    <w:p w14:paraId="6583FD9E" w14:textId="13A57C14" w:rsidR="00B51CDF" w:rsidRDefault="00B51CDF" w:rsidP="00B51CDF">
      <w:pPr>
        <w:spacing w:line="360" w:lineRule="auto"/>
        <w:rPr>
          <w:rFonts w:ascii="Times New Roman" w:hAnsi="Times New Roman" w:cs="Times New Roman"/>
        </w:rPr>
      </w:pPr>
    </w:p>
    <w:p w14:paraId="6ED44C3C" w14:textId="46C22617" w:rsidR="00AA50B7" w:rsidRDefault="002E02CB" w:rsidP="00AA50B7">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 xml:space="preserve">Finally, the two patterns extracted with PCA, in general, appeared to reflect “prudent” patterns emphasizing fruit and vegetable intake while de-emphasizing added sugars and were negatively correlated with the FI, </w:t>
      </w:r>
      <w:r w:rsidR="002263B5" w:rsidRPr="002263B5">
        <w:rPr>
          <w:rFonts w:ascii="Times New Roman" w:hAnsi="Times New Roman" w:cs="Times New Roman"/>
        </w:rPr>
        <w:lastRenderedPageBreak/>
        <w:t>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 pattern, and lower scores on the Age, Prudent #1, and Prudent #2 patterns compared to </w:t>
      </w:r>
      <w:r w:rsidR="00377C36">
        <w:rPr>
          <w:rFonts w:ascii="Times New Roman" w:hAnsi="Times New Roman" w:cs="Times New Roman"/>
        </w:rPr>
        <w:t>food-</w:t>
      </w:r>
      <w:r w:rsidR="00D43AB2">
        <w:rPr>
          <w:rFonts w:ascii="Times New Roman" w:hAnsi="Times New Roman" w:cs="Times New Roman"/>
          <w:noProof/>
        </w:rPr>
        <w:drawing>
          <wp:anchor distT="0" distB="0" distL="114300" distR="114300" simplePos="0" relativeHeight="251684864" behindDoc="0" locked="0" layoutInCell="1" allowOverlap="1" wp14:anchorId="0644C7C1" wp14:editId="28EB9C80">
            <wp:simplePos x="0" y="0"/>
            <wp:positionH relativeFrom="column">
              <wp:posOffset>0</wp:posOffset>
            </wp:positionH>
            <wp:positionV relativeFrom="paragraph">
              <wp:posOffset>1263974</wp:posOffset>
            </wp:positionV>
            <wp:extent cx="5651500" cy="4542790"/>
            <wp:effectExtent l="0" t="0" r="0" b="3810"/>
            <wp:wrapSquare wrapText="bothSides"/>
            <wp:docPr id="1784719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70" name="Picture 1784719670"/>
                    <pic:cNvPicPr/>
                  </pic:nvPicPr>
                  <pic:blipFill rotWithShape="1">
                    <a:blip r:embed="rId11" cstate="print">
                      <a:extLst>
                        <a:ext uri="{28A0092B-C50C-407E-A947-70E740481C1C}">
                          <a14:useLocalDpi xmlns:a14="http://schemas.microsoft.com/office/drawing/2010/main" val="0"/>
                        </a:ext>
                      </a:extLst>
                    </a:blip>
                    <a:srcRect l="14894" t="1018" b="13864"/>
                    <a:stretch/>
                  </pic:blipFill>
                  <pic:spPr bwMode="auto">
                    <a:xfrm>
                      <a:off x="0" y="0"/>
                      <a:ext cx="5651500" cy="454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7C36">
        <w:rPr>
          <w:rFonts w:ascii="Times New Roman" w:hAnsi="Times New Roman" w:cs="Times New Roman"/>
        </w:rPr>
        <w:t>secure</w:t>
      </w:r>
      <w:r w:rsidR="00AA50B7">
        <w:rPr>
          <w:rFonts w:ascii="Times New Roman" w:hAnsi="Times New Roman" w:cs="Times New Roman"/>
        </w:rPr>
        <w:t xml:space="preserve"> subjects (Table 3). </w:t>
      </w:r>
    </w:p>
    <w:p w14:paraId="24ECB142" w14:textId="15F99B83" w:rsidR="0024408E" w:rsidRDefault="00D43AB2" w:rsidP="00E43C36">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630EA040">
                <wp:simplePos x="0" y="0"/>
                <wp:positionH relativeFrom="column">
                  <wp:posOffset>86360</wp:posOffset>
                </wp:positionH>
                <wp:positionV relativeFrom="paragraph">
                  <wp:posOffset>4758987</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84C1B" id="_x0000_s1027" type="#_x0000_t202" style="position:absolute;margin-left:6.8pt;margin-top:374.7pt;width:401.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" stroked="f">
                <v:textbox inset="0,0,0,0">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p>
    <w:p w14:paraId="15604957" w14:textId="07567EE5" w:rsidR="00387D8D" w:rsidRDefault="00387D8D" w:rsidP="00E43C36">
      <w:pPr>
        <w:spacing w:line="360" w:lineRule="auto"/>
        <w:rPr>
          <w:rFonts w:ascii="Times New Roman" w:hAnsi="Times New Roman" w:cs="Times New Roman"/>
        </w:rPr>
      </w:pPr>
    </w:p>
    <w:p w14:paraId="1B660C42" w14:textId="560842DA" w:rsidR="00387D8D" w:rsidRDefault="00387D8D" w:rsidP="00E43C36">
      <w:pPr>
        <w:spacing w:line="360" w:lineRule="auto"/>
        <w:rPr>
          <w:rFonts w:ascii="Times New Roman" w:hAnsi="Times New Roman" w:cs="Times New Roman"/>
        </w:rPr>
      </w:pPr>
    </w:p>
    <w:p w14:paraId="1F5025EC" w14:textId="44D97B2C" w:rsidR="00387D8D" w:rsidRDefault="00387D8D" w:rsidP="00E43C36">
      <w:pPr>
        <w:spacing w:line="360" w:lineRule="auto"/>
        <w:rPr>
          <w:rFonts w:ascii="Times New Roman" w:hAnsi="Times New Roman" w:cs="Times New Roman"/>
        </w:rPr>
      </w:pPr>
    </w:p>
    <w:p w14:paraId="329C164C" w14:textId="522C19CF" w:rsidR="00387D8D" w:rsidRDefault="00387D8D" w:rsidP="00B51CDF">
      <w:pPr>
        <w:spacing w:line="360" w:lineRule="auto"/>
        <w:rPr>
          <w:rFonts w:ascii="Times New Roman" w:hAnsi="Times New Roman" w:cs="Times New Roman"/>
        </w:rPr>
      </w:pPr>
    </w:p>
    <w:p w14:paraId="2A93DC6C" w14:textId="709DE64C" w:rsidR="00387D8D" w:rsidRDefault="00387D8D" w:rsidP="00B51CDF">
      <w:pPr>
        <w:spacing w:line="360" w:lineRule="auto"/>
        <w:rPr>
          <w:rFonts w:ascii="Times New Roman" w:hAnsi="Times New Roman" w:cs="Times New Roman"/>
        </w:rPr>
      </w:pPr>
    </w:p>
    <w:p w14:paraId="2E5BA278" w14:textId="26B8435E" w:rsidR="00387D8D" w:rsidRDefault="00387D8D" w:rsidP="00B51CDF">
      <w:pPr>
        <w:spacing w:line="360" w:lineRule="auto"/>
        <w:rPr>
          <w:rFonts w:ascii="Times New Roman" w:hAnsi="Times New Roman" w:cs="Times New Roman"/>
        </w:rPr>
      </w:pPr>
    </w:p>
    <w:p w14:paraId="34FB5FAA" w14:textId="77777777" w:rsidR="00E12428" w:rsidRDefault="00E12428" w:rsidP="00B51CDF">
      <w:pPr>
        <w:spacing w:line="360" w:lineRule="auto"/>
        <w:rPr>
          <w:rFonts w:ascii="Times New Roman" w:hAnsi="Times New Roman" w:cs="Times New Roman"/>
        </w:rPr>
      </w:pPr>
    </w:p>
    <w:p w14:paraId="0603B553" w14:textId="77777777" w:rsidR="00D43AB2" w:rsidRDefault="00D43AB2" w:rsidP="00B51CDF">
      <w:pPr>
        <w:spacing w:line="360" w:lineRule="auto"/>
        <w:rPr>
          <w:rFonts w:ascii="Times New Roman" w:hAnsi="Times New Roman" w:cs="Times New Roman"/>
        </w:rPr>
      </w:pPr>
    </w:p>
    <w:p w14:paraId="359AF782" w14:textId="77777777" w:rsidR="00E12428" w:rsidRDefault="00E12428" w:rsidP="00B51CDF">
      <w:pPr>
        <w:spacing w:line="360" w:lineRule="auto"/>
        <w:rPr>
          <w:rFonts w:ascii="Times New Roman" w:hAnsi="Times New Roman" w:cs="Times New Roman"/>
        </w:rPr>
      </w:pPr>
    </w:p>
    <w:p w14:paraId="09455B6E" w14:textId="26B175A6" w:rsidR="00E12428" w:rsidRDefault="005C7305" w:rsidP="00B51CDF">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77A08195" wp14:editId="4BFD0E66">
                <wp:simplePos x="0" y="0"/>
                <wp:positionH relativeFrom="column">
                  <wp:posOffset>-340468</wp:posOffset>
                </wp:positionH>
                <wp:positionV relativeFrom="paragraph">
                  <wp:posOffset>-223736</wp:posOffset>
                </wp:positionV>
                <wp:extent cx="6804498" cy="8796236"/>
                <wp:effectExtent l="0" t="0" r="3175" b="5080"/>
                <wp:wrapNone/>
                <wp:docPr id="1628357051" name="Text Box 1628357051"/>
                <wp:cNvGraphicFramePr/>
                <a:graphic xmlns:a="http://schemas.openxmlformats.org/drawingml/2006/main">
                  <a:graphicData uri="http://schemas.microsoft.com/office/word/2010/wordprocessingShape">
                    <wps:wsp>
                      <wps:cNvSpPr txBox="1"/>
                      <wps:spPr>
                        <a:xfrm>
                          <a:off x="0" y="0"/>
                          <a:ext cx="6804498" cy="8796236"/>
                        </a:xfrm>
                        <a:prstGeom prst="rect">
                          <a:avLst/>
                        </a:prstGeom>
                        <a:solidFill>
                          <a:schemeClr val="lt1"/>
                        </a:solidFill>
                        <a:ln w="6350">
                          <a:noFill/>
                        </a:ln>
                      </wps:spPr>
                      <wps:txb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08195" id="Text Box 1628357051" o:spid="_x0000_s1028" type="#_x0000_t202" style="position:absolute;margin-left:-26.8pt;margin-top:-17.6pt;width:535.8pt;height:69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" fillcolor="white [3201]" stroked="f" strokeweight=".5pt">
                <v:textbo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v:textbox>
              </v:shape>
            </w:pict>
          </mc:Fallback>
        </mc:AlternateContent>
      </w:r>
    </w:p>
    <w:p w14:paraId="2BDEEEA5" w14:textId="2A2D4B60" w:rsidR="00E12428" w:rsidRDefault="00E12428" w:rsidP="00B51CDF">
      <w:pPr>
        <w:spacing w:line="360" w:lineRule="auto"/>
        <w:rPr>
          <w:rFonts w:ascii="Times New Roman" w:hAnsi="Times New Roman" w:cs="Times New Roman"/>
        </w:rPr>
      </w:pPr>
    </w:p>
    <w:p w14:paraId="2131DF92" w14:textId="0AF16EAB" w:rsidR="00E12428" w:rsidRDefault="00E12428" w:rsidP="00B51CDF">
      <w:pPr>
        <w:spacing w:line="360" w:lineRule="auto"/>
        <w:rPr>
          <w:rFonts w:ascii="Times New Roman" w:hAnsi="Times New Roman" w:cs="Times New Roman"/>
        </w:rPr>
      </w:pPr>
    </w:p>
    <w:p w14:paraId="5BC6D0E0" w14:textId="777D59A5" w:rsidR="00E12428" w:rsidRDefault="00E12428" w:rsidP="00B51CDF">
      <w:pPr>
        <w:spacing w:line="360" w:lineRule="auto"/>
        <w:rPr>
          <w:rFonts w:ascii="Times New Roman" w:hAnsi="Times New Roman" w:cs="Times New Roman"/>
        </w:rPr>
      </w:pPr>
    </w:p>
    <w:p w14:paraId="64C2670E" w14:textId="77777777" w:rsidR="00E12428" w:rsidRDefault="00E12428" w:rsidP="00B51CDF">
      <w:pPr>
        <w:spacing w:line="360" w:lineRule="auto"/>
        <w:rPr>
          <w:rFonts w:ascii="Times New Roman" w:hAnsi="Times New Roman" w:cs="Times New Roman"/>
        </w:rPr>
      </w:pPr>
    </w:p>
    <w:p w14:paraId="28CF9E5E" w14:textId="77777777" w:rsidR="00E12428" w:rsidRDefault="00E12428" w:rsidP="00B51CDF">
      <w:pPr>
        <w:spacing w:line="360" w:lineRule="auto"/>
        <w:rPr>
          <w:rFonts w:ascii="Times New Roman" w:hAnsi="Times New Roman" w:cs="Times New Roman"/>
        </w:rPr>
      </w:pPr>
    </w:p>
    <w:p w14:paraId="25333E35" w14:textId="77777777" w:rsidR="00E12428" w:rsidRDefault="00E12428" w:rsidP="00B51CDF">
      <w:pPr>
        <w:spacing w:line="360" w:lineRule="auto"/>
        <w:rPr>
          <w:rFonts w:ascii="Times New Roman" w:hAnsi="Times New Roman" w:cs="Times New Roman"/>
        </w:rPr>
      </w:pPr>
    </w:p>
    <w:p w14:paraId="53491CD2" w14:textId="77777777" w:rsidR="00E12428" w:rsidRDefault="00E12428" w:rsidP="00B51CDF">
      <w:pPr>
        <w:spacing w:line="360" w:lineRule="auto"/>
        <w:rPr>
          <w:rFonts w:ascii="Times New Roman" w:hAnsi="Times New Roman" w:cs="Times New Roman"/>
        </w:rPr>
      </w:pPr>
    </w:p>
    <w:p w14:paraId="534A688D" w14:textId="77777777" w:rsidR="00E12428" w:rsidRDefault="00E12428" w:rsidP="00B51CDF">
      <w:pPr>
        <w:spacing w:line="360" w:lineRule="auto"/>
        <w:rPr>
          <w:rFonts w:ascii="Times New Roman" w:hAnsi="Times New Roman" w:cs="Times New Roman"/>
        </w:rPr>
      </w:pPr>
    </w:p>
    <w:p w14:paraId="70ABAE26" w14:textId="77777777" w:rsidR="00E12428" w:rsidRDefault="00E12428" w:rsidP="00B51CDF">
      <w:pPr>
        <w:spacing w:line="360" w:lineRule="auto"/>
        <w:rPr>
          <w:rFonts w:ascii="Times New Roman" w:hAnsi="Times New Roman" w:cs="Times New Roman"/>
        </w:rPr>
      </w:pPr>
    </w:p>
    <w:p w14:paraId="42FAD7A0" w14:textId="77777777" w:rsidR="00E12428" w:rsidRDefault="00E12428" w:rsidP="00B51CDF">
      <w:pPr>
        <w:spacing w:line="360" w:lineRule="auto"/>
        <w:rPr>
          <w:rFonts w:ascii="Times New Roman" w:hAnsi="Times New Roman" w:cs="Times New Roman"/>
        </w:rPr>
      </w:pPr>
    </w:p>
    <w:p w14:paraId="6C15D71B" w14:textId="77777777" w:rsidR="00E12428" w:rsidRDefault="00E12428" w:rsidP="00B51CDF">
      <w:pPr>
        <w:spacing w:line="360" w:lineRule="auto"/>
        <w:rPr>
          <w:rFonts w:ascii="Times New Roman" w:hAnsi="Times New Roman" w:cs="Times New Roman"/>
        </w:rPr>
      </w:pPr>
    </w:p>
    <w:p w14:paraId="593E856E" w14:textId="77777777" w:rsidR="00E12428" w:rsidRDefault="00E12428" w:rsidP="00B51CDF">
      <w:pPr>
        <w:spacing w:line="360" w:lineRule="auto"/>
        <w:rPr>
          <w:rFonts w:ascii="Times New Roman" w:hAnsi="Times New Roman" w:cs="Times New Roman"/>
        </w:rPr>
      </w:pPr>
    </w:p>
    <w:p w14:paraId="47FD5283" w14:textId="77777777" w:rsidR="00E12428" w:rsidRDefault="00E12428" w:rsidP="00B51CDF">
      <w:pPr>
        <w:spacing w:line="360" w:lineRule="auto"/>
        <w:rPr>
          <w:rFonts w:ascii="Times New Roman" w:hAnsi="Times New Roman" w:cs="Times New Roman"/>
        </w:rPr>
      </w:pPr>
    </w:p>
    <w:p w14:paraId="000BD09D" w14:textId="77777777" w:rsidR="00E12428" w:rsidRDefault="00E12428" w:rsidP="00B51CDF">
      <w:pPr>
        <w:spacing w:line="360" w:lineRule="auto"/>
        <w:rPr>
          <w:rFonts w:ascii="Times New Roman" w:hAnsi="Times New Roman" w:cs="Times New Roman"/>
        </w:rPr>
      </w:pPr>
    </w:p>
    <w:p w14:paraId="4945FA91" w14:textId="77777777" w:rsidR="00E12428" w:rsidRDefault="00E12428" w:rsidP="00B51CDF">
      <w:pPr>
        <w:spacing w:line="360" w:lineRule="auto"/>
        <w:rPr>
          <w:rFonts w:ascii="Times New Roman" w:hAnsi="Times New Roman" w:cs="Times New Roman"/>
        </w:rPr>
      </w:pPr>
    </w:p>
    <w:p w14:paraId="4EB8D84F" w14:textId="77777777" w:rsidR="00E12428" w:rsidRDefault="00E12428" w:rsidP="00B51CDF">
      <w:pPr>
        <w:spacing w:line="360" w:lineRule="auto"/>
        <w:rPr>
          <w:rFonts w:ascii="Times New Roman" w:hAnsi="Times New Roman" w:cs="Times New Roman"/>
        </w:rPr>
      </w:pPr>
    </w:p>
    <w:p w14:paraId="0AEFF206" w14:textId="77777777" w:rsidR="00E12428" w:rsidRDefault="00E12428" w:rsidP="00B51CDF">
      <w:pPr>
        <w:spacing w:line="360" w:lineRule="auto"/>
        <w:rPr>
          <w:rFonts w:ascii="Times New Roman" w:hAnsi="Times New Roman" w:cs="Times New Roman"/>
        </w:rPr>
      </w:pPr>
    </w:p>
    <w:p w14:paraId="40961647" w14:textId="77777777" w:rsidR="00E12428" w:rsidRDefault="00E12428" w:rsidP="00B51CDF">
      <w:pPr>
        <w:spacing w:line="360" w:lineRule="auto"/>
        <w:rPr>
          <w:rFonts w:ascii="Times New Roman" w:hAnsi="Times New Roman" w:cs="Times New Roman"/>
        </w:rPr>
      </w:pPr>
    </w:p>
    <w:p w14:paraId="5CA72F27" w14:textId="77777777" w:rsidR="00E12428" w:rsidRDefault="00E12428" w:rsidP="00B51CDF">
      <w:pPr>
        <w:spacing w:line="360" w:lineRule="auto"/>
        <w:rPr>
          <w:rFonts w:ascii="Times New Roman" w:hAnsi="Times New Roman" w:cs="Times New Roman"/>
        </w:rPr>
      </w:pPr>
    </w:p>
    <w:p w14:paraId="771AB9CC" w14:textId="77777777" w:rsidR="00E12428" w:rsidRDefault="00E12428"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456"/>
        <w:gridCol w:w="1952"/>
        <w:gridCol w:w="1320"/>
        <w:gridCol w:w="1320"/>
        <w:gridCol w:w="1151"/>
        <w:gridCol w:w="1151"/>
      </w:tblGrid>
      <w:tr w:rsidR="001127FB" w:rsidRPr="009550C4" w14:paraId="688AE40E" w14:textId="77777777" w:rsidTr="00B65DF0">
        <w:trPr>
          <w:trHeight w:val="320"/>
        </w:trPr>
        <w:tc>
          <w:tcPr>
            <w:tcW w:w="9350" w:type="dxa"/>
            <w:gridSpan w:val="6"/>
          </w:tcPr>
          <w:p w14:paraId="59DC03CE" w14:textId="012ADB19"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lastRenderedPageBreak/>
              <w:t>Table 3</w:t>
            </w:r>
            <w:r>
              <w:rPr>
                <w:rFonts w:ascii="Times New Roman" w:hAnsi="Times New Roman" w:cs="Times New Roman"/>
                <w:sz w:val="20"/>
                <w:szCs w:val="20"/>
              </w:rPr>
              <w:t>. Means and standard deviations of the extracted dietary patterns across levels of food security status.</w:t>
            </w:r>
          </w:p>
        </w:tc>
      </w:tr>
      <w:tr w:rsidR="001127FB" w:rsidRPr="009550C4" w14:paraId="0F9154AF" w14:textId="77777777" w:rsidTr="001127FB">
        <w:trPr>
          <w:trHeight w:val="320"/>
        </w:trPr>
        <w:tc>
          <w:tcPr>
            <w:tcW w:w="2456" w:type="dxa"/>
            <w:noWrap/>
            <w:vAlign w:val="center"/>
            <w:hideMark/>
          </w:tcPr>
          <w:p w14:paraId="335BCE58" w14:textId="6E75823A" w:rsidR="001127FB" w:rsidRPr="009550C4" w:rsidRDefault="001127FB"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6407D6F7" w14:textId="77777777" w:rsidR="001127FB"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320" w:type="dxa"/>
            <w:noWrap/>
            <w:vAlign w:val="center"/>
            <w:hideMark/>
          </w:tcPr>
          <w:p w14:paraId="623B4A4D" w14:textId="4D29FBCF" w:rsidR="001127FB" w:rsidRPr="009550C4" w:rsidRDefault="00377C36" w:rsidP="000B1B5D">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1127FB" w:rsidRPr="009550C4">
              <w:rPr>
                <w:rFonts w:ascii="Times New Roman" w:hAnsi="Times New Roman" w:cs="Times New Roman"/>
                <w:b/>
                <w:bCs/>
                <w:sz w:val="20"/>
                <w:szCs w:val="20"/>
              </w:rPr>
              <w:t xml:space="preserve">       </w:t>
            </w:r>
            <w:r w:rsidR="001127FB" w:rsidRPr="009550C4">
              <w:rPr>
                <w:rFonts w:ascii="Times New Roman" w:hAnsi="Times New Roman" w:cs="Times New Roman"/>
                <w:sz w:val="20"/>
                <w:szCs w:val="20"/>
              </w:rPr>
              <w:t>(</w:t>
            </w:r>
            <w:r w:rsidR="001127FB" w:rsidRPr="009550C4">
              <w:rPr>
                <w:rFonts w:ascii="Times New Roman" w:hAnsi="Times New Roman" w:cs="Times New Roman"/>
                <w:i/>
                <w:iCs/>
                <w:sz w:val="20"/>
                <w:szCs w:val="20"/>
              </w:rPr>
              <w:t>n</w:t>
            </w:r>
            <w:r w:rsidR="001127FB" w:rsidRPr="009550C4">
              <w:rPr>
                <w:rFonts w:ascii="Times New Roman" w:hAnsi="Times New Roman" w:cs="Times New Roman"/>
                <w:sz w:val="20"/>
                <w:szCs w:val="20"/>
              </w:rPr>
              <w:t xml:space="preserve"> = 317)</w:t>
            </w:r>
          </w:p>
        </w:tc>
        <w:tc>
          <w:tcPr>
            <w:tcW w:w="1320" w:type="dxa"/>
            <w:noWrap/>
            <w:vAlign w:val="center"/>
            <w:hideMark/>
          </w:tcPr>
          <w:p w14:paraId="179E5AB8" w14:textId="04DC273D" w:rsidR="001127FB" w:rsidRPr="009550C4" w:rsidRDefault="00377C36" w:rsidP="000B1B5D">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1127FB" w:rsidRPr="009550C4">
              <w:rPr>
                <w:rFonts w:ascii="Times New Roman" w:hAnsi="Times New Roman" w:cs="Times New Roman"/>
                <w:b/>
                <w:bCs/>
                <w:sz w:val="20"/>
                <w:szCs w:val="20"/>
              </w:rPr>
              <w:t xml:space="preserve">         </w:t>
            </w:r>
            <w:r w:rsidR="001127FB" w:rsidRPr="009550C4">
              <w:rPr>
                <w:rFonts w:ascii="Times New Roman" w:hAnsi="Times New Roman" w:cs="Times New Roman"/>
                <w:sz w:val="20"/>
                <w:szCs w:val="20"/>
              </w:rPr>
              <w:t>(</w:t>
            </w:r>
            <w:r w:rsidR="001127FB" w:rsidRPr="009550C4">
              <w:rPr>
                <w:rFonts w:ascii="Times New Roman" w:hAnsi="Times New Roman" w:cs="Times New Roman"/>
                <w:i/>
                <w:iCs/>
                <w:sz w:val="20"/>
                <w:szCs w:val="20"/>
              </w:rPr>
              <w:t>n</w:t>
            </w:r>
            <w:r w:rsidR="001127FB" w:rsidRPr="009550C4">
              <w:rPr>
                <w:rFonts w:ascii="Times New Roman" w:hAnsi="Times New Roman" w:cs="Times New Roman"/>
                <w:sz w:val="20"/>
                <w:szCs w:val="20"/>
              </w:rPr>
              <w:t xml:space="preserve"> = 2176)</w:t>
            </w:r>
          </w:p>
        </w:tc>
        <w:tc>
          <w:tcPr>
            <w:tcW w:w="1151" w:type="dxa"/>
            <w:vAlign w:val="center"/>
          </w:tcPr>
          <w:p w14:paraId="2BF58D7F" w14:textId="0D2AC89F" w:rsidR="001127FB" w:rsidRPr="001127FB" w:rsidRDefault="001127FB" w:rsidP="000B1B5D">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10B0A27" w14:textId="6AD9433E"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1127FB" w:rsidRPr="009550C4" w14:paraId="5D1266BC" w14:textId="77777777" w:rsidTr="00D90248">
        <w:trPr>
          <w:trHeight w:val="320"/>
        </w:trPr>
        <w:tc>
          <w:tcPr>
            <w:tcW w:w="2456" w:type="dxa"/>
            <w:noWrap/>
            <w:vAlign w:val="center"/>
            <w:hideMark/>
          </w:tcPr>
          <w:p w14:paraId="556A813C" w14:textId="13185AD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20FA4177" w14:textId="77777777" w:rsidR="001127FB" w:rsidRPr="009550C4" w:rsidRDefault="001127FB" w:rsidP="00387D8D">
            <w:pPr>
              <w:jc w:val="center"/>
              <w:rPr>
                <w:rFonts w:ascii="Times New Roman" w:hAnsi="Times New Roman" w:cs="Times New Roman"/>
                <w:sz w:val="20"/>
                <w:szCs w:val="20"/>
              </w:rPr>
            </w:pPr>
          </w:p>
          <w:p w14:paraId="3BAE44B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320" w:type="dxa"/>
            <w:noWrap/>
            <w:vAlign w:val="center"/>
            <w:hideMark/>
          </w:tcPr>
          <w:p w14:paraId="278F6CE3" w14:textId="77777777" w:rsidR="001127FB" w:rsidRPr="009550C4" w:rsidRDefault="001127FB" w:rsidP="00387D8D">
            <w:pPr>
              <w:jc w:val="center"/>
              <w:rPr>
                <w:rFonts w:ascii="Times New Roman" w:hAnsi="Times New Roman" w:cs="Times New Roman"/>
                <w:sz w:val="20"/>
                <w:szCs w:val="20"/>
              </w:rPr>
            </w:pPr>
          </w:p>
          <w:p w14:paraId="445107B9"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20" w:type="dxa"/>
            <w:noWrap/>
            <w:vAlign w:val="center"/>
            <w:hideMark/>
          </w:tcPr>
          <w:p w14:paraId="73A21414" w14:textId="77777777" w:rsidR="001127FB" w:rsidRPr="009550C4" w:rsidRDefault="001127FB" w:rsidP="00387D8D">
            <w:pPr>
              <w:jc w:val="center"/>
              <w:rPr>
                <w:rFonts w:ascii="Times New Roman" w:hAnsi="Times New Roman" w:cs="Times New Roman"/>
                <w:sz w:val="20"/>
                <w:szCs w:val="20"/>
              </w:rPr>
            </w:pPr>
          </w:p>
          <w:p w14:paraId="2BE9353C"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151" w:type="dxa"/>
            <w:vAlign w:val="bottom"/>
          </w:tcPr>
          <w:p w14:paraId="2F9C0B4E" w14:textId="1ED9970E"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ABFCEA" w14:textId="0642113D"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53BE4485" w14:textId="77777777" w:rsidTr="00D90248">
        <w:trPr>
          <w:trHeight w:val="320"/>
        </w:trPr>
        <w:tc>
          <w:tcPr>
            <w:tcW w:w="2456" w:type="dxa"/>
            <w:noWrap/>
            <w:vAlign w:val="center"/>
            <w:hideMark/>
          </w:tcPr>
          <w:p w14:paraId="25FC3050" w14:textId="2862552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6D623C2"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026BA3E" w14:textId="77777777" w:rsidR="001127FB" w:rsidRPr="009550C4" w:rsidRDefault="001127FB" w:rsidP="00387D8D">
            <w:pPr>
              <w:jc w:val="center"/>
              <w:rPr>
                <w:rFonts w:ascii="Times New Roman" w:hAnsi="Times New Roman" w:cs="Times New Roman"/>
                <w:sz w:val="20"/>
                <w:szCs w:val="20"/>
              </w:rPr>
            </w:pPr>
          </w:p>
          <w:p w14:paraId="18C3C487"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320" w:type="dxa"/>
            <w:noWrap/>
            <w:vAlign w:val="center"/>
            <w:hideMark/>
          </w:tcPr>
          <w:p w14:paraId="29572704" w14:textId="77777777" w:rsidR="001127FB" w:rsidRPr="009550C4" w:rsidRDefault="001127FB" w:rsidP="00387D8D">
            <w:pPr>
              <w:jc w:val="center"/>
              <w:rPr>
                <w:rFonts w:ascii="Times New Roman" w:hAnsi="Times New Roman" w:cs="Times New Roman"/>
                <w:sz w:val="20"/>
                <w:szCs w:val="20"/>
              </w:rPr>
            </w:pPr>
          </w:p>
          <w:p w14:paraId="0F80923B"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20" w:type="dxa"/>
            <w:noWrap/>
            <w:vAlign w:val="center"/>
            <w:hideMark/>
          </w:tcPr>
          <w:p w14:paraId="5276A9BD" w14:textId="77777777" w:rsidR="001127FB" w:rsidRPr="009550C4" w:rsidRDefault="001127FB" w:rsidP="00387D8D">
            <w:pPr>
              <w:jc w:val="center"/>
              <w:rPr>
                <w:rFonts w:ascii="Times New Roman" w:hAnsi="Times New Roman" w:cs="Times New Roman"/>
                <w:sz w:val="20"/>
                <w:szCs w:val="20"/>
              </w:rPr>
            </w:pPr>
          </w:p>
          <w:p w14:paraId="2D5A9C5E" w14:textId="416C6EDE"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(0.6</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vAlign w:val="bottom"/>
          </w:tcPr>
          <w:p w14:paraId="61D8581F" w14:textId="09B26E9B"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082D7A6C" w14:textId="106A8761"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7DB2DF4C" w14:textId="77777777" w:rsidTr="00D90248">
        <w:trPr>
          <w:trHeight w:val="320"/>
        </w:trPr>
        <w:tc>
          <w:tcPr>
            <w:tcW w:w="2456" w:type="dxa"/>
            <w:noWrap/>
            <w:vAlign w:val="center"/>
            <w:hideMark/>
          </w:tcPr>
          <w:p w14:paraId="45578080" w14:textId="5F69B1F3"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8E994B4"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3FA8DF0" w14:textId="77777777" w:rsidR="001127FB" w:rsidRPr="009550C4" w:rsidRDefault="001127FB" w:rsidP="00387D8D">
            <w:pPr>
              <w:jc w:val="center"/>
              <w:rPr>
                <w:rFonts w:ascii="Times New Roman" w:hAnsi="Times New Roman" w:cs="Times New Roman"/>
                <w:sz w:val="20"/>
                <w:szCs w:val="20"/>
              </w:rPr>
            </w:pPr>
          </w:p>
          <w:p w14:paraId="7E241423"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320" w:type="dxa"/>
            <w:noWrap/>
            <w:vAlign w:val="center"/>
            <w:hideMark/>
          </w:tcPr>
          <w:p w14:paraId="49258EC1" w14:textId="77777777" w:rsidR="001127FB" w:rsidRPr="009550C4" w:rsidRDefault="001127FB" w:rsidP="00387D8D">
            <w:pPr>
              <w:jc w:val="center"/>
              <w:rPr>
                <w:rFonts w:ascii="Times New Roman" w:hAnsi="Times New Roman" w:cs="Times New Roman"/>
                <w:sz w:val="20"/>
                <w:szCs w:val="20"/>
              </w:rPr>
            </w:pPr>
          </w:p>
          <w:p w14:paraId="40E26EAF"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20" w:type="dxa"/>
            <w:noWrap/>
            <w:vAlign w:val="center"/>
            <w:hideMark/>
          </w:tcPr>
          <w:p w14:paraId="49BD10FB" w14:textId="77777777" w:rsidR="001127FB" w:rsidRPr="009550C4" w:rsidRDefault="001127FB" w:rsidP="00387D8D">
            <w:pPr>
              <w:jc w:val="center"/>
              <w:rPr>
                <w:rFonts w:ascii="Times New Roman" w:hAnsi="Times New Roman" w:cs="Times New Roman"/>
                <w:sz w:val="20"/>
                <w:szCs w:val="20"/>
              </w:rPr>
            </w:pPr>
          </w:p>
          <w:p w14:paraId="75414C1D"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151" w:type="dxa"/>
            <w:vAlign w:val="bottom"/>
          </w:tcPr>
          <w:p w14:paraId="405C8C9D" w14:textId="13C1BA9A"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6511FA0E" w14:textId="43B98CD4"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0AEF34CE" w14:textId="77777777" w:rsidTr="00D90248">
        <w:trPr>
          <w:trHeight w:val="320"/>
        </w:trPr>
        <w:tc>
          <w:tcPr>
            <w:tcW w:w="2456" w:type="dxa"/>
            <w:noWrap/>
            <w:vAlign w:val="center"/>
            <w:hideMark/>
          </w:tcPr>
          <w:p w14:paraId="522D5C3F" w14:textId="74DCAFF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3138BD9F"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8CF4358" w14:textId="77777777" w:rsidR="001127FB" w:rsidRPr="009550C4" w:rsidRDefault="001127FB" w:rsidP="00387D8D">
            <w:pPr>
              <w:jc w:val="center"/>
              <w:rPr>
                <w:rFonts w:ascii="Times New Roman" w:hAnsi="Times New Roman" w:cs="Times New Roman"/>
                <w:sz w:val="20"/>
                <w:szCs w:val="20"/>
              </w:rPr>
            </w:pPr>
          </w:p>
          <w:p w14:paraId="725764D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320" w:type="dxa"/>
            <w:noWrap/>
            <w:vAlign w:val="center"/>
            <w:hideMark/>
          </w:tcPr>
          <w:p w14:paraId="1DC4EFE4" w14:textId="77777777" w:rsidR="001127FB" w:rsidRPr="009550C4" w:rsidRDefault="001127FB" w:rsidP="00387D8D">
            <w:pPr>
              <w:jc w:val="center"/>
              <w:rPr>
                <w:rFonts w:ascii="Times New Roman" w:hAnsi="Times New Roman" w:cs="Times New Roman"/>
                <w:sz w:val="20"/>
                <w:szCs w:val="20"/>
              </w:rPr>
            </w:pPr>
          </w:p>
          <w:p w14:paraId="2733B88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20" w:type="dxa"/>
            <w:noWrap/>
            <w:vAlign w:val="center"/>
            <w:hideMark/>
          </w:tcPr>
          <w:p w14:paraId="0639C299" w14:textId="77777777" w:rsidR="001127FB" w:rsidRPr="009550C4" w:rsidRDefault="001127FB" w:rsidP="00387D8D">
            <w:pPr>
              <w:jc w:val="center"/>
              <w:rPr>
                <w:rFonts w:ascii="Times New Roman" w:hAnsi="Times New Roman" w:cs="Times New Roman"/>
                <w:sz w:val="20"/>
                <w:szCs w:val="20"/>
              </w:rPr>
            </w:pPr>
          </w:p>
          <w:p w14:paraId="70EB0E9E"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151" w:type="dxa"/>
            <w:vAlign w:val="bottom"/>
          </w:tcPr>
          <w:p w14:paraId="2CB9B9E9" w14:textId="2ADAC348"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049CB598" w14:textId="398B3695"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183C7EF7" w14:textId="77777777" w:rsidTr="00D90248">
        <w:trPr>
          <w:trHeight w:val="320"/>
        </w:trPr>
        <w:tc>
          <w:tcPr>
            <w:tcW w:w="2456" w:type="dxa"/>
            <w:noWrap/>
            <w:vAlign w:val="center"/>
            <w:hideMark/>
          </w:tcPr>
          <w:p w14:paraId="15C9793D" w14:textId="426C547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6D3CC7B0"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FC5A36C" w14:textId="77777777" w:rsidR="001127FB" w:rsidRPr="009550C4" w:rsidRDefault="001127FB" w:rsidP="00387D8D">
            <w:pPr>
              <w:jc w:val="center"/>
              <w:rPr>
                <w:rFonts w:ascii="Times New Roman" w:hAnsi="Times New Roman" w:cs="Times New Roman"/>
                <w:sz w:val="20"/>
                <w:szCs w:val="20"/>
              </w:rPr>
            </w:pPr>
          </w:p>
          <w:p w14:paraId="6C1B4311"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320" w:type="dxa"/>
            <w:noWrap/>
            <w:vAlign w:val="center"/>
            <w:hideMark/>
          </w:tcPr>
          <w:p w14:paraId="6CE8E566" w14:textId="77777777" w:rsidR="001127FB" w:rsidRPr="009550C4" w:rsidRDefault="001127FB" w:rsidP="00387D8D">
            <w:pPr>
              <w:jc w:val="center"/>
              <w:rPr>
                <w:rFonts w:ascii="Times New Roman" w:hAnsi="Times New Roman" w:cs="Times New Roman"/>
                <w:sz w:val="20"/>
                <w:szCs w:val="20"/>
              </w:rPr>
            </w:pPr>
          </w:p>
          <w:p w14:paraId="3DB56E92"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20" w:type="dxa"/>
            <w:noWrap/>
            <w:vAlign w:val="center"/>
            <w:hideMark/>
          </w:tcPr>
          <w:p w14:paraId="745F9BE5" w14:textId="77777777" w:rsidR="001127FB" w:rsidRPr="009550C4" w:rsidRDefault="001127FB" w:rsidP="00387D8D">
            <w:pPr>
              <w:jc w:val="center"/>
              <w:rPr>
                <w:rFonts w:ascii="Times New Roman" w:hAnsi="Times New Roman" w:cs="Times New Roman"/>
                <w:sz w:val="20"/>
                <w:szCs w:val="20"/>
              </w:rPr>
            </w:pPr>
          </w:p>
          <w:p w14:paraId="12EC9DA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151" w:type="dxa"/>
            <w:vAlign w:val="bottom"/>
          </w:tcPr>
          <w:p w14:paraId="550A1AF1" w14:textId="4FA092F1"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1A67B94D" w14:textId="6C1DF9EE"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1127FB" w:rsidRPr="009550C4" w14:paraId="69D87507" w14:textId="77777777" w:rsidTr="00D90248">
        <w:trPr>
          <w:trHeight w:val="320"/>
        </w:trPr>
        <w:tc>
          <w:tcPr>
            <w:tcW w:w="2456" w:type="dxa"/>
            <w:tcBorders>
              <w:bottom w:val="single" w:sz="4" w:space="0" w:color="auto"/>
            </w:tcBorders>
            <w:noWrap/>
            <w:vAlign w:val="center"/>
            <w:hideMark/>
          </w:tcPr>
          <w:p w14:paraId="63DF81DA" w14:textId="50F149FF"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108563E9"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856A1B5" w14:textId="77777777" w:rsidR="001127FB" w:rsidRPr="009550C4" w:rsidRDefault="001127FB" w:rsidP="00387D8D">
            <w:pPr>
              <w:jc w:val="center"/>
              <w:rPr>
                <w:rFonts w:ascii="Times New Roman" w:hAnsi="Times New Roman" w:cs="Times New Roman"/>
                <w:sz w:val="20"/>
                <w:szCs w:val="20"/>
              </w:rPr>
            </w:pPr>
          </w:p>
          <w:p w14:paraId="5E868235"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320" w:type="dxa"/>
            <w:tcBorders>
              <w:bottom w:val="single" w:sz="4" w:space="0" w:color="auto"/>
            </w:tcBorders>
            <w:noWrap/>
            <w:vAlign w:val="center"/>
            <w:hideMark/>
          </w:tcPr>
          <w:p w14:paraId="693E02D8" w14:textId="77777777" w:rsidR="001127FB" w:rsidRPr="009550C4" w:rsidRDefault="001127FB" w:rsidP="00387D8D">
            <w:pPr>
              <w:jc w:val="center"/>
              <w:rPr>
                <w:rFonts w:ascii="Times New Roman" w:hAnsi="Times New Roman" w:cs="Times New Roman"/>
                <w:sz w:val="20"/>
                <w:szCs w:val="20"/>
              </w:rPr>
            </w:pPr>
          </w:p>
          <w:p w14:paraId="0AFFFF46"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20" w:type="dxa"/>
            <w:tcBorders>
              <w:bottom w:val="single" w:sz="4" w:space="0" w:color="auto"/>
            </w:tcBorders>
            <w:noWrap/>
            <w:vAlign w:val="center"/>
            <w:hideMark/>
          </w:tcPr>
          <w:p w14:paraId="19F0DC00" w14:textId="77777777" w:rsidR="001127FB" w:rsidRPr="009550C4" w:rsidRDefault="001127FB" w:rsidP="00387D8D">
            <w:pPr>
              <w:jc w:val="center"/>
              <w:rPr>
                <w:rFonts w:ascii="Times New Roman" w:hAnsi="Times New Roman" w:cs="Times New Roman"/>
                <w:sz w:val="20"/>
                <w:szCs w:val="20"/>
              </w:rPr>
            </w:pPr>
          </w:p>
          <w:p w14:paraId="4834AEFC" w14:textId="66AE2272"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(1.4</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tcBorders>
              <w:bottom w:val="single" w:sz="4" w:space="0" w:color="auto"/>
            </w:tcBorders>
            <w:vAlign w:val="bottom"/>
          </w:tcPr>
          <w:p w14:paraId="62A9DC3D" w14:textId="5EC44327"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2829E239" w14:textId="7FB87693"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B154D" w:rsidRPr="009550C4" w14:paraId="37C2BCAF" w14:textId="77777777" w:rsidTr="00324CBF">
        <w:trPr>
          <w:trHeight w:val="320"/>
        </w:trPr>
        <w:tc>
          <w:tcPr>
            <w:tcW w:w="9350" w:type="dxa"/>
            <w:gridSpan w:val="6"/>
            <w:tcBorders>
              <w:left w:val="nil"/>
              <w:bottom w:val="nil"/>
              <w:right w:val="nil"/>
            </w:tcBorders>
          </w:tcPr>
          <w:p w14:paraId="442924F3" w14:textId="1FF7D7AB" w:rsidR="008B154D" w:rsidRDefault="008B154D"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 xml:space="preserve">values are for survey-weighted t-tests comparing </w:t>
            </w:r>
            <w:r w:rsidR="00377C36">
              <w:rPr>
                <w:rFonts w:ascii="Times New Roman" w:hAnsi="Times New Roman" w:cs="Times New Roman"/>
                <w:sz w:val="20"/>
                <w:szCs w:val="20"/>
              </w:rPr>
              <w:t>food-secure</w:t>
            </w:r>
            <w:r>
              <w:rPr>
                <w:rFonts w:ascii="Times New Roman" w:hAnsi="Times New Roman" w:cs="Times New Roman"/>
                <w:sz w:val="20"/>
                <w:szCs w:val="20"/>
              </w:rPr>
              <w:t xml:space="preserve"> and insecure survivors.</w:t>
            </w:r>
          </w:p>
          <w:p w14:paraId="6953E932" w14:textId="77777777" w:rsidR="008B154D" w:rsidRDefault="008B154D"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sidR="000D7240">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044AD660" w14:textId="77777777" w:rsidR="00264E91" w:rsidRDefault="003A60E7" w:rsidP="004348ED">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00E82F5" w14:textId="279D32BC" w:rsidR="003A60E7" w:rsidRPr="00AF604F" w:rsidRDefault="003A60E7" w:rsidP="004348ED">
            <w:pPr>
              <w:rPr>
                <w:rFonts w:ascii="Times New Roman" w:hAnsi="Times New Roman" w:cs="Times New Roman"/>
                <w:sz w:val="20"/>
                <w:szCs w:val="20"/>
              </w:rPr>
            </w:pPr>
          </w:p>
        </w:tc>
      </w:tr>
    </w:tbl>
    <w:p w14:paraId="27F1B0A4" w14:textId="6B54ABD9" w:rsidR="00AA50B7" w:rsidRDefault="00AF604F" w:rsidP="00D90248">
      <w:pPr>
        <w:spacing w:line="360" w:lineRule="auto"/>
        <w:ind w:firstLine="720"/>
        <w:rPr>
          <w:rFonts w:ascii="Times New Roman"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 xml:space="preserve">of the </w:t>
      </w:r>
      <w:r w:rsidR="001025E6">
        <w:rPr>
          <w:rFonts w:ascii="Times New Roman" w:hAnsi="Times New Roman" w:cs="Times New Roman"/>
        </w:rPr>
        <w:t>FI</w:t>
      </w:r>
      <w:r w:rsidR="00872372">
        <w:rPr>
          <w:rFonts w:ascii="Times New Roman" w:hAnsi="Times New Roman" w:cs="Times New Roman"/>
        </w:rPr>
        <w:t xml:space="preserve">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335B53">
        <w:rPr>
          <w:rFonts w:ascii="Times New Roman" w:hAnsi="Times New Roman" w:cs="Times New Roman"/>
        </w:rPr>
        <w:t>3</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w:t>
      </w:r>
      <w:r w:rsidR="00377C36">
        <w:rPr>
          <w:rFonts w:ascii="Times New Roman" w:hAnsi="Times New Roman" w:cs="Times New Roman"/>
        </w:rPr>
        <w:t>food-insecure</w:t>
      </w:r>
      <w:r w:rsidR="0045132D">
        <w:rPr>
          <w:rFonts w:ascii="Times New Roman" w:hAnsi="Times New Roman" w:cs="Times New Roman"/>
        </w:rPr>
        <w:t xml:space="preserv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p>
    <w:p w14:paraId="3EA77C52" w14:textId="4764B7A5" w:rsidR="00AF604F" w:rsidRDefault="008A5234" w:rsidP="005C42F5">
      <w:pPr>
        <w:spacing w:line="360" w:lineRule="auto"/>
        <w:ind w:firstLine="720"/>
        <w:rPr>
          <w:rFonts w:ascii="Times New Roman" w:eastAsiaTheme="minorEastAsia" w:hAnsi="Times New Roman" w:cs="Times New Roman"/>
        </w:rPr>
      </w:pPr>
      <w:r>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w:t>
      </w:r>
      <w:r w:rsidR="00E2638A">
        <w:rPr>
          <w:rFonts w:ascii="Times New Roman" w:hAnsi="Times New Roman" w:cs="Times New Roman"/>
        </w:rPr>
        <w:t xml:space="preserve">one </w:t>
      </w:r>
      <w:r w:rsidR="00F22ED6">
        <w:rPr>
          <w:rFonts w:ascii="Times New Roman" w:hAnsi="Times New Roman" w:cs="Times New Roman"/>
        </w:rPr>
        <w:t xml:space="preserve">standard deviation increase in the score. </w:t>
      </w:r>
      <w:r w:rsidR="00291D99">
        <w:rPr>
          <w:rFonts w:ascii="Times New Roman" w:hAnsi="Times New Roman" w:cs="Times New Roman"/>
        </w:rPr>
        <w:t xml:space="preserve">Within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reduction in the risk of all-cause mortality compared to the first quintile</w:t>
      </w:r>
      <w:r w:rsidR="00FE4324">
        <w:rPr>
          <w:rFonts w:ascii="Times New Roman" w:hAnsi="Times New Roman" w:cs="Times New Roman"/>
        </w:rPr>
        <w:t xml:space="preserve"> with a significant test for </w:t>
      </w:r>
      <w:r w:rsidR="00E2638A">
        <w:rPr>
          <w:rFonts w:ascii="Times New Roman" w:hAnsi="Times New Roman" w:cs="Times New Roman"/>
        </w:rPr>
        <w:t xml:space="preserve">linear </w:t>
      </w:r>
      <w:r w:rsidR="00FE4324">
        <w:rPr>
          <w:rFonts w:ascii="Times New Roman" w:hAnsi="Times New Roman" w:cs="Times New Roman"/>
        </w:rPr>
        <w:t>trend</w:t>
      </w:r>
      <w:r w:rsidR="00291D99">
        <w:rPr>
          <w:rFonts w:ascii="Times New Roman" w:hAnsi="Times New Roman" w:cs="Times New Roman"/>
        </w:rPr>
        <w:t xml:space="preserve">. </w:t>
      </w:r>
      <w:r w:rsidR="004348ED">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sidR="004348ED">
        <w:rPr>
          <w:rFonts w:ascii="Times New Roman" w:hAnsi="Times New Roman" w:cs="Times New Roman"/>
        </w:rPr>
        <w:t xml:space="preserve"> for the </w:t>
      </w:r>
      <w:r w:rsidR="001025E6">
        <w:rPr>
          <w:rFonts w:ascii="Times New Roman" w:hAnsi="Times New Roman" w:cs="Times New Roman"/>
        </w:rPr>
        <w:t>FI</w:t>
      </w:r>
      <w:r w:rsidR="004348ED">
        <w:rPr>
          <w:rFonts w:ascii="Times New Roman" w:hAnsi="Times New Roman" w:cs="Times New Roman"/>
        </w:rPr>
        <w:t xml:space="preserve">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w:t>
      </w:r>
      <w:r w:rsidR="004348ED">
        <w:rPr>
          <w:rFonts w:ascii="Times New Roman" w:hAnsi="Times New Roman" w:cs="Times New Roman"/>
        </w:rPr>
        <w:lastRenderedPageBreak/>
        <w:t xml:space="preserve">of </w:t>
      </w:r>
      <m:oMath>
        <m:r>
          <w:rPr>
            <w:rFonts w:ascii="Cambria Math" w:hAnsi="Cambria Math" w:cs="Times New Roman"/>
          </w:rPr>
          <m:t>α</m:t>
        </m:r>
      </m:oMath>
      <w:r w:rsidR="004348ED">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sidR="004348ED">
        <w:rPr>
          <w:rFonts w:ascii="Times New Roman" w:eastAsiaTheme="minorEastAsia" w:hAnsi="Times New Roman" w:cs="Times New Roman"/>
        </w:rPr>
        <w:t xml:space="preserve">0.05. </w:t>
      </w:r>
      <w:r>
        <w:rPr>
          <w:rFonts w:ascii="Times New Roman" w:eastAsiaTheme="minorEastAsia" w:hAnsi="Times New Roman" w:cs="Times New Roman"/>
        </w:rPr>
        <w:t xml:space="preserve">Considering cardiovascular disease mortality, the effect sizes were close to null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w:t>
      </w:r>
      <w:r w:rsidR="001025E6">
        <w:rPr>
          <w:rFonts w:ascii="Times New Roman" w:eastAsiaTheme="minorEastAsia" w:hAnsi="Times New Roman" w:cs="Times New Roman"/>
        </w:rPr>
        <w:t>1</w:t>
      </w:r>
      <w:r w:rsidR="001B1D50">
        <w:rPr>
          <w:rFonts w:ascii="Times New Roman" w:eastAsiaTheme="minorEastAsia" w:hAnsi="Times New Roman" w:cs="Times New Roman"/>
        </w:rPr>
        <w:t xml:space="preserve">) despite the loss of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w:t>
      </w:r>
      <w:r w:rsidR="001025E6">
        <w:rPr>
          <w:rFonts w:ascii="Times New Roman" w:eastAsiaTheme="minorEastAsia" w:hAnsi="Times New Roman" w:cs="Times New Roman"/>
        </w:rPr>
        <w:t>2</w:t>
      </w:r>
      <w:r w:rsidR="00291D99">
        <w:rPr>
          <w:rFonts w:ascii="Times New Roman" w:eastAsiaTheme="minorEastAsia" w:hAnsi="Times New Roman" w:cs="Times New Roman"/>
        </w:rPr>
        <w:t>)</w:t>
      </w:r>
      <w:r w:rsidR="00D753EF">
        <w:rPr>
          <w:rFonts w:ascii="Times New Roman" w:eastAsiaTheme="minorEastAsia" w:hAnsi="Times New Roman" w:cs="Times New Roman"/>
        </w:rPr>
        <w:t xml:space="preserve">, we found that the association between the </w:t>
      </w:r>
      <w:r w:rsidR="001025E6">
        <w:rPr>
          <w:rFonts w:ascii="Times New Roman" w:eastAsiaTheme="minorEastAsia" w:hAnsi="Times New Roman" w:cs="Times New Roman"/>
        </w:rPr>
        <w:t>FI</w:t>
      </w:r>
      <w:r w:rsidR="00D753EF">
        <w:rPr>
          <w:rFonts w:ascii="Times New Roman" w:eastAsiaTheme="minorEastAsia" w:hAnsi="Times New Roman" w:cs="Times New Roman"/>
        </w:rPr>
        <w:t xml:space="preserve">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 xml:space="preserve">and all-cause mortality </w:t>
      </w:r>
      <w:r w:rsidR="00E2638A">
        <w:rPr>
          <w:rFonts w:ascii="Times New Roman" w:eastAsiaTheme="minorEastAsia" w:hAnsi="Times New Roman" w:cs="Times New Roman"/>
        </w:rPr>
        <w:t xml:space="preserve">were </w:t>
      </w:r>
      <w:r w:rsidR="00551EFA">
        <w:rPr>
          <w:rFonts w:ascii="Times New Roman" w:eastAsiaTheme="minorEastAsia" w:hAnsi="Times New Roman" w:cs="Times New Roman"/>
        </w:rPr>
        <w:t>attenuated towards the null.</w:t>
      </w:r>
    </w:p>
    <w:p w14:paraId="04C87BF4" w14:textId="77777777" w:rsidR="00E64F2F" w:rsidRDefault="00E64F2F" w:rsidP="00387D8D">
      <w:pPr>
        <w:spacing w:line="360" w:lineRule="auto"/>
        <w:rPr>
          <w:rFonts w:ascii="Times New Roman" w:hAnsi="Times New Roman" w:cs="Times New Roman"/>
        </w:rPr>
        <w:sectPr w:rsidR="00E64F2F" w:rsidSect="00687A69">
          <w:pgSz w:w="12240" w:h="15840"/>
          <w:pgMar w:top="1440" w:right="1440" w:bottom="1440" w:left="1440" w:header="720" w:footer="720" w:gutter="0"/>
          <w:cols w:space="720"/>
          <w:docGrid w:linePitch="360"/>
        </w:sectPr>
      </w:pPr>
    </w:p>
    <w:p w14:paraId="3FD81F02" w14:textId="261C9CB0" w:rsidR="00D9498C" w:rsidRDefault="00E64F2F" w:rsidP="00387D8D">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32B3DFB5" wp14:editId="6CD846B8">
                <wp:simplePos x="0" y="0"/>
                <wp:positionH relativeFrom="column">
                  <wp:posOffset>-563880</wp:posOffset>
                </wp:positionH>
                <wp:positionV relativeFrom="paragraph">
                  <wp:posOffset>338</wp:posOffset>
                </wp:positionV>
                <wp:extent cx="9355455" cy="6369931"/>
                <wp:effectExtent l="0" t="0" r="4445" b="5715"/>
                <wp:wrapNone/>
                <wp:docPr id="8" name="Text Box 8"/>
                <wp:cNvGraphicFramePr/>
                <a:graphic xmlns:a="http://schemas.openxmlformats.org/drawingml/2006/main">
                  <a:graphicData uri="http://schemas.microsoft.com/office/word/2010/wordprocessingShape">
                    <wps:wsp>
                      <wps:cNvSpPr txBox="1"/>
                      <wps:spPr>
                        <a:xfrm>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77777777"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DFB5" id="Text Box 8" o:spid="_x0000_s1029" type="#_x0000_t202" style="position:absolute;margin-left:-44.4pt;margin-top:.05pt;width:736.65pt;height:50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77777777"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v:textbox>
              </v:shape>
            </w:pict>
          </mc:Fallback>
        </mc:AlternateContent>
      </w: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C7992D" w:rsidR="00E43C36" w:rsidRDefault="00E43C36" w:rsidP="00D9498C">
      <w:pPr>
        <w:spacing w:line="360" w:lineRule="auto"/>
        <w:ind w:firstLine="720"/>
        <w:rPr>
          <w:rFonts w:ascii="Times New Roman" w:hAnsi="Times New Roman" w:cs="Times New Roman"/>
        </w:rPr>
      </w:pP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50EA975" w:rsidR="00D9498C" w:rsidRDefault="00E64F2F" w:rsidP="00D9498C">
      <w:pPr>
        <w:spacing w:line="360" w:lineRule="auto"/>
        <w:ind w:firstLine="72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1792" behindDoc="0" locked="0" layoutInCell="1" allowOverlap="1" wp14:anchorId="1174E89D" wp14:editId="680AEDFC">
                <wp:simplePos x="0" y="0"/>
                <wp:positionH relativeFrom="column">
                  <wp:posOffset>-719847</wp:posOffset>
                </wp:positionH>
                <wp:positionV relativeFrom="paragraph">
                  <wp:posOffset>0</wp:posOffset>
                </wp:positionV>
                <wp:extent cx="9567545" cy="5257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567545" cy="5257800"/>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E64F2F" w:rsidRPr="00D4402D" w14:paraId="22021783" w14:textId="77777777" w:rsidTr="00AB163E">
                              <w:trPr>
                                <w:trHeight w:val="320"/>
                              </w:trPr>
                              <w:tc>
                                <w:tcPr>
                                  <w:tcW w:w="14845" w:type="dxa"/>
                                  <w:gridSpan w:val="10"/>
                                  <w:noWrap/>
                                  <w:vAlign w:val="center"/>
                                </w:tcPr>
                                <w:p w14:paraId="2199BD5B" w14:textId="77777777" w:rsidR="00E64F2F" w:rsidRPr="004D0389" w:rsidRDefault="00E64F2F"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E64F2F" w:rsidRPr="00D4402D" w14:paraId="47FB02C1" w14:textId="77777777" w:rsidTr="00AB163E">
                              <w:trPr>
                                <w:trHeight w:val="320"/>
                              </w:trPr>
                              <w:tc>
                                <w:tcPr>
                                  <w:tcW w:w="2317" w:type="dxa"/>
                                  <w:noWrap/>
                                  <w:vAlign w:val="center"/>
                                  <w:hideMark/>
                                </w:tcPr>
                                <w:p w14:paraId="454CD30F"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2F49B174"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39298229"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087342A1"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8CFC4E6"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65C17E0C"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4B0D9209"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2A850E3"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E340AB3"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5D8B66FE" w14:textId="77777777" w:rsidR="00E64F2F" w:rsidRPr="001A6E43"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E64F2F" w:rsidRPr="00D4402D" w14:paraId="7CC0811D" w14:textId="77777777" w:rsidTr="00AB163E">
                              <w:trPr>
                                <w:trHeight w:val="320"/>
                              </w:trPr>
                              <w:tc>
                                <w:tcPr>
                                  <w:tcW w:w="14845" w:type="dxa"/>
                                  <w:gridSpan w:val="10"/>
                                  <w:noWrap/>
                                  <w:vAlign w:val="center"/>
                                </w:tcPr>
                                <w:p w14:paraId="03A56FD9"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5C040A2A" w14:textId="77777777" w:rsidTr="00AB163E">
                              <w:trPr>
                                <w:trHeight w:val="320"/>
                              </w:trPr>
                              <w:tc>
                                <w:tcPr>
                                  <w:tcW w:w="2317" w:type="dxa"/>
                                  <w:noWrap/>
                                  <w:vAlign w:val="center"/>
                                  <w:hideMark/>
                                </w:tcPr>
                                <w:p w14:paraId="002638F7"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563FFEB"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785DD04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20D4B2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309ED8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7EE9B79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673434F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58E14C09"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562EE0B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5F6FB87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85</w:t>
                                  </w:r>
                                </w:p>
                              </w:tc>
                            </w:tr>
                            <w:tr w:rsidR="00E64F2F" w:rsidRPr="00D4402D" w14:paraId="72C861E0" w14:textId="77777777" w:rsidTr="00AB163E">
                              <w:trPr>
                                <w:trHeight w:val="320"/>
                              </w:trPr>
                              <w:tc>
                                <w:tcPr>
                                  <w:tcW w:w="2317" w:type="dxa"/>
                                  <w:noWrap/>
                                  <w:vAlign w:val="center"/>
                                  <w:hideMark/>
                                </w:tcPr>
                                <w:p w14:paraId="2206C6CD"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9055C4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DB1ACF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0444665B"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4F176B8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084016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7337194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23D15D2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31EEBEF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2F1FD20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w:t>
                                  </w:r>
                                  <w:r>
                                    <w:rPr>
                                      <w:rFonts w:ascii="Times New Roman" w:hAnsi="Times New Roman" w:cs="Times New Roman"/>
                                      <w:color w:val="000000"/>
                                      <w:sz w:val="20"/>
                                      <w:szCs w:val="20"/>
                                    </w:rPr>
                                    <w:t>1</w:t>
                                  </w:r>
                                </w:p>
                              </w:tc>
                            </w:tr>
                            <w:tr w:rsidR="00E64F2F" w:rsidRPr="00D4402D" w14:paraId="28AB2213" w14:textId="77777777" w:rsidTr="00AB163E">
                              <w:trPr>
                                <w:trHeight w:val="320"/>
                              </w:trPr>
                              <w:tc>
                                <w:tcPr>
                                  <w:tcW w:w="2317" w:type="dxa"/>
                                  <w:noWrap/>
                                  <w:vAlign w:val="center"/>
                                  <w:hideMark/>
                                </w:tcPr>
                                <w:p w14:paraId="0C5FD5B3"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395E94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9240E6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74A7B89"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720DF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158F66D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96A493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3D86778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6AA5302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5E34BFB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57</w:t>
                                  </w:r>
                                </w:p>
                              </w:tc>
                            </w:tr>
                            <w:tr w:rsidR="00E64F2F" w:rsidRPr="00D4402D" w14:paraId="0410A889" w14:textId="77777777" w:rsidTr="00AB163E">
                              <w:trPr>
                                <w:trHeight w:val="320"/>
                              </w:trPr>
                              <w:tc>
                                <w:tcPr>
                                  <w:tcW w:w="2317" w:type="dxa"/>
                                  <w:noWrap/>
                                  <w:vAlign w:val="center"/>
                                  <w:hideMark/>
                                </w:tcPr>
                                <w:p w14:paraId="484709E5"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8536B9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541C3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CCB039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03562FC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1C745A76"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6BF20E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5D5F2FE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27BDFB9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3E6A036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57</w:t>
                                  </w:r>
                                </w:p>
                              </w:tc>
                            </w:tr>
                            <w:tr w:rsidR="00E64F2F" w:rsidRPr="00D4402D" w14:paraId="09CEA4F4" w14:textId="77777777" w:rsidTr="00AB163E">
                              <w:trPr>
                                <w:trHeight w:val="320"/>
                              </w:trPr>
                              <w:tc>
                                <w:tcPr>
                                  <w:tcW w:w="2317" w:type="dxa"/>
                                  <w:noWrap/>
                                  <w:vAlign w:val="center"/>
                                  <w:hideMark/>
                                </w:tcPr>
                                <w:p w14:paraId="0E1E52C2" w14:textId="77777777" w:rsidR="00E64F2F" w:rsidRPr="00D4402D" w:rsidRDefault="00E64F2F"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C599EC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52D7BB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CEF9DC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1F85B38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674493F6"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4CED295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58F5A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0CD5073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6381E8D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96</w:t>
                                  </w:r>
                                </w:p>
                              </w:tc>
                            </w:tr>
                            <w:tr w:rsidR="00E64F2F" w:rsidRPr="00D4402D" w14:paraId="326322E5" w14:textId="77777777" w:rsidTr="00AB163E">
                              <w:trPr>
                                <w:trHeight w:val="320"/>
                              </w:trPr>
                              <w:tc>
                                <w:tcPr>
                                  <w:tcW w:w="2317" w:type="dxa"/>
                                  <w:noWrap/>
                                  <w:vAlign w:val="center"/>
                                  <w:hideMark/>
                                </w:tcPr>
                                <w:p w14:paraId="579AC921" w14:textId="77777777" w:rsidR="00E64F2F" w:rsidRPr="00D4402D" w:rsidRDefault="00E64F2F"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822E26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D55A84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A263BA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7CA8F6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20EBCB9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10ED442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795C7B2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6BECC7E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75BEC39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42</w:t>
                                  </w:r>
                                </w:p>
                              </w:tc>
                            </w:tr>
                            <w:tr w:rsidR="00E64F2F" w:rsidRPr="00D4402D" w14:paraId="191ADA3D" w14:textId="77777777" w:rsidTr="00AB163E">
                              <w:trPr>
                                <w:trHeight w:val="320"/>
                              </w:trPr>
                              <w:tc>
                                <w:tcPr>
                                  <w:tcW w:w="14845" w:type="dxa"/>
                                  <w:gridSpan w:val="10"/>
                                  <w:noWrap/>
                                  <w:vAlign w:val="center"/>
                                </w:tcPr>
                                <w:p w14:paraId="203E8256"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4D0389" w14:paraId="72A83D3C" w14:textId="77777777" w:rsidTr="00AB163E">
                              <w:trPr>
                                <w:trHeight w:val="320"/>
                              </w:trPr>
                              <w:tc>
                                <w:tcPr>
                                  <w:tcW w:w="2317" w:type="dxa"/>
                                  <w:noWrap/>
                                  <w:vAlign w:val="center"/>
                                  <w:hideMark/>
                                </w:tcPr>
                                <w:p w14:paraId="36330418"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5E30CD7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146D8F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5FD94C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4C41807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7EA3DD6"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4052DDB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4611487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2015EEE6"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47AB61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w:t>
                                  </w:r>
                                  <w:r>
                                    <w:rPr>
                                      <w:rFonts w:ascii="Times New Roman" w:hAnsi="Times New Roman" w:cs="Times New Roman"/>
                                      <w:color w:val="000000"/>
                                      <w:sz w:val="20"/>
                                      <w:szCs w:val="20"/>
                                    </w:rPr>
                                    <w:t>9</w:t>
                                  </w:r>
                                </w:p>
                              </w:tc>
                            </w:tr>
                            <w:tr w:rsidR="00E64F2F" w:rsidRPr="004D0389" w14:paraId="06867C35" w14:textId="77777777" w:rsidTr="00AB163E">
                              <w:trPr>
                                <w:trHeight w:val="320"/>
                              </w:trPr>
                              <w:tc>
                                <w:tcPr>
                                  <w:tcW w:w="2317" w:type="dxa"/>
                                  <w:noWrap/>
                                  <w:vAlign w:val="center"/>
                                  <w:hideMark/>
                                </w:tcPr>
                                <w:p w14:paraId="3B421F6F"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2BCA9E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ACE24A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1612E0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68308D9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29B42CF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002E2DD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6A25639"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1CD2818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52BF0DE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85</w:t>
                                  </w:r>
                                </w:p>
                              </w:tc>
                            </w:tr>
                            <w:tr w:rsidR="00E64F2F" w:rsidRPr="004D0389" w14:paraId="0FD2CF42" w14:textId="77777777" w:rsidTr="00AB163E">
                              <w:trPr>
                                <w:trHeight w:val="320"/>
                              </w:trPr>
                              <w:tc>
                                <w:tcPr>
                                  <w:tcW w:w="2317" w:type="dxa"/>
                                  <w:noWrap/>
                                  <w:vAlign w:val="center"/>
                                  <w:hideMark/>
                                </w:tcPr>
                                <w:p w14:paraId="7057A81C"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DD9367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10BCD59"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CD19FE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10EF5EB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4A10922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78C2D00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64B4A1A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00AA1AD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8D3C90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85</w:t>
                                  </w:r>
                                </w:p>
                              </w:tc>
                            </w:tr>
                            <w:tr w:rsidR="00E64F2F" w:rsidRPr="004D0389" w14:paraId="04CB836B" w14:textId="77777777" w:rsidTr="00AB163E">
                              <w:trPr>
                                <w:trHeight w:val="320"/>
                              </w:trPr>
                              <w:tc>
                                <w:tcPr>
                                  <w:tcW w:w="2317" w:type="dxa"/>
                                  <w:noWrap/>
                                  <w:vAlign w:val="center"/>
                                  <w:hideMark/>
                                </w:tcPr>
                                <w:p w14:paraId="2565D62E"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4ED6719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3CFE1D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17D79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12B57CB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577E444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220F5DA6"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42885FB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04CC514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2D572FA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86</w:t>
                                  </w:r>
                                </w:p>
                              </w:tc>
                            </w:tr>
                            <w:tr w:rsidR="00E64F2F" w:rsidRPr="004D0389" w14:paraId="026A5883" w14:textId="77777777" w:rsidTr="00AB163E">
                              <w:trPr>
                                <w:trHeight w:val="320"/>
                              </w:trPr>
                              <w:tc>
                                <w:tcPr>
                                  <w:tcW w:w="2317" w:type="dxa"/>
                                  <w:noWrap/>
                                  <w:vAlign w:val="center"/>
                                  <w:hideMark/>
                                </w:tcPr>
                                <w:p w14:paraId="0E7D5560" w14:textId="77777777" w:rsidR="00E64F2F" w:rsidRPr="00D4402D" w:rsidRDefault="00E64F2F"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40EB8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A97DDC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F24D9D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03C4E05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32DE88E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1E35C01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F17B7A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1BEC83F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5B8E6FF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65</w:t>
                                  </w:r>
                                </w:p>
                              </w:tc>
                            </w:tr>
                            <w:tr w:rsidR="00E64F2F" w:rsidRPr="004D0389" w14:paraId="19A0B07E" w14:textId="77777777" w:rsidTr="00AB163E">
                              <w:trPr>
                                <w:trHeight w:val="320"/>
                              </w:trPr>
                              <w:tc>
                                <w:tcPr>
                                  <w:tcW w:w="2317" w:type="dxa"/>
                                  <w:noWrap/>
                                  <w:vAlign w:val="center"/>
                                  <w:hideMark/>
                                </w:tcPr>
                                <w:p w14:paraId="44D23DC8" w14:textId="77777777" w:rsidR="00E64F2F" w:rsidRPr="00D4402D" w:rsidRDefault="00E64F2F"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5098F13B"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66B518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2393D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25EC6DB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A3AA71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372885A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289D2EC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3117E4C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7CB07C6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53</w:t>
                                  </w:r>
                                </w:p>
                              </w:tc>
                            </w:tr>
                            <w:tr w:rsidR="00E64F2F" w:rsidRPr="004D0389" w14:paraId="38D8A220" w14:textId="77777777" w:rsidTr="00AB163E">
                              <w:trPr>
                                <w:trHeight w:val="320"/>
                              </w:trPr>
                              <w:tc>
                                <w:tcPr>
                                  <w:tcW w:w="14845" w:type="dxa"/>
                                  <w:gridSpan w:val="10"/>
                                  <w:noWrap/>
                                  <w:vAlign w:val="center"/>
                                </w:tcPr>
                                <w:p w14:paraId="449F9309" w14:textId="77777777" w:rsidR="00E64F2F" w:rsidRPr="004D0389" w:rsidRDefault="00E64F2F"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E64F2F" w:rsidRPr="00D4402D" w14:paraId="29EE0822" w14:textId="77777777" w:rsidTr="00AB163E">
                              <w:trPr>
                                <w:trHeight w:val="320"/>
                              </w:trPr>
                              <w:tc>
                                <w:tcPr>
                                  <w:tcW w:w="14845" w:type="dxa"/>
                                  <w:gridSpan w:val="10"/>
                                  <w:tcBorders>
                                    <w:left w:val="nil"/>
                                    <w:bottom w:val="nil"/>
                                    <w:right w:val="nil"/>
                                  </w:tcBorders>
                                  <w:noWrap/>
                                  <w:vAlign w:val="center"/>
                                </w:tcPr>
                                <w:p w14:paraId="69D08801" w14:textId="77777777" w:rsidR="00E64F2F" w:rsidRPr="00173966" w:rsidRDefault="00E64F2F"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7FFE7B28" w14:textId="77777777" w:rsidR="00E64F2F" w:rsidRDefault="00E64F2F"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60C7A3D7" w14:textId="77777777" w:rsidR="00E64F2F" w:rsidRDefault="00E64F2F"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65E5681D" w14:textId="77777777" w:rsidR="00E64F2F" w:rsidRDefault="00E64F2F"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2CD807CA"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6AF8F65"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Survival estimates for cardiovascular disease mortality were not estimable given issues with convergence of the optimizer as a result of the relatively low number of events in the risk set.</w:t>
                                  </w:r>
                                </w:p>
                                <w:p w14:paraId="481D0CAD" w14:textId="77777777" w:rsidR="00E64F2F" w:rsidRDefault="00E64F2F" w:rsidP="00D84DC3">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C710503" w14:textId="11F7E489" w:rsidR="003A60E7" w:rsidRDefault="003A60E7" w:rsidP="00D84DC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D7C33C6" w14:textId="77777777" w:rsidR="00E64F2F" w:rsidRPr="00173966" w:rsidRDefault="00E64F2F" w:rsidP="00D9498C">
                                  <w:pPr>
                                    <w:rPr>
                                      <w:rFonts w:ascii="Times New Roman" w:hAnsi="Times New Roman" w:cs="Times New Roman"/>
                                      <w:b/>
                                      <w:bCs/>
                                      <w:sz w:val="20"/>
                                      <w:szCs w:val="20"/>
                                      <w:lang w:bidi="en-US"/>
                                    </w:rPr>
                                  </w:pPr>
                                </w:p>
                                <w:p w14:paraId="40DAEE20" w14:textId="77777777" w:rsidR="00E64F2F" w:rsidRPr="001A6E43" w:rsidRDefault="00E64F2F" w:rsidP="00D9498C">
                                  <w:pPr>
                                    <w:rPr>
                                      <w:rFonts w:ascii="Times New Roman" w:hAnsi="Times New Roman" w:cs="Times New Roman"/>
                                      <w:sz w:val="20"/>
                                      <w:szCs w:val="20"/>
                                    </w:rPr>
                                  </w:pPr>
                                </w:p>
                              </w:tc>
                            </w:tr>
                          </w:tbl>
                          <w:p w14:paraId="2BBAD745"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E89D" id="Text Box 7" o:spid="_x0000_s1030" type="#_x0000_t202" style="position:absolute;left:0;text-align:left;margin-left:-56.7pt;margin-top:0;width:753.35pt;height:4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E64F2F" w:rsidRPr="00D4402D" w14:paraId="22021783" w14:textId="77777777" w:rsidTr="00AB163E">
                        <w:trPr>
                          <w:trHeight w:val="320"/>
                        </w:trPr>
                        <w:tc>
                          <w:tcPr>
                            <w:tcW w:w="14845" w:type="dxa"/>
                            <w:gridSpan w:val="10"/>
                            <w:noWrap/>
                            <w:vAlign w:val="center"/>
                          </w:tcPr>
                          <w:p w14:paraId="2199BD5B" w14:textId="77777777" w:rsidR="00E64F2F" w:rsidRPr="004D0389" w:rsidRDefault="00E64F2F"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E64F2F" w:rsidRPr="00D4402D" w14:paraId="47FB02C1" w14:textId="77777777" w:rsidTr="00AB163E">
                        <w:trPr>
                          <w:trHeight w:val="320"/>
                        </w:trPr>
                        <w:tc>
                          <w:tcPr>
                            <w:tcW w:w="2317" w:type="dxa"/>
                            <w:noWrap/>
                            <w:vAlign w:val="center"/>
                            <w:hideMark/>
                          </w:tcPr>
                          <w:p w14:paraId="454CD30F"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2F49B174"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39298229"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087342A1"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8CFC4E6"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65C17E0C"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4B0D9209"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2A850E3"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E340AB3"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5D8B66FE" w14:textId="77777777" w:rsidR="00E64F2F" w:rsidRPr="001A6E43"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E64F2F" w:rsidRPr="00D4402D" w14:paraId="7CC0811D" w14:textId="77777777" w:rsidTr="00AB163E">
                        <w:trPr>
                          <w:trHeight w:val="320"/>
                        </w:trPr>
                        <w:tc>
                          <w:tcPr>
                            <w:tcW w:w="14845" w:type="dxa"/>
                            <w:gridSpan w:val="10"/>
                            <w:noWrap/>
                            <w:vAlign w:val="center"/>
                          </w:tcPr>
                          <w:p w14:paraId="03A56FD9"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5C040A2A" w14:textId="77777777" w:rsidTr="00AB163E">
                        <w:trPr>
                          <w:trHeight w:val="320"/>
                        </w:trPr>
                        <w:tc>
                          <w:tcPr>
                            <w:tcW w:w="2317" w:type="dxa"/>
                            <w:noWrap/>
                            <w:vAlign w:val="center"/>
                            <w:hideMark/>
                          </w:tcPr>
                          <w:p w14:paraId="002638F7"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563FFEB"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785DD04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20D4B2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309ED8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7EE9B79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673434F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58E14C09"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562EE0B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5F6FB87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85</w:t>
                            </w:r>
                          </w:p>
                        </w:tc>
                      </w:tr>
                      <w:tr w:rsidR="00E64F2F" w:rsidRPr="00D4402D" w14:paraId="72C861E0" w14:textId="77777777" w:rsidTr="00AB163E">
                        <w:trPr>
                          <w:trHeight w:val="320"/>
                        </w:trPr>
                        <w:tc>
                          <w:tcPr>
                            <w:tcW w:w="2317" w:type="dxa"/>
                            <w:noWrap/>
                            <w:vAlign w:val="center"/>
                            <w:hideMark/>
                          </w:tcPr>
                          <w:p w14:paraId="2206C6CD"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9055C4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DB1ACF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0444665B"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4F176B8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084016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7337194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23D15D2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31EEBEF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2F1FD20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w:t>
                            </w:r>
                            <w:r>
                              <w:rPr>
                                <w:rFonts w:ascii="Times New Roman" w:hAnsi="Times New Roman" w:cs="Times New Roman"/>
                                <w:color w:val="000000"/>
                                <w:sz w:val="20"/>
                                <w:szCs w:val="20"/>
                              </w:rPr>
                              <w:t>1</w:t>
                            </w:r>
                          </w:p>
                        </w:tc>
                      </w:tr>
                      <w:tr w:rsidR="00E64F2F" w:rsidRPr="00D4402D" w14:paraId="28AB2213" w14:textId="77777777" w:rsidTr="00AB163E">
                        <w:trPr>
                          <w:trHeight w:val="320"/>
                        </w:trPr>
                        <w:tc>
                          <w:tcPr>
                            <w:tcW w:w="2317" w:type="dxa"/>
                            <w:noWrap/>
                            <w:vAlign w:val="center"/>
                            <w:hideMark/>
                          </w:tcPr>
                          <w:p w14:paraId="0C5FD5B3"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395E94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9240E6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74A7B89"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720DF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158F66D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96A493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3D86778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6AA5302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5E34BFB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57</w:t>
                            </w:r>
                          </w:p>
                        </w:tc>
                      </w:tr>
                      <w:tr w:rsidR="00E64F2F" w:rsidRPr="00D4402D" w14:paraId="0410A889" w14:textId="77777777" w:rsidTr="00AB163E">
                        <w:trPr>
                          <w:trHeight w:val="320"/>
                        </w:trPr>
                        <w:tc>
                          <w:tcPr>
                            <w:tcW w:w="2317" w:type="dxa"/>
                            <w:noWrap/>
                            <w:vAlign w:val="center"/>
                            <w:hideMark/>
                          </w:tcPr>
                          <w:p w14:paraId="484709E5"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8536B9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541C3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CCB039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03562FC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1C745A76"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6BF20E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5D5F2FE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27BDFB9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3E6A036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57</w:t>
                            </w:r>
                          </w:p>
                        </w:tc>
                      </w:tr>
                      <w:tr w:rsidR="00E64F2F" w:rsidRPr="00D4402D" w14:paraId="09CEA4F4" w14:textId="77777777" w:rsidTr="00AB163E">
                        <w:trPr>
                          <w:trHeight w:val="320"/>
                        </w:trPr>
                        <w:tc>
                          <w:tcPr>
                            <w:tcW w:w="2317" w:type="dxa"/>
                            <w:noWrap/>
                            <w:vAlign w:val="center"/>
                            <w:hideMark/>
                          </w:tcPr>
                          <w:p w14:paraId="0E1E52C2" w14:textId="77777777" w:rsidR="00E64F2F" w:rsidRPr="00D4402D" w:rsidRDefault="00E64F2F"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C599EC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52D7BB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CEF9DC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1F85B38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674493F6"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4CED295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58F5A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0CD5073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6381E8D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96</w:t>
                            </w:r>
                          </w:p>
                        </w:tc>
                      </w:tr>
                      <w:tr w:rsidR="00E64F2F" w:rsidRPr="00D4402D" w14:paraId="326322E5" w14:textId="77777777" w:rsidTr="00AB163E">
                        <w:trPr>
                          <w:trHeight w:val="320"/>
                        </w:trPr>
                        <w:tc>
                          <w:tcPr>
                            <w:tcW w:w="2317" w:type="dxa"/>
                            <w:noWrap/>
                            <w:vAlign w:val="center"/>
                            <w:hideMark/>
                          </w:tcPr>
                          <w:p w14:paraId="579AC921" w14:textId="77777777" w:rsidR="00E64F2F" w:rsidRPr="00D4402D" w:rsidRDefault="00E64F2F"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822E26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D55A84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A263BA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7CA8F6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20EBCB9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10ED442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795C7B2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6BECC7E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75BEC39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42</w:t>
                            </w:r>
                          </w:p>
                        </w:tc>
                      </w:tr>
                      <w:tr w:rsidR="00E64F2F" w:rsidRPr="00D4402D" w14:paraId="191ADA3D" w14:textId="77777777" w:rsidTr="00AB163E">
                        <w:trPr>
                          <w:trHeight w:val="320"/>
                        </w:trPr>
                        <w:tc>
                          <w:tcPr>
                            <w:tcW w:w="14845" w:type="dxa"/>
                            <w:gridSpan w:val="10"/>
                            <w:noWrap/>
                            <w:vAlign w:val="center"/>
                          </w:tcPr>
                          <w:p w14:paraId="203E8256"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4D0389" w14:paraId="72A83D3C" w14:textId="77777777" w:rsidTr="00AB163E">
                        <w:trPr>
                          <w:trHeight w:val="320"/>
                        </w:trPr>
                        <w:tc>
                          <w:tcPr>
                            <w:tcW w:w="2317" w:type="dxa"/>
                            <w:noWrap/>
                            <w:vAlign w:val="center"/>
                            <w:hideMark/>
                          </w:tcPr>
                          <w:p w14:paraId="36330418"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5E30CD7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146D8F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5FD94C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4C41807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7EA3DD6"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4052DDB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4611487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2015EEE6"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47AB61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w:t>
                            </w:r>
                            <w:r>
                              <w:rPr>
                                <w:rFonts w:ascii="Times New Roman" w:hAnsi="Times New Roman" w:cs="Times New Roman"/>
                                <w:color w:val="000000"/>
                                <w:sz w:val="20"/>
                                <w:szCs w:val="20"/>
                              </w:rPr>
                              <w:t>9</w:t>
                            </w:r>
                          </w:p>
                        </w:tc>
                      </w:tr>
                      <w:tr w:rsidR="00E64F2F" w:rsidRPr="004D0389" w14:paraId="06867C35" w14:textId="77777777" w:rsidTr="00AB163E">
                        <w:trPr>
                          <w:trHeight w:val="320"/>
                        </w:trPr>
                        <w:tc>
                          <w:tcPr>
                            <w:tcW w:w="2317" w:type="dxa"/>
                            <w:noWrap/>
                            <w:vAlign w:val="center"/>
                            <w:hideMark/>
                          </w:tcPr>
                          <w:p w14:paraId="3B421F6F"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2BCA9E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ACE24A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1612E0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68308D9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29B42CF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002E2DD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6A25639"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1CD2818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52BF0DE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85</w:t>
                            </w:r>
                          </w:p>
                        </w:tc>
                      </w:tr>
                      <w:tr w:rsidR="00E64F2F" w:rsidRPr="004D0389" w14:paraId="0FD2CF42" w14:textId="77777777" w:rsidTr="00AB163E">
                        <w:trPr>
                          <w:trHeight w:val="320"/>
                        </w:trPr>
                        <w:tc>
                          <w:tcPr>
                            <w:tcW w:w="2317" w:type="dxa"/>
                            <w:noWrap/>
                            <w:vAlign w:val="center"/>
                            <w:hideMark/>
                          </w:tcPr>
                          <w:p w14:paraId="7057A81C"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DD9367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10BCD59"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CD19FE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10EF5EB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4A10922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78C2D00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64B4A1A5"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00AA1AD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8D3C90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85</w:t>
                            </w:r>
                          </w:p>
                        </w:tc>
                      </w:tr>
                      <w:tr w:rsidR="00E64F2F" w:rsidRPr="004D0389" w14:paraId="04CB836B" w14:textId="77777777" w:rsidTr="00AB163E">
                        <w:trPr>
                          <w:trHeight w:val="320"/>
                        </w:trPr>
                        <w:tc>
                          <w:tcPr>
                            <w:tcW w:w="2317" w:type="dxa"/>
                            <w:noWrap/>
                            <w:vAlign w:val="center"/>
                            <w:hideMark/>
                          </w:tcPr>
                          <w:p w14:paraId="2565D62E"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4ED6719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3CFE1D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17D79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12B57CB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577E444F"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220F5DA6"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42885FB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04CC514A"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2D572FA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86</w:t>
                            </w:r>
                          </w:p>
                        </w:tc>
                      </w:tr>
                      <w:tr w:rsidR="00E64F2F" w:rsidRPr="004D0389" w14:paraId="026A5883" w14:textId="77777777" w:rsidTr="00AB163E">
                        <w:trPr>
                          <w:trHeight w:val="320"/>
                        </w:trPr>
                        <w:tc>
                          <w:tcPr>
                            <w:tcW w:w="2317" w:type="dxa"/>
                            <w:noWrap/>
                            <w:vAlign w:val="center"/>
                            <w:hideMark/>
                          </w:tcPr>
                          <w:p w14:paraId="0E7D5560" w14:textId="77777777" w:rsidR="00E64F2F" w:rsidRPr="00D4402D" w:rsidRDefault="00E64F2F"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40EB8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A97DDC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F24D9D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03C4E05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32DE88E0"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1E35C01C"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F17B7A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1BEC83F1"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5B8E6FF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65</w:t>
                            </w:r>
                          </w:p>
                        </w:tc>
                      </w:tr>
                      <w:tr w:rsidR="00E64F2F" w:rsidRPr="004D0389" w14:paraId="19A0B07E" w14:textId="77777777" w:rsidTr="00AB163E">
                        <w:trPr>
                          <w:trHeight w:val="320"/>
                        </w:trPr>
                        <w:tc>
                          <w:tcPr>
                            <w:tcW w:w="2317" w:type="dxa"/>
                            <w:noWrap/>
                            <w:vAlign w:val="center"/>
                            <w:hideMark/>
                          </w:tcPr>
                          <w:p w14:paraId="44D23DC8" w14:textId="77777777" w:rsidR="00E64F2F" w:rsidRPr="00D4402D" w:rsidRDefault="00E64F2F"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5098F13B"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66B5188"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2393D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25EC6DBD"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A3AA713"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372885AE"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289D2EC4"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3117E4C7"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7CB07C62" w14:textId="77777777" w:rsidR="00E64F2F" w:rsidRPr="004D0389" w:rsidRDefault="00E64F2F"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w:t>
                            </w:r>
                            <w:r>
                              <w:rPr>
                                <w:rFonts w:ascii="Times New Roman" w:hAnsi="Times New Roman" w:cs="Times New Roman"/>
                                <w:color w:val="000000"/>
                                <w:sz w:val="20"/>
                                <w:szCs w:val="20"/>
                              </w:rPr>
                              <w:t>53</w:t>
                            </w:r>
                          </w:p>
                        </w:tc>
                      </w:tr>
                      <w:tr w:rsidR="00E64F2F" w:rsidRPr="004D0389" w14:paraId="38D8A220" w14:textId="77777777" w:rsidTr="00AB163E">
                        <w:trPr>
                          <w:trHeight w:val="320"/>
                        </w:trPr>
                        <w:tc>
                          <w:tcPr>
                            <w:tcW w:w="14845" w:type="dxa"/>
                            <w:gridSpan w:val="10"/>
                            <w:noWrap/>
                            <w:vAlign w:val="center"/>
                          </w:tcPr>
                          <w:p w14:paraId="449F9309" w14:textId="77777777" w:rsidR="00E64F2F" w:rsidRPr="004D0389" w:rsidRDefault="00E64F2F"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E64F2F" w:rsidRPr="00D4402D" w14:paraId="29EE0822" w14:textId="77777777" w:rsidTr="00AB163E">
                        <w:trPr>
                          <w:trHeight w:val="320"/>
                        </w:trPr>
                        <w:tc>
                          <w:tcPr>
                            <w:tcW w:w="14845" w:type="dxa"/>
                            <w:gridSpan w:val="10"/>
                            <w:tcBorders>
                              <w:left w:val="nil"/>
                              <w:bottom w:val="nil"/>
                              <w:right w:val="nil"/>
                            </w:tcBorders>
                            <w:noWrap/>
                            <w:vAlign w:val="center"/>
                          </w:tcPr>
                          <w:p w14:paraId="69D08801" w14:textId="77777777" w:rsidR="00E64F2F" w:rsidRPr="00173966" w:rsidRDefault="00E64F2F"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7FFE7B28" w14:textId="77777777" w:rsidR="00E64F2F" w:rsidRDefault="00E64F2F"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60C7A3D7" w14:textId="77777777" w:rsidR="00E64F2F" w:rsidRDefault="00E64F2F"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65E5681D" w14:textId="77777777" w:rsidR="00E64F2F" w:rsidRDefault="00E64F2F"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2CD807CA"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6AF8F65"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Survival estimates for cardiovascular disease mortality were not estimable given issues with convergence of the optimizer as a result of the relatively low number of events in the risk set.</w:t>
                            </w:r>
                          </w:p>
                          <w:p w14:paraId="481D0CAD" w14:textId="77777777" w:rsidR="00E64F2F" w:rsidRDefault="00E64F2F" w:rsidP="00D84DC3">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C710503" w14:textId="11F7E489" w:rsidR="003A60E7" w:rsidRDefault="003A60E7" w:rsidP="00D84DC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D7C33C6" w14:textId="77777777" w:rsidR="00E64F2F" w:rsidRPr="00173966" w:rsidRDefault="00E64F2F" w:rsidP="00D9498C">
                            <w:pPr>
                              <w:rPr>
                                <w:rFonts w:ascii="Times New Roman" w:hAnsi="Times New Roman" w:cs="Times New Roman"/>
                                <w:b/>
                                <w:bCs/>
                                <w:sz w:val="20"/>
                                <w:szCs w:val="20"/>
                                <w:lang w:bidi="en-US"/>
                              </w:rPr>
                            </w:pPr>
                          </w:p>
                          <w:p w14:paraId="40DAEE20" w14:textId="77777777" w:rsidR="00E64F2F" w:rsidRPr="001A6E43" w:rsidRDefault="00E64F2F" w:rsidP="00D9498C">
                            <w:pPr>
                              <w:rPr>
                                <w:rFonts w:ascii="Times New Roman" w:hAnsi="Times New Roman" w:cs="Times New Roman"/>
                                <w:sz w:val="20"/>
                                <w:szCs w:val="20"/>
                              </w:rPr>
                            </w:pPr>
                          </w:p>
                        </w:tc>
                      </w:tr>
                    </w:tbl>
                    <w:p w14:paraId="2BBAD745" w14:textId="77777777" w:rsidR="00E64F2F" w:rsidRDefault="00E64F2F" w:rsidP="00E64F2F"/>
                  </w:txbxContent>
                </v:textbox>
              </v:shape>
            </w:pict>
          </mc:Fallback>
        </mc:AlternateContent>
      </w:r>
    </w:p>
    <w:p w14:paraId="6BE48948" w14:textId="6422C6E1" w:rsidR="00D9498C" w:rsidRDefault="00D9498C" w:rsidP="00D9498C">
      <w:pPr>
        <w:spacing w:line="360" w:lineRule="auto"/>
        <w:ind w:firstLine="720"/>
        <w:rPr>
          <w:rFonts w:ascii="Times New Roman" w:hAnsi="Times New Roman" w:cs="Times New Roman"/>
        </w:rPr>
      </w:pPr>
    </w:p>
    <w:p w14:paraId="1FD41F3E" w14:textId="4C8713C7"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06921BA9" w:rsidR="00D9498C" w:rsidRDefault="00D9498C" w:rsidP="00D9498C">
      <w:pPr>
        <w:spacing w:line="360" w:lineRule="auto"/>
        <w:ind w:firstLine="720"/>
        <w:rPr>
          <w:rFonts w:ascii="Times New Roman" w:hAnsi="Times New Roman" w:cs="Times New Roman"/>
        </w:rPr>
      </w:pPr>
    </w:p>
    <w:p w14:paraId="3EF41952" w14:textId="67C81ADB" w:rsidR="00D9498C" w:rsidRDefault="00D9498C" w:rsidP="00D9498C">
      <w:pPr>
        <w:spacing w:line="360" w:lineRule="auto"/>
        <w:ind w:firstLine="720"/>
        <w:rPr>
          <w:rFonts w:ascii="Times New Roman" w:hAnsi="Times New Roman" w:cs="Times New Roman"/>
        </w:rPr>
      </w:pP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0C5B88A7" w14:textId="77777777" w:rsidR="00E64F2F" w:rsidRDefault="00E64F2F" w:rsidP="00E64F2F">
      <w:pPr>
        <w:spacing w:line="360" w:lineRule="auto"/>
        <w:rPr>
          <w:rFonts w:ascii="Times New Roman" w:hAnsi="Times New Roman" w:cs="Times New Roman"/>
        </w:rPr>
        <w:sectPr w:rsidR="00E64F2F" w:rsidSect="00E64F2F">
          <w:pgSz w:w="15840" w:h="12240" w:orient="landscape"/>
          <w:pgMar w:top="1440" w:right="1440" w:bottom="1440" w:left="1440" w:header="720" w:footer="720" w:gutter="0"/>
          <w:cols w:space="720"/>
          <w:docGrid w:linePitch="360"/>
        </w:sectPr>
      </w:pPr>
    </w:p>
    <w:p w14:paraId="0EF2E416" w14:textId="6EF7C153" w:rsidR="004D0389" w:rsidRDefault="00E64F2F" w:rsidP="00E64F2F">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5C723575">
                <wp:simplePos x="0" y="0"/>
                <wp:positionH relativeFrom="column">
                  <wp:posOffset>455930</wp:posOffset>
                </wp:positionH>
                <wp:positionV relativeFrom="paragraph">
                  <wp:posOffset>5242560</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618C41F3"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31" type="#_x0000_t202" style="position:absolute;margin-left:35.9pt;margin-top:412.8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" stroked="f">
                <v:textbox style="mso-fit-shape-to-text:t" inset="0,0,0,0">
                  <w:txbxContent>
                    <w:p w14:paraId="7FB55D90" w14:textId="618C41F3"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w:drawing>
          <wp:anchor distT="0" distB="0" distL="114300" distR="114300" simplePos="0" relativeHeight="251677696" behindDoc="0" locked="0" layoutInCell="1" allowOverlap="1" wp14:anchorId="1F762D04" wp14:editId="6DE530D1">
            <wp:simplePos x="0" y="0"/>
            <wp:positionH relativeFrom="column">
              <wp:posOffset>-116840</wp:posOffset>
            </wp:positionH>
            <wp:positionV relativeFrom="paragraph">
              <wp:posOffset>243</wp:posOffset>
            </wp:positionV>
            <wp:extent cx="6361430" cy="5247005"/>
            <wp:effectExtent l="0" t="0" r="1270" b="0"/>
            <wp:wrapSquare wrapText="bothSides"/>
            <wp:docPr id="17416893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89362" name="Picture 174168936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1430" cy="5247005"/>
                    </a:xfrm>
                    <a:prstGeom prst="rect">
                      <a:avLst/>
                    </a:prstGeom>
                  </pic:spPr>
                </pic:pic>
              </a:graphicData>
            </a:graphic>
            <wp14:sizeRelH relativeFrom="page">
              <wp14:pctWidth>0</wp14:pctWidth>
            </wp14:sizeRelH>
            <wp14:sizeRelV relativeFrom="page">
              <wp14:pctHeight>0</wp14:pctHeight>
            </wp14:sizeRelV>
          </wp:anchor>
        </w:drawing>
      </w:r>
    </w:p>
    <w:p w14:paraId="35212BBC" w14:textId="3D184D8E" w:rsidR="00D9498C" w:rsidRDefault="00E2638A" w:rsidP="00D9498C">
      <w:pPr>
        <w:spacing w:line="360" w:lineRule="auto"/>
        <w:ind w:firstLine="720"/>
        <w:rPr>
          <w:rFonts w:ascii="Times New Roman" w:hAnsi="Times New Roman" w:cs="Times New Roman"/>
        </w:rPr>
      </w:pPr>
      <w:commentRangeStart w:id="7"/>
      <w:commentRangeEnd w:id="7"/>
      <w:r>
        <w:rPr>
          <w:rStyle w:val="CommentReference"/>
        </w:rPr>
        <w:commentReference w:id="7"/>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15632C15"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w:t>
      </w:r>
      <w:r>
        <w:rPr>
          <w:rFonts w:ascii="Times New Roman" w:hAnsi="Times New Roman" w:cs="Times New Roman"/>
        </w:rPr>
        <w:lastRenderedPageBreak/>
        <w:t xml:space="preserve">to extract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As a follow-up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w:t>
      </w:r>
      <w:commentRangeStart w:id="8"/>
      <w:commentRangeStart w:id="9"/>
      <w:r w:rsidR="003E41E2">
        <w:rPr>
          <w:rFonts w:ascii="Times New Roman" w:hAnsi="Times New Roman" w:cs="Times New Roman"/>
        </w:rPr>
        <w:t>Food Insecurity and SNAP patterns</w:t>
      </w:r>
      <w:r w:rsidR="00563FE1">
        <w:rPr>
          <w:rFonts w:ascii="Times New Roman" w:hAnsi="Times New Roman" w:cs="Times New Roman"/>
        </w:rPr>
        <w:t>, which were both loaded by high consumption of palatable and processed foods and low loadings of fruits, vegetables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the prudent-style patterns </w:t>
      </w:r>
      <w:commentRangeEnd w:id="8"/>
      <w:r w:rsidR="00C32235">
        <w:rPr>
          <w:rStyle w:val="CommentReference"/>
        </w:rPr>
        <w:commentReference w:id="8"/>
      </w:r>
      <w:commentRangeEnd w:id="9"/>
      <w:r w:rsidR="00563FE1">
        <w:rPr>
          <w:rStyle w:val="CommentReference"/>
        </w:rPr>
        <w:commentReference w:id="9"/>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extracted with PCA, that were inversely correlated with food insecurity status, were also inversely associated with all-cause and cancer-specific mortalit</w:t>
      </w:r>
      <w:r w:rsidR="00C32235">
        <w:rPr>
          <w:rFonts w:ascii="Times New Roman" w:hAnsi="Times New Roman" w:cs="Times New Roman"/>
        </w:rPr>
        <w:t>y</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3B78F2E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w:t>
      </w:r>
      <w:commentRangeStart w:id="10"/>
      <w:r>
        <w:rPr>
          <w:rFonts w:ascii="Times New Roman" w:hAnsi="Times New Roman" w:cs="Times New Roman"/>
        </w:rPr>
        <w:t xml:space="preserve">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commentRangeEnd w:id="10"/>
      <w:r w:rsidR="00C32235">
        <w:rPr>
          <w:rStyle w:val="CommentReference"/>
        </w:rPr>
        <w:commentReference w:id="10"/>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8B0E825"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w:t>
      </w:r>
      <w:r>
        <w:rPr>
          <w:rFonts w:ascii="Times New Roman" w:hAnsi="Times New Roman" w:cs="Times New Roman"/>
        </w:rPr>
        <w:lastRenderedPageBreak/>
        <w:t xml:space="preserve">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w:t>
      </w:r>
      <w:commentRangeStart w:id="11"/>
      <w:commentRangeStart w:id="12"/>
      <w:r w:rsidR="006B401F">
        <w:rPr>
          <w:rFonts w:ascii="Times New Roman" w:hAnsi="Times New Roman" w:cs="Times New Roman"/>
        </w:rPr>
        <w:t xml:space="preserve">the other biomarkers </w:t>
      </w:r>
      <w:commentRangeEnd w:id="11"/>
      <w:r w:rsidR="00C32235">
        <w:rPr>
          <w:rStyle w:val="CommentReference"/>
        </w:rPr>
        <w:commentReference w:id="11"/>
      </w:r>
      <w:commentRangeEnd w:id="12"/>
      <w:r w:rsidR="005E0A90">
        <w:rPr>
          <w:rStyle w:val="CommentReference"/>
        </w:rPr>
        <w:commentReference w:id="12"/>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62F3FDF8"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though the National Comprehensive Cancer network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 xml:space="preserve">Alongside calls from those also working in this </w:t>
      </w:r>
      <w:commentRangeStart w:id="13"/>
      <w:commentRangeStart w:id="14"/>
      <w:r w:rsidR="004A7671">
        <w:rPr>
          <w:rFonts w:ascii="Times New Roman" w:hAnsi="Times New Roman" w:cs="Times New Roman"/>
        </w:rPr>
        <w:t>area</w:t>
      </w:r>
      <w:commentRangeEnd w:id="13"/>
      <w:r w:rsidR="00C32235">
        <w:rPr>
          <w:rStyle w:val="CommentReference"/>
        </w:rPr>
        <w:commentReference w:id="13"/>
      </w:r>
      <w:commentRangeEnd w:id="14"/>
      <w:r w:rsidR="00563FE1">
        <w:rPr>
          <w:rStyle w:val="CommentReference"/>
        </w:rPr>
        <w:commentReference w:id="14"/>
      </w:r>
      <w:r w:rsidR="004A7671">
        <w:rPr>
          <w:rFonts w:ascii="Times New Roman" w:hAnsi="Times New Roman" w:cs="Times New Roman"/>
        </w:rPr>
        <w:t>,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 xml:space="preserve">in the oncology care setting, early on in the cancer care continuum and later on as care progresses and financial hardship may be 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EA2476">
        <w:rPr>
          <w:rFonts w:ascii="Times New Roman" w:hAnsi="Times New Roman" w:cs="Times New Roman"/>
        </w:rPr>
        <w:t xml:space="preserve">to which </w:t>
      </w:r>
      <w:r w:rsidR="004A7671">
        <w:rPr>
          <w:rFonts w:ascii="Times New Roman" w:hAnsi="Times New Roman" w:cs="Times New Roman"/>
        </w:rPr>
        <w:t>they may otherwise lack access</w:t>
      </w:r>
      <w:r w:rsidR="004C7F30">
        <w:rPr>
          <w:rFonts w:ascii="Times New Roman" w:hAnsi="Times New Roman" w:cs="Times New Roman"/>
        </w:rPr>
        <w:t xml:space="preserve"> </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lastRenderedPageBreak/>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38E76FA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out of</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2C9D8F1A"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hopefully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E64F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Arthur" w:date="2023-04-12T13:26:00Z" w:initials="AA">
    <w:p w14:paraId="10946D12" w14:textId="2E91766A" w:rsidR="00004653" w:rsidRDefault="00004653">
      <w:pPr>
        <w:pStyle w:val="CommentText"/>
      </w:pPr>
      <w:r>
        <w:rPr>
          <w:rStyle w:val="CommentReference"/>
        </w:rPr>
        <w:annotationRef/>
      </w:r>
      <w:r>
        <w:t xml:space="preserve">Do you want to further describe the possible categories that indicate severity of food insecurity? </w:t>
      </w:r>
    </w:p>
  </w:comment>
  <w:comment w:id="1" w:author="Maino Vieytes, Christian Augusto" w:date="2023-04-27T15:23:00Z" w:initials="MVCA">
    <w:p w14:paraId="502E9F96" w14:textId="77777777" w:rsidR="003E12C0" w:rsidRDefault="003E12C0" w:rsidP="00142EC8">
      <w:r>
        <w:rPr>
          <w:rStyle w:val="CommentReference"/>
        </w:rPr>
        <w:annotationRef/>
      </w:r>
      <w:r>
        <w:rPr>
          <w:sz w:val="20"/>
          <w:szCs w:val="20"/>
        </w:rPr>
        <w:t xml:space="preserve">Because I am short on the word count, I will tentatively not do this. </w:t>
      </w:r>
    </w:p>
  </w:comment>
  <w:comment w:id="2" w:author="Maino Vieytes, Christian Augusto" w:date="2023-03-22T07:16:00Z" w:initials="MVCA">
    <w:p w14:paraId="49C6FAA4" w14:textId="77777777" w:rsidR="00F5018F" w:rsidRDefault="00F5018F" w:rsidP="00F5018F">
      <w:r>
        <w:rPr>
          <w:rStyle w:val="CommentReference"/>
        </w:rPr>
        <w:annotationRef/>
      </w:r>
      <w:r>
        <w:rPr>
          <w:sz w:val="20"/>
          <w:szCs w:val="20"/>
        </w:rPr>
        <w:t>Recheck this</w:t>
      </w:r>
    </w:p>
  </w:comment>
  <w:comment w:id="4"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6"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5" w:author="Anna Arthur" w:date="2023-04-12T13:41:00Z" w:initials="AA">
    <w:p w14:paraId="5FA1ECC5" w14:textId="0E237877" w:rsidR="00E2638A" w:rsidRDefault="00E2638A">
      <w:pPr>
        <w:pStyle w:val="CommentText"/>
      </w:pPr>
      <w:r>
        <w:rPr>
          <w:rStyle w:val="CommentReference"/>
        </w:rPr>
        <w:annotationRef/>
      </w:r>
      <w:r>
        <w:t>Interesting. This is also consistent with studies showing higher income is associated with heavier alcohol consumption (alcohol is expensive, right?)</w:t>
      </w:r>
    </w:p>
  </w:comment>
  <w:comment w:id="7" w:author="Anna Arthur" w:date="2023-04-12T13:50:00Z" w:initials="AA">
    <w:p w14:paraId="54634713" w14:textId="269E149A" w:rsidR="00E2638A" w:rsidRDefault="00E2638A">
      <w:pPr>
        <w:pStyle w:val="CommentText"/>
      </w:pPr>
      <w:r>
        <w:rPr>
          <w:rStyle w:val="CommentReference"/>
        </w:rPr>
        <w:annotationRef/>
      </w:r>
      <w:r w:rsidR="00C32235">
        <w:t>Feel free to adjust the wording I added to the Figure 2 legend but I think interpretation of the quintiles should be described here</w:t>
      </w:r>
    </w:p>
  </w:comment>
  <w:comment w:id="8" w:author="Anna Arthur" w:date="2023-04-12T13:52:00Z" w:initials="AA">
    <w:p w14:paraId="248FD2AB" w14:textId="126EF6B8" w:rsidR="00C32235" w:rsidRDefault="00C32235">
      <w:pPr>
        <w:pStyle w:val="CommentText"/>
      </w:pPr>
      <w:r>
        <w:rPr>
          <w:rStyle w:val="CommentReference"/>
        </w:rPr>
        <w:annotationRef/>
      </w:r>
      <w:r>
        <w:t>You may want to briefly remind readers of what characterized these patterns again</w:t>
      </w:r>
    </w:p>
  </w:comment>
  <w:comment w:id="9" w:author="Maino Vieytes, Christian Augusto" w:date="2023-04-28T09:39:00Z" w:initials="MVCA">
    <w:p w14:paraId="3AEC9BE3" w14:textId="77777777" w:rsidR="00563FE1" w:rsidRDefault="00563FE1" w:rsidP="003B490A">
      <w:r>
        <w:rPr>
          <w:rStyle w:val="CommentReference"/>
        </w:rPr>
        <w:annotationRef/>
      </w:r>
      <w:r>
        <w:rPr>
          <w:sz w:val="20"/>
          <w:szCs w:val="20"/>
        </w:rPr>
        <w:t>addressed</w:t>
      </w:r>
    </w:p>
  </w:comment>
  <w:comment w:id="10" w:author="Anna Arthur" w:date="2023-04-12T13:53:00Z" w:initials="AA">
    <w:p w14:paraId="1A8D8FBB" w14:textId="1C62DF38" w:rsidR="00C32235" w:rsidRDefault="00C32235">
      <w:pPr>
        <w:pStyle w:val="CommentText"/>
      </w:pPr>
      <w:r>
        <w:rPr>
          <w:rStyle w:val="CommentReference"/>
        </w:rPr>
        <w:annotationRef/>
      </w:r>
      <w:r>
        <w:t>I really like this statement.</w:t>
      </w:r>
    </w:p>
  </w:comment>
  <w:comment w:id="11" w:author="Anna Arthur" w:date="2023-04-12T13:55:00Z" w:initials="AA">
    <w:p w14:paraId="584BEB2C" w14:textId="015963C7" w:rsidR="00C32235" w:rsidRDefault="00C32235">
      <w:pPr>
        <w:pStyle w:val="CommentText"/>
      </w:pPr>
      <w:r>
        <w:rPr>
          <w:rStyle w:val="CommentReference"/>
        </w:rPr>
        <w:annotationRef/>
      </w:r>
      <w:r>
        <w:t>Can you list or at least provide a few examples of what those “other biomarkers” were?</w:t>
      </w:r>
    </w:p>
  </w:comment>
  <w:comment w:id="12" w:author="Maino Vieytes, Christian Augusto" w:date="2023-04-28T09:58:00Z" w:initials="MVCA">
    <w:p w14:paraId="755E7E33" w14:textId="77777777" w:rsidR="005E0A90" w:rsidRDefault="005E0A90" w:rsidP="004D3212">
      <w:r>
        <w:rPr>
          <w:rStyle w:val="CommentReference"/>
        </w:rPr>
        <w:annotationRef/>
      </w:r>
      <w:r>
        <w:rPr>
          <w:sz w:val="20"/>
          <w:szCs w:val="20"/>
        </w:rPr>
        <w:t>Yes, it it the lit of biomarkers in parentheses within the same sentence. Maybe I need to rewrite this sentence</w:t>
      </w:r>
    </w:p>
  </w:comment>
  <w:comment w:id="13" w:author="Anna Arthur" w:date="2023-04-12T13:56:00Z" w:initials="AA">
    <w:p w14:paraId="11DD7B18" w14:textId="167A60C5" w:rsidR="00C32235" w:rsidRDefault="00C32235">
      <w:pPr>
        <w:pStyle w:val="CommentText"/>
      </w:pPr>
      <w:r>
        <w:rPr>
          <w:rStyle w:val="CommentReference"/>
        </w:rPr>
        <w:annotationRef/>
      </w:r>
      <w:r>
        <w:t xml:space="preserve">Cite Amirah’s oncology registered dietitian paper, </w:t>
      </w:r>
      <w:r>
        <w:rPr>
          <w:rFonts w:ascii="Segoe UI" w:hAnsi="Segoe UI" w:cs="Segoe UI"/>
          <w:color w:val="4D8055"/>
          <w:sz w:val="21"/>
          <w:szCs w:val="21"/>
          <w:shd w:val="clear" w:color="auto" w:fill="FFFFFF"/>
        </w:rPr>
        <w:t>PMID: </w:t>
      </w:r>
      <w:r>
        <w:rPr>
          <w:rStyle w:val="docsum-pmid"/>
          <w:rFonts w:ascii="Segoe UI" w:hAnsi="Segoe UI" w:cs="Segoe UI"/>
          <w:color w:val="4D8055"/>
          <w:sz w:val="21"/>
          <w:szCs w:val="21"/>
          <w:shd w:val="clear" w:color="auto" w:fill="FFFFFF"/>
        </w:rPr>
        <w:t xml:space="preserve">31287159 and possibly </w:t>
      </w:r>
      <w:r>
        <w:rPr>
          <w:rFonts w:ascii="Segoe UI" w:hAnsi="Segoe UI" w:cs="Segoe UI"/>
          <w:color w:val="4D8055"/>
          <w:sz w:val="21"/>
          <w:szCs w:val="21"/>
          <w:shd w:val="clear" w:color="auto" w:fill="FFFFFF"/>
        </w:rPr>
        <w:t>doi: 10.1093/jnci/djac135 (skim to make sure it’s appropriate)</w:t>
      </w:r>
    </w:p>
  </w:comment>
  <w:comment w:id="14" w:author="Maino Vieytes, Christian Augusto" w:date="2023-04-28T09:39:00Z" w:initials="MVCA">
    <w:p w14:paraId="181A3220" w14:textId="77777777" w:rsidR="00563FE1" w:rsidRDefault="00563FE1" w:rsidP="00135A2F">
      <w:r>
        <w:rPr>
          <w:rStyle w:val="CommentReference"/>
        </w:rPr>
        <w:annotationRef/>
      </w:r>
      <w:r>
        <w:rPr>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946D12" w15:done="0"/>
  <w15:commentEx w15:paraId="502E9F96" w15:paraIdParent="10946D12" w15:done="0"/>
  <w15:commentEx w15:paraId="49C6FAA4" w15:done="0"/>
  <w15:commentEx w15:paraId="0C69A879" w15:done="0"/>
  <w15:commentEx w15:paraId="344DA250" w15:done="0"/>
  <w15:commentEx w15:paraId="5FA1ECC5" w15:paraIdParent="344DA250" w15:done="0"/>
  <w15:commentEx w15:paraId="54634713" w15:done="0"/>
  <w15:commentEx w15:paraId="248FD2AB" w15:done="0"/>
  <w15:commentEx w15:paraId="3AEC9BE3" w15:paraIdParent="248FD2AB" w15:done="0"/>
  <w15:commentEx w15:paraId="1A8D8FBB" w15:done="0"/>
  <w15:commentEx w15:paraId="584BEB2C" w15:done="0"/>
  <w15:commentEx w15:paraId="755E7E33" w15:paraIdParent="584BEB2C" w15:done="0"/>
  <w15:commentEx w15:paraId="11DD7B18" w15:done="0"/>
  <w15:commentEx w15:paraId="181A3220" w15:paraIdParent="11DD7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022" w16cex:dateUtc="2023-04-12T18:26:00Z"/>
  <w16cex:commentExtensible w16cex:durableId="27F5120A" w16cex:dateUtc="2023-04-27T20:23:00Z"/>
  <w16cex:commentExtensible w16cex:durableId="27C529E4" w16cex:dateUtc="2023-03-22T12:16:00Z"/>
  <w16cex:commentExtensible w16cex:durableId="27AC3A03" w16cex:dateUtc="2023-03-03T15:18:00Z"/>
  <w16cex:commentExtensible w16cex:durableId="27AEDB18" w16cex:dateUtc="2023-03-05T15:10:00Z"/>
  <w16cex:commentExtensible w16cex:durableId="27E13383" w16cex:dateUtc="2023-04-12T18:41:00Z"/>
  <w16cex:commentExtensible w16cex:durableId="27E135B7" w16cex:dateUtc="2023-04-12T18:50:00Z"/>
  <w16cex:commentExtensible w16cex:durableId="27E13621" w16cex:dateUtc="2023-04-12T18:52:00Z"/>
  <w16cex:commentExtensible w16cex:durableId="27F612E2" w16cex:dateUtc="2023-04-28T14:39:00Z"/>
  <w16cex:commentExtensible w16cex:durableId="27E13667" w16cex:dateUtc="2023-04-12T18:53:00Z"/>
  <w16cex:commentExtensible w16cex:durableId="27E136B6" w16cex:dateUtc="2023-04-12T18:55:00Z"/>
  <w16cex:commentExtensible w16cex:durableId="27F6175C" w16cex:dateUtc="2023-04-28T14:58:00Z"/>
  <w16cex:commentExtensible w16cex:durableId="27E136FF" w16cex:dateUtc="2023-04-12T18:56:00Z"/>
  <w16cex:commentExtensible w16cex:durableId="27F612EA" w16cex:dateUtc="2023-04-2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946D12" w16cid:durableId="27E13022"/>
  <w16cid:commentId w16cid:paraId="502E9F96" w16cid:durableId="27F5120A"/>
  <w16cid:commentId w16cid:paraId="49C6FAA4" w16cid:durableId="27C529E4"/>
  <w16cid:commentId w16cid:paraId="0C69A879" w16cid:durableId="27AC3A03"/>
  <w16cid:commentId w16cid:paraId="344DA250" w16cid:durableId="27AEDB18"/>
  <w16cid:commentId w16cid:paraId="5FA1ECC5" w16cid:durableId="27E13383"/>
  <w16cid:commentId w16cid:paraId="54634713" w16cid:durableId="27E135B7"/>
  <w16cid:commentId w16cid:paraId="248FD2AB" w16cid:durableId="27E13621"/>
  <w16cid:commentId w16cid:paraId="3AEC9BE3" w16cid:durableId="27F612E2"/>
  <w16cid:commentId w16cid:paraId="1A8D8FBB" w16cid:durableId="27E13667"/>
  <w16cid:commentId w16cid:paraId="584BEB2C" w16cid:durableId="27E136B6"/>
  <w16cid:commentId w16cid:paraId="755E7E33" w16cid:durableId="27F6175C"/>
  <w16cid:commentId w16cid:paraId="11DD7B18" w16cid:durableId="27E136FF"/>
  <w16cid:commentId w16cid:paraId="181A3220" w16cid:durableId="27F612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Arthur">
    <w15:presenceInfo w15:providerId="AD" w15:userId="S::aarthur4@kumc.edu::be431fc3-e3a8-4c70-aa92-20dbcd4feaac"/>
  </w15:person>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311FE"/>
    <w:rsid w:val="0004655D"/>
    <w:rsid w:val="00051DA0"/>
    <w:rsid w:val="00076EA1"/>
    <w:rsid w:val="00084064"/>
    <w:rsid w:val="00091EC0"/>
    <w:rsid w:val="000A41FF"/>
    <w:rsid w:val="000B1B5D"/>
    <w:rsid w:val="000B1D89"/>
    <w:rsid w:val="000C32C1"/>
    <w:rsid w:val="000D7240"/>
    <w:rsid w:val="000E1C30"/>
    <w:rsid w:val="000E4846"/>
    <w:rsid w:val="000E5296"/>
    <w:rsid w:val="000F3BBC"/>
    <w:rsid w:val="000F7778"/>
    <w:rsid w:val="001025E6"/>
    <w:rsid w:val="001067FC"/>
    <w:rsid w:val="001127FB"/>
    <w:rsid w:val="00120671"/>
    <w:rsid w:val="0012663B"/>
    <w:rsid w:val="00131D44"/>
    <w:rsid w:val="0014127A"/>
    <w:rsid w:val="001436D6"/>
    <w:rsid w:val="00146E52"/>
    <w:rsid w:val="0016211C"/>
    <w:rsid w:val="00163E9B"/>
    <w:rsid w:val="00172468"/>
    <w:rsid w:val="00173966"/>
    <w:rsid w:val="001759A4"/>
    <w:rsid w:val="00185EC0"/>
    <w:rsid w:val="00190925"/>
    <w:rsid w:val="001A1B81"/>
    <w:rsid w:val="001A6E43"/>
    <w:rsid w:val="001B0695"/>
    <w:rsid w:val="001B1D50"/>
    <w:rsid w:val="001C2F91"/>
    <w:rsid w:val="001E1EC7"/>
    <w:rsid w:val="001F6316"/>
    <w:rsid w:val="00202226"/>
    <w:rsid w:val="00216026"/>
    <w:rsid w:val="00221EC2"/>
    <w:rsid w:val="00222BAF"/>
    <w:rsid w:val="002262B7"/>
    <w:rsid w:val="002263B5"/>
    <w:rsid w:val="0023438F"/>
    <w:rsid w:val="0024408E"/>
    <w:rsid w:val="00247025"/>
    <w:rsid w:val="002548C8"/>
    <w:rsid w:val="00264E91"/>
    <w:rsid w:val="0026524B"/>
    <w:rsid w:val="0027484B"/>
    <w:rsid w:val="0028265E"/>
    <w:rsid w:val="00284F95"/>
    <w:rsid w:val="00291D99"/>
    <w:rsid w:val="00293FB1"/>
    <w:rsid w:val="002A1991"/>
    <w:rsid w:val="002A3CAF"/>
    <w:rsid w:val="002C675E"/>
    <w:rsid w:val="002D415D"/>
    <w:rsid w:val="002E02CB"/>
    <w:rsid w:val="002E0FA2"/>
    <w:rsid w:val="002E7DAC"/>
    <w:rsid w:val="002F2BA6"/>
    <w:rsid w:val="002F3D6E"/>
    <w:rsid w:val="0031204C"/>
    <w:rsid w:val="00332B47"/>
    <w:rsid w:val="00332B65"/>
    <w:rsid w:val="00334684"/>
    <w:rsid w:val="00335B53"/>
    <w:rsid w:val="00341FFB"/>
    <w:rsid w:val="003473C4"/>
    <w:rsid w:val="0036171D"/>
    <w:rsid w:val="003701E1"/>
    <w:rsid w:val="00377C36"/>
    <w:rsid w:val="00386696"/>
    <w:rsid w:val="00387D8D"/>
    <w:rsid w:val="00391B83"/>
    <w:rsid w:val="003959F7"/>
    <w:rsid w:val="00397057"/>
    <w:rsid w:val="003A2185"/>
    <w:rsid w:val="003A60E7"/>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44BCA"/>
    <w:rsid w:val="00551EFA"/>
    <w:rsid w:val="005538C5"/>
    <w:rsid w:val="00562288"/>
    <w:rsid w:val="00563FE1"/>
    <w:rsid w:val="00567D55"/>
    <w:rsid w:val="00570CDF"/>
    <w:rsid w:val="0057498F"/>
    <w:rsid w:val="0057714E"/>
    <w:rsid w:val="00583AEC"/>
    <w:rsid w:val="0058552C"/>
    <w:rsid w:val="00586A40"/>
    <w:rsid w:val="0059611C"/>
    <w:rsid w:val="005A0E59"/>
    <w:rsid w:val="005C1580"/>
    <w:rsid w:val="005C42F5"/>
    <w:rsid w:val="005C5D3B"/>
    <w:rsid w:val="005C7305"/>
    <w:rsid w:val="005E0A90"/>
    <w:rsid w:val="005E4F8D"/>
    <w:rsid w:val="005E511A"/>
    <w:rsid w:val="005E6B5F"/>
    <w:rsid w:val="005F16DD"/>
    <w:rsid w:val="005F3910"/>
    <w:rsid w:val="005F5291"/>
    <w:rsid w:val="005F75D0"/>
    <w:rsid w:val="00620A46"/>
    <w:rsid w:val="00651AED"/>
    <w:rsid w:val="00660C86"/>
    <w:rsid w:val="00662128"/>
    <w:rsid w:val="00664EA4"/>
    <w:rsid w:val="00671560"/>
    <w:rsid w:val="00683F64"/>
    <w:rsid w:val="00687A69"/>
    <w:rsid w:val="006956C7"/>
    <w:rsid w:val="006B401F"/>
    <w:rsid w:val="006C07F1"/>
    <w:rsid w:val="006C6BFE"/>
    <w:rsid w:val="006D40D7"/>
    <w:rsid w:val="006E1B8D"/>
    <w:rsid w:val="006F4653"/>
    <w:rsid w:val="006F69C5"/>
    <w:rsid w:val="00706FBC"/>
    <w:rsid w:val="0071461F"/>
    <w:rsid w:val="007440DF"/>
    <w:rsid w:val="007442EB"/>
    <w:rsid w:val="00745280"/>
    <w:rsid w:val="00745EA3"/>
    <w:rsid w:val="007510BB"/>
    <w:rsid w:val="00756082"/>
    <w:rsid w:val="00761797"/>
    <w:rsid w:val="00764BBB"/>
    <w:rsid w:val="007709E0"/>
    <w:rsid w:val="00784942"/>
    <w:rsid w:val="00786AC2"/>
    <w:rsid w:val="00795EB1"/>
    <w:rsid w:val="007A33A5"/>
    <w:rsid w:val="007A68B1"/>
    <w:rsid w:val="007B12A3"/>
    <w:rsid w:val="007C7138"/>
    <w:rsid w:val="007D4CF5"/>
    <w:rsid w:val="007E11D7"/>
    <w:rsid w:val="007E2F3D"/>
    <w:rsid w:val="007F22D1"/>
    <w:rsid w:val="007F5F72"/>
    <w:rsid w:val="007F7677"/>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901FF4"/>
    <w:rsid w:val="00935DEF"/>
    <w:rsid w:val="00936BFB"/>
    <w:rsid w:val="009377F4"/>
    <w:rsid w:val="00942279"/>
    <w:rsid w:val="00950F87"/>
    <w:rsid w:val="009535A4"/>
    <w:rsid w:val="009538F4"/>
    <w:rsid w:val="00953990"/>
    <w:rsid w:val="00954B60"/>
    <w:rsid w:val="009550C4"/>
    <w:rsid w:val="00966C4F"/>
    <w:rsid w:val="00980B78"/>
    <w:rsid w:val="009815E1"/>
    <w:rsid w:val="00983748"/>
    <w:rsid w:val="009B1AC6"/>
    <w:rsid w:val="009B4C78"/>
    <w:rsid w:val="009B5A8A"/>
    <w:rsid w:val="009E154B"/>
    <w:rsid w:val="009F43E5"/>
    <w:rsid w:val="009F786A"/>
    <w:rsid w:val="00A131D8"/>
    <w:rsid w:val="00A138FD"/>
    <w:rsid w:val="00A14902"/>
    <w:rsid w:val="00A24ABE"/>
    <w:rsid w:val="00A24D1E"/>
    <w:rsid w:val="00A27AAA"/>
    <w:rsid w:val="00A358D5"/>
    <w:rsid w:val="00A43238"/>
    <w:rsid w:val="00A54B59"/>
    <w:rsid w:val="00AA50B7"/>
    <w:rsid w:val="00AB0A92"/>
    <w:rsid w:val="00AB3643"/>
    <w:rsid w:val="00AC0547"/>
    <w:rsid w:val="00AC615E"/>
    <w:rsid w:val="00AD45B2"/>
    <w:rsid w:val="00AF604F"/>
    <w:rsid w:val="00B05DD4"/>
    <w:rsid w:val="00B06D8D"/>
    <w:rsid w:val="00B17524"/>
    <w:rsid w:val="00B42F81"/>
    <w:rsid w:val="00B51CDF"/>
    <w:rsid w:val="00B55D21"/>
    <w:rsid w:val="00B603B5"/>
    <w:rsid w:val="00B6406F"/>
    <w:rsid w:val="00B80595"/>
    <w:rsid w:val="00B91187"/>
    <w:rsid w:val="00B94B83"/>
    <w:rsid w:val="00BA2BEB"/>
    <w:rsid w:val="00BC0F75"/>
    <w:rsid w:val="00BC63A5"/>
    <w:rsid w:val="00BC7E26"/>
    <w:rsid w:val="00BD6434"/>
    <w:rsid w:val="00BE4175"/>
    <w:rsid w:val="00BF574C"/>
    <w:rsid w:val="00BF5784"/>
    <w:rsid w:val="00C00738"/>
    <w:rsid w:val="00C01DD8"/>
    <w:rsid w:val="00C04DAD"/>
    <w:rsid w:val="00C05E3E"/>
    <w:rsid w:val="00C07DF0"/>
    <w:rsid w:val="00C10956"/>
    <w:rsid w:val="00C25CA0"/>
    <w:rsid w:val="00C32235"/>
    <w:rsid w:val="00C47A75"/>
    <w:rsid w:val="00C56BFA"/>
    <w:rsid w:val="00C64346"/>
    <w:rsid w:val="00C6784D"/>
    <w:rsid w:val="00C7631E"/>
    <w:rsid w:val="00C770E5"/>
    <w:rsid w:val="00C8070C"/>
    <w:rsid w:val="00C8218A"/>
    <w:rsid w:val="00CA4EE1"/>
    <w:rsid w:val="00CC62DA"/>
    <w:rsid w:val="00CD1B64"/>
    <w:rsid w:val="00CE7A28"/>
    <w:rsid w:val="00CF01DB"/>
    <w:rsid w:val="00D00CD3"/>
    <w:rsid w:val="00D03E1F"/>
    <w:rsid w:val="00D25ED6"/>
    <w:rsid w:val="00D33B18"/>
    <w:rsid w:val="00D43AB2"/>
    <w:rsid w:val="00D4402D"/>
    <w:rsid w:val="00D52180"/>
    <w:rsid w:val="00D742AA"/>
    <w:rsid w:val="00D753EF"/>
    <w:rsid w:val="00D90248"/>
    <w:rsid w:val="00D9372E"/>
    <w:rsid w:val="00D9498C"/>
    <w:rsid w:val="00D96943"/>
    <w:rsid w:val="00D9696B"/>
    <w:rsid w:val="00DA4EBC"/>
    <w:rsid w:val="00DB444E"/>
    <w:rsid w:val="00DD3645"/>
    <w:rsid w:val="00DF1912"/>
    <w:rsid w:val="00DF278C"/>
    <w:rsid w:val="00E04103"/>
    <w:rsid w:val="00E06C48"/>
    <w:rsid w:val="00E12428"/>
    <w:rsid w:val="00E12DE6"/>
    <w:rsid w:val="00E171A4"/>
    <w:rsid w:val="00E21C9A"/>
    <w:rsid w:val="00E24881"/>
    <w:rsid w:val="00E2638A"/>
    <w:rsid w:val="00E308A2"/>
    <w:rsid w:val="00E40212"/>
    <w:rsid w:val="00E43C36"/>
    <w:rsid w:val="00E4546C"/>
    <w:rsid w:val="00E466A6"/>
    <w:rsid w:val="00E500E4"/>
    <w:rsid w:val="00E50522"/>
    <w:rsid w:val="00E56D78"/>
    <w:rsid w:val="00E64F2F"/>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347D"/>
    <w:rsid w:val="00F2284E"/>
    <w:rsid w:val="00F22ED6"/>
    <w:rsid w:val="00F32E50"/>
    <w:rsid w:val="00F40A41"/>
    <w:rsid w:val="00F446B3"/>
    <w:rsid w:val="00F5018F"/>
    <w:rsid w:val="00F678B8"/>
    <w:rsid w:val="00F85A41"/>
    <w:rsid w:val="00FA340B"/>
    <w:rsid w:val="00FB536B"/>
    <w:rsid w:val="00FC4B22"/>
    <w:rsid w:val="00FE0E66"/>
    <w:rsid w:val="00FE39E7"/>
    <w:rsid w:val="00FE4324"/>
    <w:rsid w:val="00FE7098"/>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 w:type="character" w:styleId="FollowedHyperlink">
    <w:name w:val="FollowedHyperlink"/>
    <w:basedOn w:val="DefaultParagraphFont"/>
    <w:uiPriority w:val="99"/>
    <w:semiHidden/>
    <w:unhideWhenUsed/>
    <w:rsid w:val="001621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19</Pages>
  <Words>25210</Words>
  <Characters>143701</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79</cp:revision>
  <dcterms:created xsi:type="dcterms:W3CDTF">2023-04-27T20:52:00Z</dcterms:created>
  <dcterms:modified xsi:type="dcterms:W3CDTF">2023-05-08T17:58:00Z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id="ssyJd6N0"/&gt;&lt;style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