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0002" w14:textId="4EEDB10B"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w:t>
      </w:r>
      <w:r>
        <w:rPr>
          <w:rFonts w:ascii="Times New Roman" w:hAnsi="Times New Roman" w:cs="Times New Roman"/>
        </w:rPr>
        <w:t>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1992BC88"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lastRenderedPageBreak/>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and the risk of mortality among</w:t>
      </w:r>
      <w:r w:rsidR="002D415D">
        <w:rPr>
          <w:rFonts w:ascii="Times New Roman" w:hAnsi="Times New Roman" w:cs="Times New Roman"/>
        </w:rPr>
        <w:t>st</w:t>
      </w:r>
      <w:r w:rsidR="00284F95" w:rsidRPr="00284F95">
        <w:rPr>
          <w:rFonts w:ascii="Times New Roman" w:hAnsi="Times New Roman" w:cs="Times New Roman"/>
        </w:rPr>
        <w:t xml:space="preserve"> the broader cancer survivor and food insecure cancer survivor population</w:t>
      </w:r>
      <w:r w:rsidR="002D415D">
        <w:rPr>
          <w:rFonts w:ascii="Times New Roman" w:hAnsi="Times New Roman" w:cs="Times New Roman"/>
        </w:rPr>
        <w:t>s</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w:t>
      </w:r>
      <w:r w:rsidR="00221EC2">
        <w:rPr>
          <w:rFonts w:ascii="Times New Roman" w:hAnsi="Times New Roman" w:cs="Times New Roman"/>
        </w:rPr>
        <w:lastRenderedPageBreak/>
        <w:t xml:space="preserve">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lastRenderedPageBreak/>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lastRenderedPageBreak/>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0579BAE"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F10DE08"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 the median of their respective </w:t>
      </w:r>
      <w:r w:rsidR="002262B7">
        <w:rPr>
          <w:rFonts w:ascii="Times New Roman" w:eastAsiaTheme="minorEastAsia" w:hAnsi="Times New Roman" w:cs="Times New Roman"/>
        </w:rPr>
        <w:lastRenderedPageBreak/>
        <w:t>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m:t>
        </m:r>
        <m:r>
          <w:rPr>
            <w:rFonts w:ascii="Cambria Math" w:eastAsiaTheme="minorEastAsia" w:hAnsi="Cambria Math" w:cs="Times New Roman"/>
          </w:rPr>
          <m:t>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xml:space="preserve">, </w:t>
      </w:r>
      <w:r w:rsidR="0024408E">
        <w:rPr>
          <w:rFonts w:ascii="Times New Roman" w:hAnsi="Times New Roman" w:cs="Times New Roman"/>
        </w:rPr>
        <w:t>food insecurity status</w:t>
      </w:r>
      <w:r w:rsidR="0024408E">
        <w:rPr>
          <w:rFonts w:ascii="Times New Roman" w:hAnsi="Times New Roman" w:cs="Times New Roman"/>
        </w:rPr>
        <w:t>,</w:t>
      </w:r>
      <w:r w:rsidR="0024408E">
        <w:rPr>
          <w:rFonts w:ascii="Times New Roman" w:hAnsi="Times New Roman" w:cs="Times New Roman"/>
        </w:rPr>
        <w:t xml:space="preserve">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w:t>
      </w:r>
      <w:r w:rsidR="00332B47">
        <w:rPr>
          <w:rFonts w:ascii="Times New Roman" w:hAnsi="Times New Roman" w:cs="Times New Roman"/>
        </w:rPr>
        <w:lastRenderedPageBreak/>
        <w:t xml:space="preserve">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lastRenderedPageBreak/>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w:t>
      </w:r>
      <w:r w:rsidR="0024408E">
        <w:rPr>
          <w:rFonts w:ascii="Times New Roman" w:hAnsi="Times New Roman" w:cs="Times New Roman"/>
        </w:rPr>
        <w:t>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74AD196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F446B3">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F446B3" w:rsidRPr="00F446B3">
        <w:rPr>
          <w:rFonts w:ascii="Times New Roman" w:hAnsi="Times New Roman" w:cs="Times New Roman"/>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5DE2FE6A"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7NuKLhHp","properties":{"formattedCitation":"[4,55]","plainCitation":"[4,55]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F446B3">
        <w:rPr>
          <w:rFonts w:ascii="Times New Roman" w:hAnsi="Times New Roman" w:cs="Times New Roman"/>
          <w:noProof/>
        </w:rPr>
        <w:t>[4,55]</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{"citationID":"5adDEwae","properties":{"formattedCitation":"[57]","plainCitation":"[57]","noteIndex":0},"citationItems":[{"id":2257,"uris":["http://zotero.org/users/local/S8X13ARX/items/79YQYLIQ"],"itemData":{"id":2257,"type":"article-journal","abstract":"PURPOSE\nFood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F446B3">
        <w:rPr>
          <w:rFonts w:ascii="Times New Roman" w:hAnsi="Times New Roman" w:cs="Times New Roman"/>
          <w:noProof/>
        </w:rPr>
        <w:t>[57]</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1E012R8F","properties":{"formattedCitation":"[4,58,59]","plainCitation":"[4,58,59]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F446B3">
        <w:rPr>
          <w:rFonts w:ascii="Times New Roman" w:hAnsi="Times New Roman" w:cs="Times New Roman"/>
          <w:noProof/>
        </w:rPr>
        <w:t>[4,58,59]</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91B83"/>
    <w:rsid w:val="00397057"/>
    <w:rsid w:val="003C426D"/>
    <w:rsid w:val="003C5EE5"/>
    <w:rsid w:val="003C5F3C"/>
    <w:rsid w:val="003C6043"/>
    <w:rsid w:val="003D6DB0"/>
    <w:rsid w:val="003E188D"/>
    <w:rsid w:val="003E41E2"/>
    <w:rsid w:val="003E7C7C"/>
    <w:rsid w:val="00427185"/>
    <w:rsid w:val="004348ED"/>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24801</Words>
  <Characters>141368</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16</cp:revision>
  <dcterms:created xsi:type="dcterms:W3CDTF">2023-03-22T12:10:00Z</dcterms:created>
  <dcterms:modified xsi:type="dcterms:W3CDTF">2023-03-22T13:24:00Z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