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1B2AA67"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The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667E7CCB"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The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5E4B19B7"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The Family Resiliency Center, The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1A91B8BB"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The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C95651A" w:rsidR="00C575C2" w:rsidRDefault="00C575C2" w:rsidP="00315848">
      <w:pPr>
        <w:pStyle w:val="NormalWeb"/>
        <w:spacing w:before="0" w:beforeAutospacing="0" w:after="0" w:afterAutospacing="0" w:line="360" w:lineRule="auto"/>
        <w:ind w:firstLine="720"/>
        <w:rPr>
          <w:color w:val="0E101A"/>
        </w:rPr>
      </w:pPr>
      <w:r>
        <w:rPr>
          <w:color w:val="0E101A"/>
        </w:rPr>
        <w:t xml:space="preserve">Food insecurity—the lack of unabated access to nutritious foods—is a consequence </w:t>
      </w:r>
      <w:r w:rsidR="008C7A59">
        <w:rPr>
          <w:color w:val="0E101A"/>
        </w:rPr>
        <w:t xml:space="preserve">that </w:t>
      </w:r>
      <w:r>
        <w:rPr>
          <w:color w:val="0E101A"/>
        </w:rPr>
        <w:t>many cancer survivors face. Food insecurity is associated with adverse health outcomes and lower diet</w:t>
      </w:r>
      <w:r w:rsidR="008C7A59">
        <w:rPr>
          <w:color w:val="0E101A"/>
        </w:rPr>
        <w:t>ary</w:t>
      </w:r>
      <w:r>
        <w:rPr>
          <w:color w:val="0E101A"/>
        </w:rPr>
        <w:t xml:space="preserve"> quality among the general public. In a previous analysis, we extracted </w:t>
      </w:r>
      <w:r w:rsidR="008C7A59">
        <w:rPr>
          <w:color w:val="0E101A"/>
        </w:rPr>
        <w:t xml:space="preserve">some </w:t>
      </w:r>
      <w:r>
        <w:rPr>
          <w:color w:val="0E101A"/>
        </w:rPr>
        <w:t xml:space="preserve">prevailing dietary patterns in U.S. cancer survivors suggesting poor diet quality in this population. This analysis aimed to evaluate </w:t>
      </w:r>
      <w:r w:rsidR="008C7A59">
        <w:rPr>
          <w:color w:val="0E101A"/>
        </w:rPr>
        <w:t xml:space="preserve">the </w:t>
      </w:r>
      <w:r>
        <w:rPr>
          <w:color w:val="0E101A"/>
        </w:rPr>
        <w:t>association between th</w:t>
      </w:r>
      <w:r w:rsidR="008C7A59">
        <w:rPr>
          <w:color w:val="0E101A"/>
        </w:rPr>
        <w:t>e</w:t>
      </w:r>
      <w:r>
        <w:rPr>
          <w:color w:val="0E101A"/>
        </w:rPr>
        <w:t>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01AAA3AD" w:rsidR="00C575C2" w:rsidRDefault="00C575C2" w:rsidP="00315848">
      <w:pPr>
        <w:pStyle w:val="NormalWeb"/>
        <w:spacing w:before="0" w:beforeAutospacing="0" w:after="0" w:afterAutospacing="0" w:line="360" w:lineRule="auto"/>
        <w:rPr>
          <w:color w:val="0E101A"/>
        </w:rPr>
      </w:pPr>
      <w:r>
        <w:rPr>
          <w:color w:val="0E101A"/>
        </w:rPr>
        <w:t xml:space="preserve">           We implemented two dietary pattern analysis approaches: penalized logistic regression and principal components analysis. Using nationally representative data from the </w:t>
      </w:r>
      <w:r w:rsidR="008C7A59">
        <w:rPr>
          <w:color w:val="0E101A"/>
        </w:rPr>
        <w:t>National Health and Nutrition Examination Survey (NHANES) study</w:t>
      </w:r>
      <w:r>
        <w:rPr>
          <w:color w:val="0E101A"/>
        </w:rPr>
        <w:t xml:space="preserve"> (cycles spanning 1999-2018), we extracted six dietary patterns, two of which (the FI and SNAP patterns) were positively associated with being a food-insecure cancer survivor. Cox proportional hazards models were </w:t>
      </w:r>
      <w:r w:rsidR="008C7A59">
        <w:rPr>
          <w:color w:val="0E101A"/>
        </w:rPr>
        <w:t>used</w:t>
      </w:r>
      <w:r>
        <w:rPr>
          <w:color w:val="0E101A"/>
        </w:rPr>
        <w:t xml:space="preserve">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t>Results</w:t>
      </w:r>
    </w:p>
    <w:p w14:paraId="6368D315" w14:textId="0C356EC1" w:rsidR="00C575C2" w:rsidRDefault="00C575C2" w:rsidP="00315848">
      <w:pPr>
        <w:pStyle w:val="NormalWeb"/>
        <w:spacing w:before="0" w:beforeAutospacing="0" w:after="0" w:afterAutospacing="0" w:line="360" w:lineRule="auto"/>
        <w:rPr>
          <w:color w:val="0E101A"/>
        </w:rPr>
      </w:pPr>
      <w:r>
        <w:rPr>
          <w:color w:val="0E101A"/>
        </w:rPr>
        <w:lastRenderedPageBreak/>
        <w:t>           There were 981 deaths from all causes</w:t>
      </w:r>
      <w:r w:rsidR="008C7A59">
        <w:rPr>
          <w:color w:val="0E101A"/>
        </w:rPr>
        <w:t xml:space="preserve"> and </w:t>
      </w:r>
      <w:r>
        <w:rPr>
          <w:color w:val="0E101A"/>
        </w:rPr>
        <w:t>343 cancer-related deaths. After multivariable adjustment, we found significantly higher risks of all-cause mortality associated with higher adherence to the FI (HR: 1.23</w:t>
      </w:r>
      <w:r w:rsidR="008C7A59">
        <w:rPr>
          <w:color w:val="0E101A"/>
        </w:rPr>
        <w:t>;</w:t>
      </w:r>
      <w:r>
        <w:rPr>
          <w:color w:val="0E101A"/>
        </w:rPr>
        <w:t xml:space="preserve"> 95% CI: 1.06-1.42) and SNAP (HR: 1.20</w:t>
      </w:r>
      <w:r w:rsidR="008C7A59">
        <w:rPr>
          <w:color w:val="0E101A"/>
        </w:rPr>
        <w:t>;</w:t>
      </w:r>
      <w:r>
        <w:rPr>
          <w:color w:val="0E101A"/>
        </w:rPr>
        <w:t xml:space="preserve"> 95% CI: 1.03-1.40) patterns among cancer survivors. Inverse associations were noted between the Prudent #1 pattern and all-cause and cancer-specific mortality. Models with food-insecure cancer survivors revealed non-significant results with parameter estimates commensurate to those from models fit on all cancer survivors.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35FFB882" w:rsidR="00C575C2" w:rsidRDefault="00C575C2" w:rsidP="00C86C40">
      <w:pPr>
        <w:pStyle w:val="NormalWeb"/>
        <w:spacing w:before="0" w:beforeAutospacing="0" w:after="0" w:afterAutospacing="0" w:line="360" w:lineRule="auto"/>
        <w:rPr>
          <w:color w:val="0E101A"/>
        </w:rPr>
      </w:pPr>
      <w:r>
        <w:rPr>
          <w:color w:val="0E101A"/>
        </w:rPr>
        <w:t xml:space="preserve">           Higher adherence to prevailing dietary patterns in the U.S. cancer survivors population may </w:t>
      </w:r>
      <w:r w:rsidR="008C7A59">
        <w:rPr>
          <w:color w:val="0E101A"/>
        </w:rPr>
        <w:t>lead to</w:t>
      </w:r>
      <w:r>
        <w:rPr>
          <w:color w:val="0E101A"/>
        </w:rPr>
        <w:t xml:space="preserve"> a worse prognosis.</w:t>
      </w:r>
    </w:p>
    <w:p w14:paraId="67A31BE0" w14:textId="77777777" w:rsidR="00C575C2" w:rsidRDefault="00C575C2">
      <w:pPr>
        <w:rPr>
          <w:rFonts w:ascii="Times New Roman" w:hAnsi="Times New Roman" w:cs="Times New Roman"/>
        </w:rPr>
      </w:pP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4837FF78"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w:t>
      </w:r>
      <w:r w:rsidR="008C7A59">
        <w:rPr>
          <w:rFonts w:ascii="Times New Roman" w:hAnsi="Times New Roman" w:cs="Times New Roman"/>
        </w:rPr>
        <w:t>income loss</w:t>
      </w:r>
      <w:r w:rsidRPr="000E1C30">
        <w:rPr>
          <w:rFonts w:ascii="Times New Roman" w:hAnsi="Times New Roman" w:cs="Times New Roman"/>
        </w:rPr>
        <w:t xml:space="preserv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sidR="008C7A59">
        <w:rPr>
          <w:rFonts w:ascii="Times New Roman" w:hAnsi="Times New Roman" w:cs="Times New Roman"/>
        </w:rPr>
        <w:t>regarding</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9F809F4"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 xml:space="preserve">A framework of competing demands conceptualizes one manifestation of food insecurity among cancer survivors, involving cancer survivors facing difficult decisions between choosing medical care or nutritious foods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w:t>
      </w:r>
      <w:r w:rsidR="00945375">
        <w:rPr>
          <w:rFonts w:ascii="Times New Roman" w:hAnsi="Times New Roman" w:cs="Times New Roman"/>
        </w:rPr>
        <w:t>a</w:t>
      </w:r>
      <w:r w:rsidR="00F446B3">
        <w:rPr>
          <w:rFonts w:ascii="Times New Roman" w:hAnsi="Times New Roman" w:cs="Times New Roman"/>
        </w:rPr>
        <w:t xml:space="preserve">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w:t>
      </w:r>
      <w:r w:rsidR="00945375">
        <w:rPr>
          <w:rFonts w:ascii="Times New Roman" w:hAnsi="Times New Roman" w:cs="Times New Roman"/>
        </w:rPr>
        <w:t>ary</w:t>
      </w:r>
      <w:r w:rsidR="00F446B3">
        <w:rPr>
          <w:rFonts w:ascii="Times New Roman" w:hAnsi="Times New Roman" w:cs="Times New Roman"/>
        </w:rPr>
        <w:t xml:space="preserve">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w:t>
      </w:r>
      <w:r w:rsidR="00945375">
        <w:rPr>
          <w:rFonts w:ascii="Times New Roman" w:hAnsi="Times New Roman" w:cs="Times New Roman"/>
        </w:rPr>
        <w:t>,</w:t>
      </w:r>
      <w:r w:rsidRPr="00377C36">
        <w:rPr>
          <w:rFonts w:ascii="Times New Roman" w:hAnsi="Times New Roman" w:cs="Times New Roman"/>
        </w:rPr>
        <w:t xml:space="preserve"> though more research is needed to substantiate this conjecture.</w:t>
      </w:r>
    </w:p>
    <w:p w14:paraId="7DABA6DC" w14:textId="389C5D67"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lastRenderedPageBreak/>
        <w:t xml:space="preserve">In a previous analysis, we characterized </w:t>
      </w:r>
      <w:r w:rsidR="00E22738">
        <w:rPr>
          <w:rFonts w:ascii="Times New Roman" w:hAnsi="Times New Roman" w:cs="Times New Roman"/>
        </w:rPr>
        <w:t xml:space="preserve">the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w:t>
      </w:r>
      <w:r w:rsidR="00E22738">
        <w:rPr>
          <w:rFonts w:ascii="Times New Roman" w:hAnsi="Times New Roman" w:cs="Times New Roman"/>
        </w:rPr>
        <w:t>,</w:t>
      </w:r>
      <w:r w:rsidR="00377C36" w:rsidRPr="00377C36">
        <w:rPr>
          <w:rFonts w:ascii="Times New Roman" w:hAnsi="Times New Roman" w:cs="Times New Roman"/>
        </w:rPr>
        <w:t xml:space="preserve"> which was inversely associated with </w:t>
      </w:r>
      <w:r w:rsidR="00E22738">
        <w:rPr>
          <w:rFonts w:ascii="Times New Roman" w:hAnsi="Times New Roman" w:cs="Times New Roman"/>
        </w:rPr>
        <w:t xml:space="preserve">food insecurity </w:t>
      </w:r>
      <w:r w:rsidR="00377C36" w:rsidRPr="00377C36">
        <w:rPr>
          <w:rFonts w:ascii="Times New Roman" w:hAnsi="Times New Roman" w:cs="Times New Roman"/>
        </w:rPr>
        <w:t xml:space="preserve">in the same population. Whether these dietary patterns </w:t>
      </w:r>
      <w:r w:rsidR="00E22738">
        <w:rPr>
          <w:rFonts w:ascii="Times New Roman" w:hAnsi="Times New Roman" w:cs="Times New Roman"/>
        </w:rPr>
        <w:t>affected</w:t>
      </w:r>
      <w:r w:rsidR="00377C36" w:rsidRPr="00377C36">
        <w:rPr>
          <w:rFonts w:ascii="Times New Roman" w:hAnsi="Times New Roman" w:cs="Times New Roman"/>
        </w:rPr>
        <w:t xml:space="preserve"> clinically meaningful outcomes for cancer survivors was left open</w:t>
      </w:r>
      <w:r w:rsidR="00E22738">
        <w:rPr>
          <w:rFonts w:ascii="Times New Roman" w:hAnsi="Times New Roman" w:cs="Times New Roman"/>
        </w:rPr>
        <w:t xml:space="preserve"> </w:t>
      </w:r>
      <w:r w:rsidR="00377C36" w:rsidRPr="00377C36">
        <w:rPr>
          <w:rFonts w:ascii="Times New Roman" w:hAnsi="Times New Roman" w:cs="Times New Roman"/>
        </w:rPr>
        <w:t>ended.</w:t>
      </w:r>
    </w:p>
    <w:p w14:paraId="5AD1D093" w14:textId="51AB3544"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 xml:space="preserve">Understanding how food insecurity </w:t>
      </w:r>
      <w:r w:rsidR="00E22738">
        <w:rPr>
          <w:rFonts w:ascii="Times New Roman" w:hAnsi="Times New Roman" w:cs="Times New Roman"/>
        </w:rPr>
        <w:t>affects</w:t>
      </w:r>
      <w:r w:rsidRPr="005F3910">
        <w:rPr>
          <w:rFonts w:ascii="Times New Roman" w:hAnsi="Times New Roman" w:cs="Times New Roman"/>
        </w:rPr>
        <w:t xml:space="preserve"> different aspects of life, including dietary intake, is a means of delineating at least one potential driving factor behind the health disparities that may arise </w:t>
      </w:r>
      <w:r w:rsidR="00E22738">
        <w:rPr>
          <w:rFonts w:ascii="Times New Roman" w:hAnsi="Times New Roman" w:cs="Times New Roman"/>
        </w:rPr>
        <w:t>in</w:t>
      </w:r>
      <w:r w:rsidRPr="005F3910">
        <w:rPr>
          <w:rFonts w:ascii="Times New Roman" w:hAnsi="Times New Roman" w:cs="Times New Roman"/>
        </w:rPr>
        <w:t xml:space="preserve">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w:t>
      </w:r>
      <w:r w:rsidR="00E22738">
        <w:rPr>
          <w:rFonts w:ascii="Times New Roman" w:hAnsi="Times New Roman" w:cs="Times New Roman"/>
        </w:rPr>
        <w:t>We hypothesized</w:t>
      </w:r>
      <w:r w:rsidRPr="005F3910">
        <w:rPr>
          <w:rFonts w:ascii="Times New Roman" w:hAnsi="Times New Roman" w:cs="Times New Roman"/>
        </w:rPr>
        <w:t xml:space="preserve"> that the dietary patterns describing consumption patterns in the food-insecure cancer survivor population would be positively associated with mortality in cancer survivor</w:t>
      </w:r>
      <w:r w:rsidR="00E22738">
        <w:rPr>
          <w:rFonts w:ascii="Times New Roman" w:hAnsi="Times New Roman" w:cs="Times New Roman"/>
        </w:rPr>
        <w:t>s</w:t>
      </w:r>
      <w:r w:rsidRPr="005F3910">
        <w:rPr>
          <w:rFonts w:ascii="Times New Roman" w:hAnsi="Times New Roman" w:cs="Times New Roman"/>
        </w:rPr>
        <w:t xml:space="preserve"> and food-insecure cancer survivo</w:t>
      </w:r>
      <w:r w:rsidR="00E22738">
        <w:rPr>
          <w:rFonts w:ascii="Times New Roman" w:hAnsi="Times New Roman" w:cs="Times New Roman"/>
        </w:rPr>
        <w:t>rs</w:t>
      </w:r>
      <w:r w:rsidRPr="005F3910">
        <w:rPr>
          <w:rFonts w:ascii="Times New Roman" w:hAnsi="Times New Roman" w:cs="Times New Roman"/>
        </w:rPr>
        <w:t>.</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2BE80DC"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sidR="00E22738">
        <w:rPr>
          <w:rFonts w:ascii="Times New Roman" w:hAnsi="Times New Roman" w:cs="Times New Roman"/>
        </w:rPr>
        <w:t xml:space="preserve">, which sampled </w:t>
      </w:r>
      <w:r>
        <w:rPr>
          <w:rFonts w:ascii="Times New Roman" w:hAnsi="Times New Roman" w:cs="Times New Roman"/>
        </w:rPr>
        <w:t>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w:t>
      </w:r>
      <w:r w:rsidR="00E22738">
        <w:rPr>
          <w:rFonts w:ascii="Times New Roman" w:hAnsi="Times New Roman" w:cs="Times New Roman"/>
        </w:rPr>
        <w:t xml:space="preserve">the </w:t>
      </w:r>
      <w:r>
        <w:rPr>
          <w:rFonts w:ascii="Times New Roman" w:hAnsi="Times New Roman" w:cs="Times New Roman"/>
        </w:rPr>
        <w:t xml:space="preserve">relationships between lifestyle, medical, </w:t>
      </w:r>
      <w:r w:rsidR="00E22738">
        <w:rPr>
          <w:rFonts w:ascii="Times New Roman" w:hAnsi="Times New Roman" w:cs="Times New Roman"/>
        </w:rPr>
        <w:t>environmental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w:t>
      </w:r>
      <w:r w:rsidR="00CF01DB">
        <w:rPr>
          <w:rFonts w:ascii="Times New Roman" w:hAnsi="Times New Roman" w:cs="Times New Roman"/>
        </w:rPr>
        <w:lastRenderedPageBreak/>
        <w:t>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w:t>
      </w:r>
      <w:r w:rsidR="00E22738">
        <w:rPr>
          <w:rFonts w:ascii="Times New Roman" w:hAnsi="Times New Roman" w:cs="Times New Roman"/>
        </w:rPr>
        <w:t xml:space="preserve"> written</w:t>
      </w:r>
      <w:r w:rsidR="001B0695">
        <w:rPr>
          <w:rFonts w:ascii="Times New Roman" w:hAnsi="Times New Roman" w:cs="Times New Roman"/>
        </w:rPr>
        <w:t xml:space="preserve"> informed consent</w:t>
      </w:r>
      <w:r w:rsidR="005E6B5F">
        <w:rPr>
          <w:rFonts w:ascii="Times New Roman" w:hAnsi="Times New Roman" w:cs="Times New Roman"/>
        </w:rPr>
        <w:t>,</w:t>
      </w:r>
      <w:r w:rsidR="001B0695">
        <w:rPr>
          <w:rFonts w:ascii="Times New Roman" w:hAnsi="Times New Roman" w:cs="Times New Roman"/>
        </w:rPr>
        <w:t xml:space="preserve"> and</w:t>
      </w:r>
      <w:r w:rsidR="00E22738">
        <w:rPr>
          <w:rFonts w:ascii="Times New Roman" w:hAnsi="Times New Roman" w:cs="Times New Roman"/>
        </w:rPr>
        <w:t xml:space="preserve"> the</w:t>
      </w:r>
      <w:r w:rsidR="001B0695">
        <w:rPr>
          <w:rFonts w:ascii="Times New Roman" w:hAnsi="Times New Roman" w:cs="Times New Roman"/>
        </w:rPr>
        <w:t xml:space="preserve">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w:t>
      </w:r>
      <w:r w:rsidR="00E22738">
        <w:rPr>
          <w:rFonts w:ascii="Times New Roman" w:hAnsi="Times New Roman" w:cs="Times New Roman"/>
        </w:rPr>
        <w:t>-</w:t>
      </w:r>
      <w:r w:rsidR="001B0695">
        <w:rPr>
          <w:rFonts w:ascii="Times New Roman" w:hAnsi="Times New Roman" w:cs="Times New Roman"/>
        </w:rPr>
        <w:t>identified secondary data, it was exempt from Institutional Review Board approval at the University of Illinois Urbana-Champaign.</w:t>
      </w:r>
    </w:p>
    <w:p w14:paraId="7DEA42EB" w14:textId="382AF10B"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w:t>
      </w:r>
      <w:r w:rsidR="00E22738">
        <w:rPr>
          <w:rFonts w:ascii="Times New Roman" w:hAnsi="Times New Roman" w:cs="Times New Roman"/>
        </w:rPr>
        <w:t>d</w:t>
      </w:r>
      <w:r>
        <w:rPr>
          <w:rFonts w:ascii="Times New Roman" w:hAnsi="Times New Roman" w:cs="Times New Roman"/>
        </w:rPr>
        <w:t xml:space="preserve">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w:t>
      </w:r>
      <w:r w:rsidR="00E22738">
        <w:rPr>
          <w:rFonts w:ascii="Times New Roman" w:hAnsi="Times New Roman" w:cs="Times New Roman"/>
        </w:rPr>
        <w:t>U.S.</w:t>
      </w:r>
      <w:r w:rsidR="00334684">
        <w:rPr>
          <w:rFonts w:ascii="Times New Roman" w:hAnsi="Times New Roman" w:cs="Times New Roman"/>
        </w:rPr>
        <w:t xml:space="preserve"> Department of Agriculture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w:t>
      </w:r>
      <w:r w:rsidR="00E22738">
        <w:rPr>
          <w:rFonts w:ascii="Times New Roman" w:hAnsi="Times New Roman" w:cs="Times New Roman"/>
        </w:rPr>
        <w:t>three</w:t>
      </w:r>
      <w:r w:rsidR="00334684">
        <w:rPr>
          <w:rFonts w:ascii="Times New Roman" w:hAnsi="Times New Roman" w:cs="Times New Roman"/>
        </w:rPr>
        <w:t xml:space="preserve">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w:t>
      </w:r>
      <w:r w:rsidR="00E22738">
        <w:rPr>
          <w:rFonts w:ascii="Times New Roman" w:hAnsi="Times New Roman" w:cs="Times New Roman"/>
        </w:rPr>
        <w:t>two</w:t>
      </w:r>
      <w:r w:rsidR="00334684">
        <w:rPr>
          <w:rFonts w:ascii="Times New Roman" w:hAnsi="Times New Roman" w:cs="Times New Roman"/>
        </w:rPr>
        <w:t xml:space="preserve">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w:t>
      </w:r>
      <w:r w:rsidR="00E22738">
        <w:rPr>
          <w:rFonts w:ascii="Times New Roman" w:hAnsi="Times New Roman" w:cs="Times New Roman"/>
        </w:rPr>
        <w:t>ing</w:t>
      </w:r>
      <w:r w:rsidR="00334684">
        <w:rPr>
          <w:rFonts w:ascii="Times New Roman" w:hAnsi="Times New Roman" w:cs="Times New Roman"/>
        </w:rPr>
        <w:t xml:space="preserve"> </w:t>
      </w:r>
      <w:r w:rsidR="00E22738">
        <w:rPr>
          <w:rFonts w:ascii="Times New Roman" w:hAnsi="Times New Roman" w:cs="Times New Roman"/>
        </w:rPr>
        <w:t>using</w:t>
      </w:r>
      <w:r w:rsidR="00334684">
        <w:rPr>
          <w:rFonts w:ascii="Times New Roman" w:hAnsi="Times New Roman" w:cs="Times New Roman"/>
        </w:rPr>
        <w:t xml:space="preserve">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3506EEAD"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 xml:space="preserve">Briefly, </w:t>
      </w:r>
      <w:r>
        <w:rPr>
          <w:rFonts w:ascii="Times New Roman" w:hAnsi="Times New Roman" w:cs="Times New Roman"/>
        </w:rPr>
        <w:t xml:space="preserve">NHANES study staff </w:t>
      </w:r>
      <w:r w:rsidR="009D24E0">
        <w:rPr>
          <w:rFonts w:ascii="Times New Roman" w:hAnsi="Times New Roman" w:cs="Times New Roman"/>
        </w:rPr>
        <w:t xml:space="preserve">assessed dietary intake </w:t>
      </w:r>
      <w:r>
        <w:rPr>
          <w:rFonts w:ascii="Times New Roman" w:hAnsi="Times New Roman" w:cs="Times New Roman"/>
        </w:rPr>
        <w:t>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and </w:t>
      </w:r>
      <w:r w:rsidR="009D24E0">
        <w:rPr>
          <w:rFonts w:ascii="Times New Roman" w:hAnsi="Times New Roman" w:cs="Times New Roman"/>
        </w:rPr>
        <w:t xml:space="preserve">the </w:t>
      </w:r>
      <w:r w:rsidR="0014127A" w:rsidRPr="0014127A">
        <w:rPr>
          <w:rFonts w:ascii="Times New Roman" w:hAnsi="Times New Roman" w:cs="Times New Roman"/>
        </w:rPr>
        <w:t>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t>
      </w:r>
      <w:r w:rsidR="009D24E0">
        <w:rPr>
          <w:rFonts w:ascii="Times New Roman" w:hAnsi="Times New Roman" w:cs="Times New Roman"/>
        </w:rPr>
        <w:t>using</w:t>
      </w:r>
      <w:r w:rsidR="008C4819">
        <w:rPr>
          <w:rFonts w:ascii="Times New Roman" w:hAnsi="Times New Roman" w:cs="Times New Roman"/>
        </w:rPr>
        <w:t xml:space="preserve">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The</w:t>
      </w:r>
      <w:r w:rsidR="009D24E0">
        <w:rPr>
          <w:rFonts w:ascii="Times New Roman" w:hAnsi="Times New Roman" w:cs="Times New Roman"/>
        </w:rPr>
        <w:t>se</w:t>
      </w:r>
      <w:r w:rsidR="00120671">
        <w:rPr>
          <w:rFonts w:ascii="Times New Roman" w:hAnsi="Times New Roman" w:cs="Times New Roman"/>
        </w:rPr>
        <w:t xml:space="preserv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penalized logit models, four binary outcomes were regressed on the </w:t>
      </w:r>
      <w:r w:rsidR="0026524B">
        <w:rPr>
          <w:rFonts w:ascii="Times New Roman" w:hAnsi="Times New Roman" w:cs="Times New Roman"/>
        </w:rPr>
        <w:t xml:space="preserve">centered and </w:t>
      </w:r>
      <w:r w:rsidR="0026524B">
        <w:rPr>
          <w:rFonts w:ascii="Times New Roman" w:hAnsi="Times New Roman" w:cs="Times New Roman"/>
        </w:rPr>
        <w:lastRenderedPageBreak/>
        <w:t xml:space="preserve">scaled transformations of the </w:t>
      </w:r>
      <w:r w:rsidR="00A24ABE">
        <w:rPr>
          <w:rFonts w:ascii="Times New Roman" w:hAnsi="Times New Roman" w:cs="Times New Roman"/>
        </w:rPr>
        <w:t>explanatory variables</w:t>
      </w:r>
      <w:r w:rsidR="009D24E0">
        <w:rPr>
          <w:rFonts w:ascii="Times New Roman" w:hAnsi="Times New Roman" w:cs="Times New Roman"/>
        </w:rPr>
        <w:t xml:space="preserve">. These outcomes </w:t>
      </w:r>
      <w:r w:rsidR="00953990">
        <w:rPr>
          <w:rFonts w:ascii="Times New Roman" w:hAnsi="Times New Roman" w:cs="Times New Roman"/>
        </w:rPr>
        <w:t xml:space="preserve">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w:t>
      </w:r>
      <w:r w:rsidR="009D24E0">
        <w:rPr>
          <w:rFonts w:ascii="Times New Roman" w:hAnsi="Times New Roman" w:cs="Times New Roman"/>
        </w:rPr>
        <w:t>of</w:t>
      </w:r>
      <w:r w:rsidR="00B42F81">
        <w:rPr>
          <w:rFonts w:ascii="Times New Roman" w:hAnsi="Times New Roman" w:cs="Times New Roman"/>
        </w:rPr>
        <w:t xml:space="preserve">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F8E3FD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w:t>
      </w:r>
      <w:r w:rsidR="009D24E0">
        <w:rPr>
          <w:rFonts w:ascii="Times New Roman" w:hAnsi="Times New Roman" w:cs="Times New Roman"/>
        </w:rPr>
        <w:t>was</w:t>
      </w:r>
      <w:r w:rsidRPr="0026524B">
        <w:rPr>
          <w:rFonts w:ascii="Times New Roman" w:hAnsi="Times New Roman" w:cs="Times New Roman"/>
        </w:rPr>
        <w:t xml:space="preserve">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w:t>
      </w:r>
      <w:r w:rsidR="009D24E0">
        <w:rPr>
          <w:rFonts w:ascii="Times New Roman" w:hAnsi="Times New Roman" w:cs="Times New Roman"/>
        </w:rPr>
        <w:t xml:space="preserve">as </w:t>
      </w:r>
      <w:r w:rsidRPr="0026524B">
        <w:rPr>
          <w:rFonts w:ascii="Times New Roman" w:hAnsi="Times New Roman" w:cs="Times New Roman"/>
        </w:rPr>
        <w:t xml:space="preserve">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w:t>
      </w:r>
      <w:r w:rsidR="009D24E0">
        <w:rPr>
          <w:rFonts w:ascii="Times New Roman" w:hAnsi="Times New Roman" w:cs="Times New Roman"/>
        </w:rPr>
        <w:t xml:space="preserve">study </w:t>
      </w:r>
      <w:r w:rsidRPr="0026524B">
        <w:rPr>
          <w:rFonts w:ascii="Times New Roman" w:hAnsi="Times New Roman" w:cs="Times New Roman"/>
        </w:rPr>
        <w:t xml:space="preserve">enrollment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009D24E0">
        <w:rPr>
          <w:rFonts w:ascii="Times New Roman" w:hAnsi="Times New Roman" w:cs="Times New Roman"/>
        </w:rPr>
        <w:t>the</w:t>
      </w:r>
      <w:r w:rsidRPr="0026524B">
        <w:rPr>
          <w:rFonts w:ascii="Times New Roman" w:hAnsi="Times New Roman" w:cs="Times New Roman"/>
        </w:rPr>
        <w:t xml:space="preserve"> administrative censoring date o</w:t>
      </w:r>
      <w:r w:rsidR="009D24E0">
        <w:rPr>
          <w:rFonts w:ascii="Times New Roman" w:hAnsi="Times New Roman" w:cs="Times New Roman"/>
        </w:rPr>
        <w:t>n</w:t>
      </w:r>
      <w:r w:rsidRPr="0026524B">
        <w:rPr>
          <w:rFonts w:ascii="Times New Roman" w:hAnsi="Times New Roman" w:cs="Times New Roman"/>
        </w:rPr>
        <w:t xml:space="preserve">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w:t>
      </w:r>
      <w:r w:rsidR="009D24E0">
        <w:rPr>
          <w:rFonts w:ascii="Times New Roman" w:hAnsi="Times New Roman" w:cs="Times New Roman"/>
        </w:rPr>
        <w:t>s</w:t>
      </w:r>
      <w:r w:rsidR="00756082">
        <w:rPr>
          <w:rFonts w:ascii="Times New Roman" w:hAnsi="Times New Roman" w:cs="Times New Roman"/>
        </w:rPr>
        <w:t>, Tenth Revision (ICD-10) codes</w:t>
      </w:r>
      <w:r w:rsidR="00A358D5">
        <w:rPr>
          <w:rFonts w:ascii="Times New Roman" w:hAnsi="Times New Roman" w:cs="Times New Roman"/>
        </w:rPr>
        <w:t xml:space="preserve"> to classify </w:t>
      </w:r>
      <w:r w:rsidR="009D24E0">
        <w:rPr>
          <w:rFonts w:ascii="Times New Roman" w:hAnsi="Times New Roman" w:cs="Times New Roman"/>
        </w:rPr>
        <w:t xml:space="preserve">the </w:t>
      </w:r>
      <w:r w:rsidR="00A358D5">
        <w:rPr>
          <w:rFonts w:ascii="Times New Roman" w:hAnsi="Times New Roman" w:cs="Times New Roman"/>
        </w:rPr>
        <w:t>causes of death</w:t>
      </w:r>
      <w:r w:rsidR="00756082">
        <w:rPr>
          <w:rFonts w:ascii="Times New Roman" w:hAnsi="Times New Roman" w:cs="Times New Roman"/>
        </w:rPr>
        <w:t xml:space="preserve">. </w:t>
      </w:r>
      <w:r w:rsidR="009D24E0">
        <w:rPr>
          <w:rFonts w:ascii="Times New Roman" w:hAnsi="Times New Roman" w:cs="Times New Roman"/>
        </w:rPr>
        <w:t>S</w:t>
      </w:r>
      <w:r w:rsidR="00BF5784">
        <w:rPr>
          <w:rFonts w:ascii="Times New Roman" w:hAnsi="Times New Roman" w:cs="Times New Roman"/>
        </w:rPr>
        <w:t>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C361C0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9D24E0">
        <w:rPr>
          <w:rFonts w:ascii="Times New Roman" w:hAnsi="Times New Roman" w:cs="Times New Roman"/>
        </w:rPr>
        <w:t>during</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w:t>
      </w:r>
      <w:r w:rsidR="009D24E0">
        <w:rPr>
          <w:rFonts w:ascii="Times New Roman" w:hAnsi="Times New Roman" w:cs="Times New Roman"/>
        </w:rPr>
        <w:t>H</w:t>
      </w:r>
      <w:r>
        <w:rPr>
          <w:rFonts w:ascii="Times New Roman" w:hAnsi="Times New Roman" w:cs="Times New Roman"/>
        </w:rPr>
        <w:t xml:space="preserve">ealth </w:t>
      </w:r>
      <w:r w:rsidR="009D24E0">
        <w:rPr>
          <w:rFonts w:ascii="Times New Roman" w:hAnsi="Times New Roman" w:cs="Times New Roman"/>
        </w:rPr>
        <w:t>I</w:t>
      </w:r>
      <w:r>
        <w:rPr>
          <w:rFonts w:ascii="Times New Roman" w:hAnsi="Times New Roman" w:cs="Times New Roman"/>
        </w:rPr>
        <w:t xml:space="preserve">nsurance </w:t>
      </w:r>
      <w:r w:rsidR="009D24E0">
        <w:rPr>
          <w:rFonts w:ascii="Times New Roman" w:hAnsi="Times New Roman" w:cs="Times New Roman"/>
        </w:rPr>
        <w:t>Q</w:t>
      </w:r>
      <w:r>
        <w:rPr>
          <w:rFonts w:ascii="Times New Roman" w:hAnsi="Times New Roman" w:cs="Times New Roman"/>
        </w:rPr>
        <w:t>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w:t>
      </w:r>
      <w:r w:rsidR="008D429C">
        <w:rPr>
          <w:rFonts w:ascii="Times New Roman" w:hAnsi="Times New Roman" w:cs="Times New Roman"/>
        </w:rPr>
        <w:t xml:space="preserve">, </w:t>
      </w:r>
      <w:r w:rsidR="000143D6" w:rsidRPr="000143D6">
        <w:rPr>
          <w:rFonts w:ascii="Times New Roman" w:hAnsi="Times New Roman" w:cs="Times New Roman"/>
        </w:rPr>
        <w:t xml:space="preserve">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xml:space="preserve">. These </w:t>
      </w:r>
      <w:r w:rsidR="00662128">
        <w:rPr>
          <w:rFonts w:ascii="Times New Roman" w:hAnsi="Times New Roman" w:cs="Times New Roman"/>
        </w:rPr>
        <w:lastRenderedPageBreak/>
        <w:t>data</w:t>
      </w:r>
      <w:r w:rsidR="00EA5E74">
        <w:rPr>
          <w:rFonts w:ascii="Times New Roman" w:hAnsi="Times New Roman" w:cs="Times New Roman"/>
        </w:rPr>
        <w:t xml:space="preserve"> </w:t>
      </w:r>
      <w:r w:rsidR="000143D6">
        <w:rPr>
          <w:rFonts w:ascii="Times New Roman" w:hAnsi="Times New Roman" w:cs="Times New Roman"/>
        </w:rPr>
        <w:t xml:space="preserve">were obtained from the </w:t>
      </w:r>
      <w:r w:rsidR="008D429C">
        <w:rPr>
          <w:rFonts w:ascii="Times New Roman" w:hAnsi="Times New Roman" w:cs="Times New Roman"/>
        </w:rPr>
        <w:t>S</w:t>
      </w:r>
      <w:r w:rsidR="000143D6">
        <w:rPr>
          <w:rFonts w:ascii="Times New Roman" w:hAnsi="Times New Roman" w:cs="Times New Roman"/>
        </w:rPr>
        <w:t xml:space="preserve">moking </w:t>
      </w:r>
      <w:r w:rsidR="008D429C">
        <w:rPr>
          <w:rFonts w:ascii="Times New Roman" w:hAnsi="Times New Roman" w:cs="Times New Roman"/>
        </w:rPr>
        <w:t>Q</w:t>
      </w:r>
      <w:r w:rsidR="000143D6">
        <w:rPr>
          <w:rFonts w:ascii="Times New Roman" w:hAnsi="Times New Roman" w:cs="Times New Roman"/>
        </w:rPr>
        <w:t>uestionnaire</w:t>
      </w:r>
      <w:r w:rsidR="008D429C">
        <w:rPr>
          <w:rFonts w:ascii="Times New Roman" w:hAnsi="Times New Roman" w:cs="Times New Roman"/>
        </w:rPr>
        <w:t xml:space="preserve"> (SMQ)</w:t>
      </w:r>
      <w:r w:rsidR="007709E0">
        <w:rPr>
          <w:rFonts w:ascii="Times New Roman" w:hAnsi="Times New Roman" w:cs="Times New Roman"/>
        </w:rPr>
        <w:t xml:space="preserve">, </w:t>
      </w:r>
      <w:r w:rsidR="008D429C">
        <w:rPr>
          <w:rFonts w:ascii="Times New Roman" w:hAnsi="Times New Roman" w:cs="Times New Roman"/>
        </w:rPr>
        <w:t>24-hour recalls</w:t>
      </w:r>
      <w:r w:rsidR="000143D6">
        <w:rPr>
          <w:rFonts w:ascii="Times New Roman" w:hAnsi="Times New Roman" w:cs="Times New Roman"/>
        </w:rPr>
        <w:t xml:space="preserve">,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xml:space="preserve"> </w:t>
      </w:r>
      <w:r w:rsidR="008D429C">
        <w:rPr>
          <w:rFonts w:ascii="Times New Roman" w:hAnsi="Times New Roman" w:cs="Times New Roman"/>
        </w:rPr>
        <w:t>from</w:t>
      </w:r>
      <w:r w:rsidR="0028265E">
        <w:rPr>
          <w:rFonts w:ascii="Times New Roman" w:hAnsi="Times New Roman" w:cs="Times New Roman"/>
        </w:rPr>
        <w:t xml:space="preserve"> the </w:t>
      </w:r>
      <w:r w:rsidR="008D429C">
        <w:rPr>
          <w:rFonts w:ascii="Times New Roman" w:hAnsi="Times New Roman" w:cs="Times New Roman"/>
        </w:rPr>
        <w:t>P</w:t>
      </w:r>
      <w:r w:rsidR="0028265E">
        <w:rPr>
          <w:rFonts w:ascii="Times New Roman" w:hAnsi="Times New Roman" w:cs="Times New Roman"/>
        </w:rPr>
        <w:t xml:space="preserve">hysical </w:t>
      </w:r>
      <w:r w:rsidR="008D429C">
        <w:rPr>
          <w:rFonts w:ascii="Times New Roman" w:hAnsi="Times New Roman" w:cs="Times New Roman"/>
        </w:rPr>
        <w:t>F</w:t>
      </w:r>
      <w:r w:rsidR="0028265E">
        <w:rPr>
          <w:rFonts w:ascii="Times New Roman" w:hAnsi="Times New Roman" w:cs="Times New Roman"/>
        </w:rPr>
        <w:t xml:space="preserve">unctioning </w:t>
      </w:r>
      <w:r w:rsidR="008D429C">
        <w:rPr>
          <w:rFonts w:ascii="Times New Roman" w:hAnsi="Times New Roman" w:cs="Times New Roman"/>
        </w:rPr>
        <w:t>Q</w:t>
      </w:r>
      <w:r w:rsidR="0028265E">
        <w:rPr>
          <w:rFonts w:ascii="Times New Roman" w:hAnsi="Times New Roman" w:cs="Times New Roman"/>
        </w:rPr>
        <w:t>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w:t>
      </w:r>
      <w:r w:rsidR="008D429C">
        <w:rPr>
          <w:rFonts w:ascii="Times New Roman" w:hAnsi="Times New Roman" w:cs="Times New Roman"/>
        </w:rPr>
        <w:t xml:space="preserve"> defined as</w:t>
      </w:r>
      <w:r w:rsidR="00662128" w:rsidRPr="00662128">
        <w:rPr>
          <w:rFonts w:ascii="Times New Roman" w:hAnsi="Times New Roman" w:cs="Times New Roman"/>
        </w:rPr>
        <w:t xml:space="preserve">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1157F00"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w:t>
      </w:r>
      <w:r w:rsidR="005474D4">
        <w:rPr>
          <w:rFonts w:ascii="Times New Roman" w:hAnsi="Times New Roman" w:cs="Times New Roman"/>
        </w:rPr>
        <w:t>the relationship</w:t>
      </w:r>
      <w:r w:rsidR="00AB3643">
        <w:rPr>
          <w:rFonts w:ascii="Times New Roman" w:hAnsi="Times New Roman" w:cs="Times New Roman"/>
        </w:rPr>
        <w:t xml:space="preserve"> between diet quality measures and all-cause and cause-specific mortalit</w:t>
      </w:r>
      <w:r w:rsidR="005474D4">
        <w:rPr>
          <w:rFonts w:ascii="Times New Roman" w:hAnsi="Times New Roman" w:cs="Times New Roman"/>
        </w:rPr>
        <w:t>y</w:t>
      </w:r>
      <w:r w:rsidR="00AB3643">
        <w:rPr>
          <w:rFonts w:ascii="Times New Roman" w:hAnsi="Times New Roman" w:cs="Times New Roman"/>
        </w:rPr>
        <w:t xml:space="preserve"> </w:t>
      </w:r>
      <w:r w:rsidR="005474D4">
        <w:rPr>
          <w:rFonts w:ascii="Times New Roman" w:hAnsi="Times New Roman" w:cs="Times New Roman"/>
        </w:rPr>
        <w:t>using</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5474D4">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410DEC18" w14:textId="6E813D89"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w:t>
      </w:r>
      <w:r w:rsidR="005474D4">
        <w:rPr>
          <w:rFonts w:ascii="Times New Roman" w:eastAsiaTheme="minorEastAsia" w:hAnsi="Times New Roman" w:cs="Times New Roman"/>
        </w:rPr>
        <w:t>which</w:t>
      </w:r>
      <w:r>
        <w:rPr>
          <w:rFonts w:ascii="Times New Roman" w:eastAsiaTheme="minorEastAsia" w:hAnsi="Times New Roman" w:cs="Times New Roman"/>
        </w:rPr>
        <w:t xml:space="preserve"> indicate</w:t>
      </w:r>
      <w:r w:rsidR="005474D4">
        <w:rPr>
          <w:rFonts w:ascii="Times New Roman" w:eastAsiaTheme="minorEastAsia" w:hAnsi="Times New Roman" w:cs="Times New Roman"/>
        </w:rPr>
        <w:t>s</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w:t>
      </w:r>
      <w:r w:rsidR="005474D4">
        <w:rPr>
          <w:rFonts w:ascii="Times New Roman" w:eastAsiaTheme="minorEastAsia" w:hAnsi="Times New Roman" w:cs="Times New Roman"/>
        </w:rPr>
        <w:t>E</w:t>
      </w:r>
      <w:r>
        <w:rPr>
          <w:rFonts w:ascii="Times New Roman" w:eastAsiaTheme="minorEastAsia" w:hAnsi="Times New Roman" w:cs="Times New Roman"/>
        </w:rPr>
        <w:t>quation 2</w:t>
      </w:r>
      <w:r w:rsidR="005474D4">
        <w:rPr>
          <w:rFonts w:ascii="Times New Roman" w:eastAsiaTheme="minorEastAsia" w:hAnsi="Times New Roman" w:cs="Times New Roman"/>
        </w:rPr>
        <w:t>,</w:t>
      </w:r>
      <w:r>
        <w:rPr>
          <w:rFonts w:ascii="Times New Roman" w:eastAsiaTheme="minorEastAsia" w:hAnsi="Times New Roman" w:cs="Times New Roman"/>
        </w:rPr>
        <w:t xml:space="preserve">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w:t>
      </w:r>
      <w:r w:rsidR="005474D4">
        <w:rPr>
          <w:rFonts w:ascii="Times New Roman" w:eastAsiaTheme="minorEastAsia" w:hAnsi="Times New Roman" w:cs="Times New Roman"/>
        </w:rPr>
        <w:t xml:space="preserve">it </w:t>
      </w:r>
      <w:r>
        <w:rPr>
          <w:rFonts w:ascii="Times New Roman" w:eastAsiaTheme="minorEastAsia" w:hAnsi="Times New Roman" w:cs="Times New Roman"/>
        </w:rPr>
        <w:t>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w:t>
      </w:r>
      <w:r w:rsidR="005474D4">
        <w:rPr>
          <w:rFonts w:ascii="Times New Roman" w:eastAsiaTheme="minorEastAsia" w:hAnsi="Times New Roman" w:cs="Times New Roman"/>
        </w:rPr>
        <w:t>E</w:t>
      </w:r>
      <w:r>
        <w:rPr>
          <w:rFonts w:ascii="Times New Roman" w:eastAsiaTheme="minorEastAsia" w:hAnsi="Times New Roman" w:cs="Times New Roman"/>
        </w:rPr>
        <w:t>quation 3</w:t>
      </w:r>
      <w:r w:rsidR="005474D4">
        <w:rPr>
          <w:rFonts w:ascii="Times New Roman" w:eastAsiaTheme="minorEastAsia" w:hAnsi="Times New Roman" w:cs="Times New Roman"/>
        </w:rPr>
        <w:t>,</w:t>
      </w:r>
      <w:r>
        <w:rPr>
          <w:rFonts w:ascii="Times New Roman" w:eastAsiaTheme="minorEastAsia" w:hAnsi="Times New Roman" w:cs="Times New Roman"/>
        </w:rPr>
        <w:t xml:space="preserve"> we specify the diet index as a continuous variable scaled by the standard deviation of the index and in equation </w:t>
      </w:r>
      <w:r>
        <w:rPr>
          <w:rFonts w:ascii="Times New Roman" w:eastAsiaTheme="minorEastAsia" w:hAnsi="Times New Roman" w:cs="Times New Roman"/>
        </w:rPr>
        <w:lastRenderedPageBreak/>
        <w:t xml:space="preserve">4 we specify the diet index with a basis expansion of </w:t>
      </w:r>
      <m:oMath>
        <m:r>
          <w:rPr>
            <w:rFonts w:ascii="Cambria Math" w:eastAsiaTheme="minorEastAsia" w:hAnsi="Cambria Math" w:cs="Times New Roman"/>
          </w:rPr>
          <m:t>M=4</m:t>
        </m:r>
      </m:oMath>
      <w:r>
        <w:rPr>
          <w:rFonts w:ascii="Times New Roman" w:eastAsiaTheme="minorEastAsia" w:hAnsi="Times New Roman" w:cs="Times New Roman"/>
        </w:rPr>
        <w:t xml:space="preserve"> basis functions (not shown here) for </w:t>
      </w:r>
      <w:r w:rsidR="003473C4">
        <w:rPr>
          <w:rFonts w:ascii="Times New Roman" w:eastAsiaTheme="minorEastAsia" w:hAnsi="Times New Roman" w:cs="Times New Roman"/>
        </w:rPr>
        <w:t xml:space="preserve">a </w:t>
      </w:r>
      <w:r>
        <w:rPr>
          <w:rFonts w:ascii="Times New Roman" w:eastAsiaTheme="minorEastAsia" w:hAnsi="Times New Roman" w:cs="Times New Roman"/>
        </w:rPr>
        <w:t xml:space="preserve">natural cubic spline. </w:t>
      </w:r>
      <w:r w:rsidR="005474D4">
        <w:rPr>
          <w:rFonts w:ascii="Times New Roman" w:eastAsiaTheme="minorEastAsia" w:hAnsi="Times New Roman" w:cs="Times New Roman"/>
        </w:rPr>
        <w:t xml:space="preserve">The model </w:t>
      </w:r>
      <w:r>
        <w:rPr>
          <w:rFonts w:ascii="Times New Roman" w:eastAsiaTheme="minorEastAsia" w:hAnsi="Times New Roman" w:cs="Times New Roman"/>
        </w:rPr>
        <w:t xml:space="preserve">fit using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w:t>
      </w:r>
      <w:r w:rsidR="005474D4">
        <w:rPr>
          <w:rFonts w:ascii="Times New Roman" w:eastAsiaTheme="minorEastAsia" w:hAnsi="Times New Roman" w:cs="Times New Roman"/>
        </w:rPr>
        <w:t>M</w:t>
      </w:r>
      <w:r>
        <w:rPr>
          <w:rFonts w:ascii="Times New Roman" w:eastAsiaTheme="minorEastAsia" w:hAnsi="Times New Roman" w:cs="Times New Roman"/>
        </w:rPr>
        <w:t xml:space="preserve">odel 3 is nested in </w:t>
      </w:r>
      <w:r w:rsidR="005474D4">
        <w:rPr>
          <w:rFonts w:ascii="Times New Roman" w:eastAsiaTheme="minorEastAsia" w:hAnsi="Times New Roman" w:cs="Times New Roman"/>
        </w:rPr>
        <w:t>M</w:t>
      </w:r>
      <w:r>
        <w:rPr>
          <w:rFonts w:ascii="Times New Roman" w:eastAsiaTheme="minorEastAsia" w:hAnsi="Times New Roman" w:cs="Times New Roman"/>
        </w:rPr>
        <w:t xml:space="preserve">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w:t>
      </w:r>
      <w:r w:rsidR="005474D4">
        <w:rPr>
          <w:rFonts w:ascii="Times New Roman" w:eastAsiaTheme="minorEastAsia" w:hAnsi="Times New Roman" w:cs="Times New Roman"/>
        </w:rPr>
        <w:t>for</w:t>
      </w:r>
      <w:r>
        <w:rPr>
          <w:rFonts w:ascii="Times New Roman" w:eastAsiaTheme="minorEastAsia" w:hAnsi="Times New Roman" w:cs="Times New Roman"/>
        </w:rPr>
        <w:t xml:space="preserve">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w:t>
      </w:r>
      <w:r w:rsidR="00340F34">
        <w:rPr>
          <w:rFonts w:ascii="Times New Roman" w:hAnsi="Times New Roman" w:cs="Times New Roman"/>
        </w:rPr>
        <w:t>of</w:t>
      </w:r>
      <w:r w:rsidR="00586A40">
        <w:rPr>
          <w:rFonts w:ascii="Times New Roman" w:hAnsi="Times New Roman" w:cs="Times New Roman"/>
        </w:rPr>
        <w:t xml:space="preserve">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 xml:space="preserve">We also considered </w:t>
      </w:r>
      <w:r w:rsidR="00340F34">
        <w:rPr>
          <w:rFonts w:ascii="Times New Roman" w:hAnsi="Times New Roman" w:cs="Times New Roman"/>
        </w:rPr>
        <w:t xml:space="preserve">the </w:t>
      </w:r>
      <w:r w:rsidR="006F4653" w:rsidRPr="006F4653">
        <w:rPr>
          <w:rFonts w:ascii="Times New Roman" w:hAnsi="Times New Roman" w:cs="Times New Roman"/>
        </w:rPr>
        <w:t xml:space="preserve">NHANES ADL </w:t>
      </w:r>
      <w:r w:rsidR="00340F34">
        <w:rPr>
          <w:rFonts w:ascii="Times New Roman" w:hAnsi="Times New Roman" w:cs="Times New Roman"/>
        </w:rPr>
        <w:t xml:space="preserve">score </w:t>
      </w:r>
      <w:r w:rsidR="006F4653" w:rsidRPr="006F4653">
        <w:rPr>
          <w:rFonts w:ascii="Times New Roman" w:hAnsi="Times New Roman" w:cs="Times New Roman"/>
        </w:rPr>
        <w:t>as a covariate, given that food security can be associated with physical disability and functional deficit</w:t>
      </w:r>
      <w:r w:rsidR="00340F34">
        <w:rPr>
          <w:rFonts w:ascii="Times New Roman" w:hAnsi="Times New Roman" w:cs="Times New Roman"/>
        </w:rPr>
        <w:t>s</w:t>
      </w:r>
      <w:r w:rsidR="006F4653" w:rsidRPr="006F4653">
        <w:rPr>
          <w:rFonts w:ascii="Times New Roman" w:hAnsi="Times New Roman" w:cs="Times New Roman"/>
        </w:rPr>
        <w:t xml:space="preserve">. However, we did not include it in our primary models, given </w:t>
      </w:r>
      <w:r w:rsidR="00340F34">
        <w:rPr>
          <w:rFonts w:ascii="Times New Roman" w:hAnsi="Times New Roman" w:cs="Times New Roman"/>
        </w:rPr>
        <w:t xml:space="preserve">the </w:t>
      </w:r>
      <w:r w:rsidR="006F4653" w:rsidRPr="006F4653">
        <w:rPr>
          <w:rFonts w:ascii="Times New Roman" w:hAnsi="Times New Roman" w:cs="Times New Roman"/>
        </w:rPr>
        <w:t>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w:t>
      </w:r>
      <w:r w:rsidR="00D33B18">
        <w:rPr>
          <w:rFonts w:ascii="Times New Roman" w:hAnsi="Times New Roman" w:cs="Times New Roman"/>
        </w:rPr>
        <w:t>ub</w:t>
      </w:r>
      <w:r w:rsidR="00340F34">
        <w:rPr>
          <w:rFonts w:ascii="Times New Roman" w:hAnsi="Times New Roman" w:cs="Times New Roman"/>
        </w:rPr>
        <w:t>-</w:t>
      </w:r>
      <w:r w:rsidR="00E21C9A">
        <w:rPr>
          <w:rFonts w:ascii="Times New Roman" w:hAnsi="Times New Roman" w:cs="Times New Roman"/>
        </w:rPr>
        <w:t xml:space="preserve">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provided by the NCHS and weighting the</w:t>
      </w:r>
      <w:r w:rsidR="00340F34">
        <w:rPr>
          <w:rFonts w:ascii="Times New Roman" w:hAnsi="Times New Roman" w:cs="Times New Roman"/>
        </w:rPr>
        <w:t>m</w:t>
      </w:r>
      <w:r w:rsidR="003E7C7C">
        <w:rPr>
          <w:rFonts w:ascii="Times New Roman" w:hAnsi="Times New Roman" w:cs="Times New Roman"/>
        </w:rPr>
        <w:t xml:space="preserve">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w:t>
      </w:r>
      <w:r w:rsidR="00340F34">
        <w:rPr>
          <w:rFonts w:ascii="Times New Roman" w:eastAsiaTheme="minorEastAsia" w:hAnsi="Times New Roman" w:cs="Times New Roman"/>
        </w:rPr>
        <w:t>The R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3C513FE"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w:t>
      </w:r>
      <w:r w:rsidR="00332B47">
        <w:rPr>
          <w:rFonts w:ascii="Times New Roman" w:hAnsi="Times New Roman" w:cs="Times New Roman"/>
        </w:rPr>
        <w:lastRenderedPageBreak/>
        <w:t xml:space="preserve">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identify as current smoker</w:t>
      </w:r>
      <w:r w:rsidR="00F92EA2">
        <w:rPr>
          <w:rFonts w:ascii="Times New Roman" w:hAnsi="Times New Roman" w:cs="Times New Roman"/>
        </w:rPr>
        <w:t>s</w:t>
      </w:r>
      <w:r w:rsidR="00D25ED6">
        <w:rPr>
          <w:rFonts w:ascii="Times New Roman" w:hAnsi="Times New Roman" w:cs="Times New Roman"/>
        </w:rPr>
        <w:t>,</w:t>
      </w:r>
      <w:r w:rsidR="00332B47">
        <w:rPr>
          <w:rFonts w:ascii="Times New Roman" w:hAnsi="Times New Roman" w:cs="Times New Roman"/>
        </w:rPr>
        <w:t xml:space="preserve"> </w:t>
      </w:r>
      <w:r w:rsidR="00AA50B7">
        <w:rPr>
          <w:rFonts w:ascii="Times New Roman" w:hAnsi="Times New Roman" w:cs="Times New Roman"/>
        </w:rPr>
        <w:t>have</w:t>
      </w:r>
      <w:r w:rsidR="00332B47">
        <w:rPr>
          <w:rFonts w:ascii="Times New Roman" w:hAnsi="Times New Roman" w:cs="Times New Roman"/>
        </w:rPr>
        <w:t xml:space="preserve"> a greater comorbidity burden</w:t>
      </w:r>
      <w:r w:rsidR="00F92EA2">
        <w:rPr>
          <w:rFonts w:ascii="Times New Roman" w:hAnsi="Times New Roman" w:cs="Times New Roman"/>
        </w:rPr>
        <w:t>, and were less likely to be heavy drinkers than their food-secure counterparts.</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4B6454AE"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w:t>
      </w:r>
      <w:r w:rsidR="00AA50B7">
        <w:rPr>
          <w:rFonts w:ascii="Times New Roman" w:hAnsi="Times New Roman" w:cs="Times New Roman"/>
        </w:rPr>
        <w:lastRenderedPageBreak/>
        <w:t xml:space="preserve">pattern, and lower scores on the Age, Prudent #1, and Prudent #2 patterns compared to </w:t>
      </w:r>
      <w:r w:rsidR="00377C36">
        <w:rPr>
          <w:rFonts w:ascii="Times New Roman" w:hAnsi="Times New Roman" w:cs="Times New Roman"/>
        </w:rPr>
        <w:t>food-</w:t>
      </w:r>
      <w:r w:rsidR="00D43AB2">
        <w:rPr>
          <w:rFonts w:ascii="Times New Roman" w:hAnsi="Times New Roman" w:cs="Times New Roman"/>
          <w:noProof/>
        </w:rPr>
        <w:drawing>
          <wp:anchor distT="0" distB="0" distL="114300" distR="114300" simplePos="0" relativeHeight="251684864" behindDoc="0" locked="0" layoutInCell="1" allowOverlap="1" wp14:anchorId="0644C7C1" wp14:editId="28EB9C80">
            <wp:simplePos x="0" y="0"/>
            <wp:positionH relativeFrom="column">
              <wp:posOffset>0</wp:posOffset>
            </wp:positionH>
            <wp:positionV relativeFrom="paragraph">
              <wp:posOffset>1263974</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C36">
        <w:rPr>
          <w:rFonts w:ascii="Times New Roman" w:hAnsi="Times New Roman" w:cs="Times New Roman"/>
        </w:rPr>
        <w:t>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6D2A7081" w:rsidR="0024408E" w:rsidRDefault="0024408E" w:rsidP="00E43C36">
      <w:pPr>
        <w:spacing w:line="360" w:lineRule="auto"/>
        <w:rPr>
          <w:rFonts w:ascii="Times New Roman" w:hAnsi="Times New Roman" w:cs="Times New Roman"/>
        </w:rPr>
      </w:pPr>
    </w:p>
    <w:p w14:paraId="15604957" w14:textId="59698447" w:rsidR="00387D8D" w:rsidRDefault="00387D8D" w:rsidP="00E43C36">
      <w:pPr>
        <w:spacing w:line="360" w:lineRule="auto"/>
        <w:rPr>
          <w:rFonts w:ascii="Times New Roman" w:hAnsi="Times New Roman" w:cs="Times New Roman"/>
        </w:rPr>
      </w:pPr>
    </w:p>
    <w:p w14:paraId="1B660C42" w14:textId="23346975" w:rsidR="00387D8D" w:rsidRDefault="00387D8D" w:rsidP="00E43C36">
      <w:pPr>
        <w:spacing w:line="360" w:lineRule="auto"/>
        <w:rPr>
          <w:rFonts w:ascii="Times New Roman" w:hAnsi="Times New Roman" w:cs="Times New Roman"/>
        </w:rPr>
      </w:pPr>
    </w:p>
    <w:p w14:paraId="1F5025EC" w14:textId="4004875D" w:rsidR="00387D8D" w:rsidRDefault="001604AA" w:rsidP="00E43C36">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637823D1">
                <wp:simplePos x="0" y="0"/>
                <wp:positionH relativeFrom="column">
                  <wp:posOffset>86360</wp:posOffset>
                </wp:positionH>
                <wp:positionV relativeFrom="paragraph">
                  <wp:posOffset>4561989</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4C1B" id="_x0000_s1027" type="#_x0000_t202" style="position:absolute;margin-left:6.8pt;margin-top:359.2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NNL8bj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329C164C" w14:textId="522C19CF" w:rsidR="00387D8D" w:rsidRDefault="00387D8D" w:rsidP="00B51CDF">
      <w:pPr>
        <w:spacing w:line="360" w:lineRule="auto"/>
        <w:rPr>
          <w:rFonts w:ascii="Times New Roman" w:hAnsi="Times New Roman" w:cs="Times New Roman"/>
        </w:rPr>
      </w:pPr>
    </w:p>
    <w:p w14:paraId="2A93DC6C" w14:textId="709DE64C" w:rsidR="00387D8D" w:rsidRDefault="00387D8D" w:rsidP="00B51CDF">
      <w:pPr>
        <w:spacing w:line="360" w:lineRule="auto"/>
        <w:rPr>
          <w:rFonts w:ascii="Times New Roman" w:hAnsi="Times New Roman" w:cs="Times New Roman"/>
        </w:rPr>
      </w:pPr>
    </w:p>
    <w:p w14:paraId="2E5BA278" w14:textId="26B8435E" w:rsidR="00387D8D" w:rsidRDefault="00387D8D" w:rsidP="00B51CDF">
      <w:pPr>
        <w:spacing w:line="360" w:lineRule="auto"/>
        <w:rPr>
          <w:rFonts w:ascii="Times New Roman" w:hAnsi="Times New Roman" w:cs="Times New Roman"/>
        </w:rPr>
      </w:pPr>
    </w:p>
    <w:p w14:paraId="34FB5FAA" w14:textId="77777777" w:rsidR="00E12428" w:rsidRDefault="00E12428" w:rsidP="00B51CDF">
      <w:pPr>
        <w:spacing w:line="360" w:lineRule="auto"/>
        <w:rPr>
          <w:rFonts w:ascii="Times New Roman" w:hAnsi="Times New Roman" w:cs="Times New Roman"/>
        </w:rPr>
      </w:pPr>
    </w:p>
    <w:p w14:paraId="6DB16D76" w14:textId="77777777"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77777777" w:rsidR="00E12428" w:rsidRDefault="00E12428" w:rsidP="00B51CDF">
      <w:pPr>
        <w:spacing w:line="360" w:lineRule="auto"/>
        <w:rPr>
          <w:rFonts w:ascii="Times New Roman" w:hAnsi="Times New Roman" w:cs="Times New Roman"/>
        </w:rPr>
      </w:pPr>
    </w:p>
    <w:p w14:paraId="09455B6E" w14:textId="2147B70B" w:rsidR="00E12428" w:rsidRDefault="00182B74" w:rsidP="00B51CDF">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77A08195" wp14:editId="4610A358">
                <wp:simplePos x="0" y="0"/>
                <wp:positionH relativeFrom="column">
                  <wp:posOffset>-359870</wp:posOffset>
                </wp:positionH>
                <wp:positionV relativeFrom="paragraph">
                  <wp:posOffset>-582930</wp:posOffset>
                </wp:positionV>
                <wp:extent cx="6804498" cy="8796236"/>
                <wp:effectExtent l="0" t="0" r="3175" b="5080"/>
                <wp:wrapNone/>
                <wp:docPr id="1628357051" name="Text Box 1628357051"/>
                <wp:cNvGraphicFramePr/>
                <a:graphic xmlns:a="http://schemas.openxmlformats.org/drawingml/2006/main">
                  <a:graphicData uri="http://schemas.microsoft.com/office/word/2010/wordprocessingShape">
                    <wps:wsp>
                      <wps:cNvSpPr txBox="1"/>
                      <wps:spPr>
                        <a:xfrm>
                          <a:off x="0" y="0"/>
                          <a:ext cx="6804498" cy="8796236"/>
                        </a:xfrm>
                        <a:prstGeom prst="rect">
                          <a:avLst/>
                        </a:prstGeom>
                        <a:solidFill>
                          <a:schemeClr val="lt1"/>
                        </a:solidFill>
                        <a:ln w="6350">
                          <a:noFill/>
                        </a:ln>
                      </wps:spPr>
                      <wps:txb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8195" id="_x0000_t202" coordsize="21600,21600" o:spt="202" path="m,l,21600r21600,l21600,xe">
                <v:stroke joinstyle="miter"/>
                <v:path gradientshapeok="t" o:connecttype="rect"/>
              </v:shapetype>
              <v:shape id="Text Box 1628357051" o:spid="_x0000_s1028" type="#_x0000_t202" style="position:absolute;margin-left:-28.35pt;margin-top:-45.9pt;width:535.8pt;height:69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" fillcolor="white [3201]" stroked="f" strokeweight=".5pt">
                <v:textbo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v:textbox>
              </v:shape>
            </w:pict>
          </mc:Fallback>
        </mc:AlternateContent>
      </w: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1F732D89"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In our primary analysis</w:t>
      </w:r>
      <w:r w:rsidR="00F92EA2">
        <w:rPr>
          <w:rFonts w:ascii="Times New Roman" w:hAnsi="Times New Roman" w:cs="Times New Roman"/>
        </w:rPr>
        <w:t>,</w:t>
      </w:r>
      <w:r w:rsidRPr="0036297A">
        <w:rPr>
          <w:rFonts w:ascii="Times New Roman" w:hAnsi="Times New Roman" w:cs="Times New Roman"/>
        </w:rPr>
        <w:t xml:space="preserve">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w:t>
      </w:r>
      <w:r w:rsidR="00F92EA2">
        <w:rPr>
          <w:rFonts w:ascii="Times New Roman" w:hAnsi="Times New Roman" w:cs="Times New Roman"/>
        </w:rPr>
        <w:t>than</w:t>
      </w:r>
      <w:r w:rsidRPr="0036297A">
        <w:rPr>
          <w:rFonts w:ascii="Times New Roman" w:hAnsi="Times New Roman" w:cs="Times New Roman"/>
        </w:rPr>
        <w:t xml:space="preserve"> the lowest quintile, and a standard deviation increase in the index score was associated with a 23% increased risk of all-cause mortality. Similarly, the highest quintile of the SNAP pattern score had a 2.17-fold increased risk of all-cause mortality compared </w:t>
      </w:r>
      <w:r w:rsidR="00F92EA2">
        <w:rPr>
          <w:rFonts w:ascii="Times New Roman" w:hAnsi="Times New Roman" w:cs="Times New Roman"/>
        </w:rPr>
        <w:t>with</w:t>
      </w:r>
      <w:r w:rsidRPr="0036297A">
        <w:rPr>
          <w:rFonts w:ascii="Times New Roman" w:hAnsi="Times New Roman" w:cs="Times New Roman"/>
        </w:rPr>
        <w:t xml:space="preserve">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w:t>
      </w:r>
      <w:r w:rsidR="00F92EA2">
        <w:rPr>
          <w:rFonts w:ascii="Times New Roman" w:hAnsi="Times New Roman" w:cs="Times New Roman"/>
        </w:rPr>
        <w:t>although</w:t>
      </w:r>
      <w:r w:rsidRPr="0036297A">
        <w:rPr>
          <w:rFonts w:ascii="Times New Roman" w:hAnsi="Times New Roman" w:cs="Times New Roman"/>
        </w:rPr>
        <w:t xml:space="preserve"> they had </w:t>
      </w:r>
      <w:r w:rsidR="00F92EA2">
        <w:rPr>
          <w:rFonts w:ascii="Times New Roman" w:hAnsi="Times New Roman" w:cs="Times New Roman"/>
        </w:rPr>
        <w:t xml:space="preserve">a </w:t>
      </w:r>
      <w:r w:rsidRPr="0036297A">
        <w:rPr>
          <w:rFonts w:ascii="Times New Roman" w:hAnsi="Times New Roman" w:cs="Times New Roman"/>
        </w:rPr>
        <w:t>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5504202F"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F92EA2">
        <w:rPr>
          <w:rFonts w:ascii="Times New Roman" w:hAnsi="Times New Roman" w:cs="Times New Roman"/>
        </w:rPr>
        <w:t>Among</w:t>
      </w:r>
      <w:r w:rsidR="00291D99">
        <w:rPr>
          <w:rFonts w:ascii="Times New Roman" w:hAnsi="Times New Roman" w:cs="Times New Roman"/>
        </w:rPr>
        <w:t xml:space="preserve">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w:t>
      </w:r>
      <w:r w:rsidR="00F92EA2">
        <w:rPr>
          <w:rFonts w:ascii="Times New Roman" w:hAnsi="Times New Roman" w:cs="Times New Roman"/>
        </w:rPr>
        <w:t>than</w:t>
      </w:r>
      <w:r w:rsidR="00291D99">
        <w:rPr>
          <w:rFonts w:ascii="Times New Roman" w:hAnsi="Times New Roman" w:cs="Times New Roman"/>
        </w:rPr>
        <w:t xml:space="preserve"> the first quintile</w:t>
      </w:r>
      <w:r w:rsidR="00F92EA2">
        <w:rPr>
          <w:rFonts w:ascii="Times New Roman" w:hAnsi="Times New Roman" w:cs="Times New Roman"/>
        </w:rPr>
        <w:t>,</w:t>
      </w:r>
      <w:r w:rsidR="00FE4324">
        <w:rPr>
          <w:rFonts w:ascii="Times New Roman" w:hAnsi="Times New Roman" w:cs="Times New Roman"/>
        </w:rPr>
        <w:t xml:space="preserve"> with a significant </w:t>
      </w:r>
      <w:r w:rsidR="00E2638A">
        <w:rPr>
          <w:rFonts w:ascii="Times New Roman" w:hAnsi="Times New Roman" w:cs="Times New Roman"/>
        </w:rPr>
        <w:t xml:space="preserve">linear </w:t>
      </w:r>
      <w:r w:rsidR="00FE4324">
        <w:rPr>
          <w:rFonts w:ascii="Times New Roman" w:hAnsi="Times New Roman" w:cs="Times New Roman"/>
        </w:rPr>
        <w:t>trend</w:t>
      </w:r>
      <w:r w:rsidR="00F92EA2">
        <w:rPr>
          <w:rFonts w:ascii="Times New Roman" w:hAnsi="Times New Roman" w:cs="Times New Roman"/>
        </w:rPr>
        <w:t xml:space="preserve"> test</w:t>
      </w:r>
      <w:r w:rsidR="00291D99">
        <w:rPr>
          <w:rFonts w:ascii="Times New Roman" w:hAnsi="Times New Roman" w:cs="Times New Roman"/>
        </w:rPr>
        <w:t xml:space="preserve">. </w:t>
      </w:r>
    </w:p>
    <w:p w14:paraId="04C87BF4" w14:textId="3CAE9A74" w:rsidR="00E64F2F" w:rsidRDefault="004348ED" w:rsidP="00CB3F07">
      <w:pPr>
        <w:spacing w:line="360" w:lineRule="auto"/>
        <w:ind w:firstLine="720"/>
        <w:rPr>
          <w:rFonts w:ascii="Times New Roman" w:hAnsi="Times New Roman" w:cs="Times New Roman"/>
        </w:rPr>
        <w:sectPr w:rsidR="00E64F2F" w:rsidSect="00687A69">
          <w:pgSz w:w="12240" w:h="15840"/>
          <w:pgMar w:top="1440" w:right="1440" w:bottom="1440" w:left="1440" w:header="720" w:footer="720" w:gutter="0"/>
          <w:cols w:space="720"/>
          <w:docGrid w:linePitch="360"/>
        </w:sectPr>
      </w:pPr>
      <w:r>
        <w:rPr>
          <w:rFonts w:ascii="Times New Roman" w:hAnsi="Times New Roman" w:cs="Times New Roman"/>
        </w:rPr>
        <w:t xml:space="preserve">When we examined cancer-specific mortality, the parameter estimates </w:t>
      </w:r>
      <w:r w:rsidR="00F92EA2">
        <w:rPr>
          <w:rFonts w:ascii="Times New Roman" w:hAnsi="Times New Roman" w:cs="Times New Roman"/>
        </w:rPr>
        <w:t>for</w:t>
      </w:r>
      <w:r>
        <w:rPr>
          <w:rFonts w:ascii="Times New Roman" w:hAnsi="Times New Roman" w:cs="Times New Roman"/>
        </w:rPr>
        <w:t xml:space="preserve">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risk of cardiovascular disease-related mortality. </w:t>
      </w:r>
      <w:r w:rsidR="001B1D50">
        <w:rPr>
          <w:rFonts w:ascii="Times New Roman" w:eastAsiaTheme="minorEastAsia" w:hAnsi="Times New Roman" w:cs="Times New Roman"/>
        </w:rPr>
        <w:t xml:space="preserve">Further </w:t>
      </w:r>
      <w:r w:rsidR="00F92EA2">
        <w:rPr>
          <w:rFonts w:ascii="Times New Roman" w:eastAsiaTheme="minorEastAsia" w:hAnsi="Times New Roman" w:cs="Times New Roman"/>
        </w:rPr>
        <w:t>adjustment</w:t>
      </w:r>
      <w:r w:rsidR="001B1D50">
        <w:rPr>
          <w:rFonts w:ascii="Times New Roman" w:eastAsiaTheme="minorEastAsia" w:hAnsi="Times New Roman" w:cs="Times New Roman"/>
        </w:rPr>
        <w:t xml:space="preserve">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F92EA2">
        <w:rPr>
          <w:rFonts w:ascii="Times New Roman" w:eastAsiaTheme="minorEastAsia" w:hAnsi="Times New Roman" w:cs="Times New Roman"/>
        </w:rPr>
        <w:t>the loss of</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CB3F07">
        <w:rPr>
          <w:rFonts w:ascii="Times New Roman" w:eastAsiaTheme="minorEastAsia" w:hAnsi="Times New Roman" w:cs="Times New Roman"/>
        </w:rPr>
        <w:t>was</w:t>
      </w:r>
      <w:r w:rsidR="00D753EF">
        <w:rPr>
          <w:rFonts w:ascii="Times New Roman" w:eastAsiaTheme="minorEastAsia" w:hAnsi="Times New Roman" w:cs="Times New Roman"/>
        </w:rPr>
        <w:t xml:space="preserve">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CB3F07" w:rsidRPr="00CB3F07">
        <w:rPr>
          <w:rFonts w:ascii="Times New Roman" w:eastAsiaTheme="minorEastAsia" w:hAnsi="Times New Roman" w:cs="Times New Roman"/>
        </w:rPr>
        <w:t>The SNAP pattern in this analysis yielded results that were similar to those observed in the primary analysis. Notably, the relationships between Prudent patterns #1 and #2 and all-cause mortality were attenuated towards the null.</w:t>
      </w: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r>
                                    <w:rPr>
                                      <w:rFonts w:ascii="Times New Roman" w:hAnsi="Times New Roman" w:cs="Times New Roman"/>
                                      <w:b/>
                                      <w:bCs/>
                                      <w:sz w:val="20"/>
                                      <w:szCs w:val="20"/>
                                    </w:rPr>
                                    <w:t>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r>
                              <w:rPr>
                                <w:rFonts w:ascii="Times New Roman" w:hAnsi="Times New Roman" w:cs="Times New Roman"/>
                                <w:b/>
                                <w:bCs/>
                                <w:sz w:val="20"/>
                                <w:szCs w:val="20"/>
                              </w:rPr>
                              <w:t>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35212BBC" w14:textId="25906B0B" w:rsidR="00D9498C" w:rsidRDefault="008E53DB" w:rsidP="008E53DB">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r w:rsidRPr="00E43C36">
                              <w:rPr>
                                <w:rFonts w:ascii="Times New Roman" w:hAnsi="Times New Roman" w:cs="Times New Roman"/>
                                <w:sz w:val="20"/>
                                <w:szCs w:val="20"/>
                              </w:rPr>
                              <w:t>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DA7FE72"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sidR="00CB3F07">
        <w:rPr>
          <w:rFonts w:ascii="Times New Roman" w:hAnsi="Times New Roman" w:cs="Times New Roman"/>
        </w:rPr>
        <w:lastRenderedPageBreak/>
        <w:t>for</w:t>
      </w:r>
      <w:r>
        <w:rPr>
          <w:rFonts w:ascii="Times New Roman" w:hAnsi="Times New Roman" w:cs="Times New Roman"/>
        </w:rPr>
        <w:t xml:space="preserve"> extract</w:t>
      </w:r>
      <w:r w:rsidR="00CB3F07">
        <w:rPr>
          <w:rFonts w:ascii="Times New Roman" w:hAnsi="Times New Roman" w:cs="Times New Roman"/>
        </w:rPr>
        <w:t>ing</w:t>
      </w:r>
      <w:r>
        <w:rPr>
          <w:rFonts w:ascii="Times New Roman" w:hAnsi="Times New Roman" w:cs="Times New Roman"/>
        </w:rPr>
        <w:t xml:space="preserve">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w:t>
      </w:r>
      <w:r w:rsidR="00CB3F07">
        <w:rPr>
          <w:rFonts w:ascii="Times New Roman" w:hAnsi="Times New Roman" w:cs="Times New Roman"/>
        </w:rPr>
        <w:t>d</w:t>
      </w:r>
      <w:r>
        <w:rPr>
          <w:rFonts w:ascii="Times New Roman" w:hAnsi="Times New Roman" w:cs="Times New Roman"/>
        </w:rPr>
        <w:t xml:space="preserv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w:t>
      </w:r>
      <w:r w:rsidR="00CB3F07">
        <w:rPr>
          <w:rFonts w:ascii="Times New Roman" w:hAnsi="Times New Roman" w:cs="Times New Roman"/>
        </w:rPr>
        <w:t xml:space="preserve"> with </w:t>
      </w:r>
      <w:r>
        <w:rPr>
          <w:rFonts w:ascii="Times New Roman" w:hAnsi="Times New Roman" w:cs="Times New Roman"/>
        </w:rPr>
        <w:t>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w:t>
      </w:r>
      <w:r w:rsidR="00CB3F07">
        <w:rPr>
          <w:rFonts w:ascii="Times New Roman" w:hAnsi="Times New Roman" w:cs="Times New Roman"/>
        </w:rPr>
        <w:t xml:space="preserve">y </w:t>
      </w:r>
      <w:r w:rsidR="00563FE1">
        <w:rPr>
          <w:rFonts w:ascii="Times New Roman" w:hAnsi="Times New Roman" w:cs="Times New Roman"/>
        </w:rPr>
        <w:t>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CB3F07">
        <w:rPr>
          <w:rFonts w:ascii="Times New Roman" w:hAnsi="Times New Roman" w:cs="Times New Roman"/>
        </w:rPr>
        <w:t xml:space="preserve">the </w:t>
      </w:r>
      <w:r w:rsidR="001067FC">
        <w:rPr>
          <w:rFonts w:ascii="Times New Roman" w:hAnsi="Times New Roman" w:cs="Times New Roman"/>
        </w:rPr>
        <w:t xml:space="preserve">evidence for these patterns was not as strong as </w:t>
      </w:r>
      <w:r w:rsidR="00CB3F07">
        <w:rPr>
          <w:rFonts w:ascii="Times New Roman" w:hAnsi="Times New Roman" w:cs="Times New Roman"/>
        </w:rPr>
        <w:t>that of the</w:t>
      </w:r>
      <w:r w:rsidR="001067FC">
        <w:rPr>
          <w:rFonts w:ascii="Times New Roman" w:hAnsi="Times New Roman" w:cs="Times New Roman"/>
        </w:rPr>
        <w:t xml:space="preserv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EAA3A2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CB3F07">
        <w:rPr>
          <w:rFonts w:ascii="Times New Roman" w:hAnsi="Times New Roman" w:cs="Times New Roman"/>
        </w:rPr>
        <w:t xml:space="preserve">the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w:t>
      </w:r>
      <w:r w:rsidR="00CB3F07">
        <w:rPr>
          <w:rFonts w:ascii="Times New Roman" w:hAnsi="Times New Roman" w:cs="Times New Roman"/>
        </w:rPr>
        <w:t xml:space="preserve">the fact </w:t>
      </w:r>
      <w:r w:rsidR="007C7138">
        <w:rPr>
          <w:rFonts w:ascii="Times New Roman" w:hAnsi="Times New Roman" w:cs="Times New Roman"/>
        </w:rPr>
        <w:t xml:space="preserve">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B858D10"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w:t>
      </w:r>
      <w:r w:rsidR="00CB3F07">
        <w:rPr>
          <w:rFonts w:ascii="Times New Roman" w:hAnsi="Times New Roman" w:cs="Times New Roman"/>
        </w:rPr>
        <w:t xml:space="preserve">, as observed </w:t>
      </w:r>
      <w:r>
        <w:rPr>
          <w:rFonts w:ascii="Times New Roman" w:hAnsi="Times New Roman" w:cs="Times New Roman"/>
        </w:rPr>
        <w:t>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w:t>
      </w:r>
      <w:r>
        <w:rPr>
          <w:rFonts w:ascii="Times New Roman" w:hAnsi="Times New Roman" w:cs="Times New Roman"/>
        </w:rPr>
        <w:lastRenderedPageBreak/>
        <w:t xml:space="preserve">study, </w:t>
      </w:r>
      <w:r w:rsidR="00983748">
        <w:rPr>
          <w:rFonts w:ascii="Times New Roman" w:hAnsi="Times New Roman" w:cs="Times New Roman"/>
        </w:rPr>
        <w:t>higher postdiagnosis HEI-2015 scores were associated with lower CRP levels in breast</w:t>
      </w:r>
      <w:r w:rsidR="00CB3F07">
        <w:rPr>
          <w:rFonts w:ascii="Times New Roman" w:hAnsi="Times New Roman" w:cs="Times New Roman"/>
        </w:rPr>
        <w:t xml:space="preserve"> </w:t>
      </w:r>
      <w:r w:rsidR="00983748">
        <w:rPr>
          <w:rFonts w:ascii="Times New Roman" w:hAnsi="Times New Roman" w:cs="Times New Roman"/>
        </w:rPr>
        <w:t xml:space="preserve">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w:t>
      </w:r>
      <w:r w:rsidR="00CB3F07">
        <w:rPr>
          <w:rFonts w:ascii="Times New Roman" w:hAnsi="Times New Roman" w:cs="Times New Roman"/>
        </w:rPr>
        <w:t>,</w:t>
      </w:r>
      <w:r w:rsidR="006B401F">
        <w:rPr>
          <w:rFonts w:ascii="Times New Roman" w:hAnsi="Times New Roman" w:cs="Times New Roman"/>
        </w:rPr>
        <w:t xml:space="preserve">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carotenoid markers and inversely associated with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w:t>
      </w:r>
      <w:r w:rsidR="00CB3F07">
        <w:rPr>
          <w:rFonts w:ascii="Times New Roman" w:hAnsi="Times New Roman" w:cs="Times New Roman"/>
        </w:rPr>
        <w:t>,</w:t>
      </w:r>
      <w:r w:rsidR="0000626F">
        <w:rPr>
          <w:rFonts w:ascii="Times New Roman" w:hAnsi="Times New Roman" w:cs="Times New Roman"/>
        </w:rPr>
        <w:t xml:space="preserve"> resulting in </w:t>
      </w:r>
      <w:r w:rsidR="00CB3F07">
        <w:rPr>
          <w:rFonts w:ascii="Times New Roman" w:hAnsi="Times New Roman" w:cs="Times New Roman"/>
        </w:rPr>
        <w:t xml:space="preserve">a </w:t>
      </w:r>
      <w:r w:rsidR="0000626F">
        <w:rPr>
          <w:rFonts w:ascii="Times New Roman" w:hAnsi="Times New Roman" w:cs="Times New Roman"/>
        </w:rPr>
        <w:t xml:space="preserve">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4D83A7A6"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alluded to in our previous analysis, screening for food insecurity is not a clinical best practice widely implemented in cancer clinics</w:t>
      </w:r>
      <w:r w:rsidR="00EA2476">
        <w:rPr>
          <w:rFonts w:ascii="Times New Roman" w:hAnsi="Times New Roman" w:cs="Times New Roman"/>
        </w:rPr>
        <w:t xml:space="preserve">, </w:t>
      </w:r>
      <w:r w:rsidR="00CB3F07">
        <w:rPr>
          <w:rFonts w:ascii="Times New Roman" w:hAnsi="Times New Roman" w:cs="Times New Roman"/>
        </w:rPr>
        <w:t>al</w:t>
      </w:r>
      <w:r w:rsidR="00EA2476">
        <w:rPr>
          <w:rFonts w:ascii="Times New Roman" w:hAnsi="Times New Roman" w:cs="Times New Roman"/>
        </w:rPr>
        <w:t xml:space="preserve">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w:t>
      </w:r>
      <w:r w:rsidR="009E58E8">
        <w:rPr>
          <w:rFonts w:ascii="Times New Roman" w:hAnsi="Times New Roman" w:cs="Times New Roman"/>
        </w:rPr>
        <w:t>s</w:t>
      </w:r>
      <w:r w:rsidR="004C7F30">
        <w:rPr>
          <w:rFonts w:ascii="Times New Roman" w:hAnsi="Times New Roman" w:cs="Times New Roman"/>
        </w:rPr>
        <w:t xml:space="preserve"> </w:t>
      </w:r>
      <w:r w:rsidR="009E58E8">
        <w:rPr>
          <w:rFonts w:ascii="Times New Roman" w:hAnsi="Times New Roman" w:cs="Times New Roman"/>
        </w:rPr>
        <w:t>in</w:t>
      </w:r>
      <w:r w:rsidR="00EA2476">
        <w:rPr>
          <w:rFonts w:ascii="Times New Roman" w:hAnsi="Times New Roman" w:cs="Times New Roman"/>
        </w:rPr>
        <w:t xml:space="preserve"> leverag</w:t>
      </w:r>
      <w:r w:rsidR="009E58E8">
        <w:rPr>
          <w:rFonts w:ascii="Times New Roman" w:hAnsi="Times New Roman" w:cs="Times New Roman"/>
        </w:rPr>
        <w:t>ing</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w:t>
      </w:r>
      <w:r w:rsidR="009E58E8">
        <w:rPr>
          <w:rFonts w:ascii="Times New Roman" w:hAnsi="Times New Roman" w:cs="Times New Roman"/>
        </w:rPr>
        <w:t>ing</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9E58E8">
        <w:rPr>
          <w:rFonts w:ascii="Times New Roman" w:hAnsi="Times New Roman" w:cs="Times New Roman"/>
        </w:rPr>
        <w:t xml:space="preserve">that </w:t>
      </w:r>
      <w:r w:rsidR="004A7671">
        <w:rPr>
          <w:rFonts w:ascii="Times New Roman" w:hAnsi="Times New Roman" w:cs="Times New Roman"/>
        </w:rPr>
        <w:t>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w:t>
      </w:r>
      <w:r w:rsidR="009E58E8">
        <w:rPr>
          <w:rFonts w:ascii="Times New Roman" w:hAnsi="Times New Roman" w:cs="Times New Roman"/>
        </w:rPr>
        <w:t>-</w:t>
      </w:r>
      <w:r w:rsidR="007A68B1">
        <w:rPr>
          <w:rFonts w:ascii="Times New Roman" w:hAnsi="Times New Roman" w:cs="Times New Roman"/>
        </w:rPr>
        <w:t xml:space="preserve">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9E58E8">
        <w:rPr>
          <w:rFonts w:ascii="Times New Roman" w:hAnsi="Times New Roman" w:cs="Times New Roman"/>
        </w:rPr>
        <w:t xml:space="preserve"> that</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w:t>
      </w:r>
      <w:r w:rsidR="009E58E8">
        <w:rPr>
          <w:rFonts w:ascii="Times New Roman" w:hAnsi="Times New Roman" w:cs="Times New Roman"/>
        </w:rPr>
        <w:t>Although</w:t>
      </w:r>
      <w:r w:rsidR="007A68B1">
        <w:rPr>
          <w:rFonts w:ascii="Times New Roman" w:hAnsi="Times New Roman" w:cs="Times New Roman"/>
        </w:rPr>
        <w:t xml:space="preserve">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w:t>
      </w:r>
      <w:r w:rsidR="009E58E8">
        <w:rPr>
          <w:rFonts w:ascii="Times New Roman" w:hAnsi="Times New Roman" w:cs="Times New Roman"/>
        </w:rPr>
        <w:t xml:space="preserve"> </w:t>
      </w:r>
      <w:r w:rsidR="007A68B1">
        <w:rPr>
          <w:rFonts w:ascii="Times New Roman" w:hAnsi="Times New Roman" w:cs="Times New Roman"/>
        </w:rPr>
        <w:t>term,</w:t>
      </w:r>
      <w:r w:rsidR="00BA2BEB">
        <w:rPr>
          <w:rFonts w:ascii="Times New Roman" w:hAnsi="Times New Roman" w:cs="Times New Roman"/>
        </w:rPr>
        <w:t xml:space="preserve"> more comprehensive </w:t>
      </w:r>
      <w:r w:rsidR="00BD6434">
        <w:rPr>
          <w:rFonts w:ascii="Times New Roman" w:hAnsi="Times New Roman" w:cs="Times New Roman"/>
        </w:rPr>
        <w:t xml:space="preserve">system-level </w:t>
      </w:r>
      <w:r w:rsidR="00BD6434">
        <w:rPr>
          <w:rFonts w:ascii="Times New Roman" w:hAnsi="Times New Roman" w:cs="Times New Roman"/>
        </w:rPr>
        <w:lastRenderedPageBreak/>
        <w:t>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2CB129A5"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used to account for potential and known confounders, </w:t>
      </w:r>
      <w:r w:rsidR="00BE4175">
        <w:rPr>
          <w:rFonts w:ascii="Times New Roman" w:hAnsi="Times New Roman" w:cs="Times New Roman"/>
        </w:rPr>
        <w:t>and the quality of the linked mortality data through the NCHS Linked Mortality File</w:t>
      </w:r>
      <w:r w:rsidR="002C1BC2">
        <w:rPr>
          <w:rFonts w:ascii="Times New Roman" w:hAnsi="Times New Roman" w:cs="Times New Roman"/>
        </w:rPr>
        <w:t>s</w:t>
      </w:r>
      <w:r w:rsidR="00BE4175">
        <w:rPr>
          <w:rFonts w:ascii="Times New Roman" w:hAnsi="Times New Roman" w:cs="Times New Roman"/>
        </w:rPr>
        <w:t xml:space="preserve">. Nevertheless, there are limitations to </w:t>
      </w:r>
      <w:r w:rsidR="004C7F30">
        <w:rPr>
          <w:rFonts w:ascii="Times New Roman" w:hAnsi="Times New Roman" w:cs="Times New Roman"/>
        </w:rPr>
        <w:t>note</w:t>
      </w:r>
      <w:r w:rsidR="00BE4175">
        <w:rPr>
          <w:rFonts w:ascii="Times New Roman" w:hAnsi="Times New Roman" w:cs="Times New Roman"/>
        </w:rPr>
        <w:t>. First, we used a static measure of dietary intake</w:t>
      </w:r>
      <w:r w:rsidR="002C1BC2">
        <w:rPr>
          <w:rFonts w:ascii="Times New Roman" w:hAnsi="Times New Roman" w:cs="Times New Roman"/>
        </w:rPr>
        <w:t>,</w:t>
      </w:r>
      <w:r w:rsidR="00BE4175">
        <w:rPr>
          <w:rFonts w:ascii="Times New Roman" w:hAnsi="Times New Roman" w:cs="Times New Roman"/>
        </w:rPr>
        <w:t xml:space="preserve"> </w:t>
      </w:r>
      <w:r w:rsidR="002C1BC2">
        <w:rPr>
          <w:rFonts w:ascii="Times New Roman" w:hAnsi="Times New Roman" w:cs="Times New Roman"/>
        </w:rPr>
        <w:t>al</w:t>
      </w:r>
      <w:r w:rsidR="00BE4175">
        <w:rPr>
          <w:rFonts w:ascii="Times New Roman" w:hAnsi="Times New Roman" w:cs="Times New Roman"/>
        </w:rPr>
        <w:t xml:space="preserve">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w:t>
      </w:r>
      <w:r w:rsidR="002C1BC2">
        <w:rPr>
          <w:rFonts w:ascii="Times New Roman" w:hAnsi="Times New Roman" w:cs="Times New Roman"/>
        </w:rPr>
        <w:t>over</w:t>
      </w:r>
      <w:r w:rsidR="004B4316">
        <w:rPr>
          <w:rFonts w:ascii="Times New Roman" w:hAnsi="Times New Roman" w:cs="Times New Roman"/>
        </w:rPr>
        <w:t xml:space="preserve">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w:t>
      </w:r>
      <w:r w:rsidR="002C1BC2">
        <w:rPr>
          <w:rFonts w:ascii="Times New Roman" w:hAnsi="Times New Roman" w:cs="Times New Roman"/>
        </w:rPr>
        <w:t>Similarly</w:t>
      </w:r>
      <w:r w:rsidR="00BE4175">
        <w:rPr>
          <w:rFonts w:ascii="Times New Roman" w:hAnsi="Times New Roman" w:cs="Times New Roman"/>
        </w:rPr>
        <w:t>,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w:t>
      </w:r>
      <w:r w:rsidR="002C1BC2">
        <w:rPr>
          <w:rFonts w:ascii="Times New Roman" w:hAnsi="Times New Roman" w:cs="Times New Roman"/>
        </w:rPr>
        <w:t xml:space="preserve">which </w:t>
      </w:r>
      <w:r w:rsidR="005275C0">
        <w:rPr>
          <w:rFonts w:ascii="Times New Roman" w:hAnsi="Times New Roman" w:cs="Times New Roman"/>
        </w:rPr>
        <w:t xml:space="preserve">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w:t>
      </w:r>
      <w:r w:rsidR="002C1BC2">
        <w:rPr>
          <w:rFonts w:ascii="Times New Roman" w:hAnsi="Times New Roman" w:cs="Times New Roman"/>
        </w:rPr>
        <w:t xml:space="preserve">unable </w:t>
      </w:r>
      <w:r w:rsidR="00CA4EE1">
        <w:rPr>
          <w:rFonts w:ascii="Times New Roman" w:hAnsi="Times New Roman" w:cs="Times New Roman"/>
        </w:rPr>
        <w:t xml:space="preserve">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w:t>
      </w:r>
      <w:r w:rsidR="002C1BC2">
        <w:rPr>
          <w:rFonts w:ascii="Times New Roman" w:hAnsi="Times New Roman" w:cs="Times New Roman"/>
        </w:rPr>
        <w:t>,</w:t>
      </w:r>
      <w:r w:rsidR="005275C0">
        <w:rPr>
          <w:rFonts w:ascii="Times New Roman" w:hAnsi="Times New Roman" w:cs="Times New Roman"/>
        </w:rPr>
        <w:t xml:space="preserve">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 xml:space="preserve">Third, </w:t>
      </w:r>
      <w:r w:rsidR="002C1BC2">
        <w:rPr>
          <w:rFonts w:ascii="Times New Roman" w:hAnsi="Times New Roman" w:cs="Times New Roman"/>
        </w:rPr>
        <w:t>al</w:t>
      </w:r>
      <w:r w:rsidR="00F1347D">
        <w:rPr>
          <w:rFonts w:ascii="Times New Roman" w:hAnsi="Times New Roman" w:cs="Times New Roman"/>
        </w:rPr>
        <w:t>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2C1BC2">
        <w:rPr>
          <w:rFonts w:ascii="Times New Roman" w:hAnsi="Times New Roman" w:cs="Times New Roman"/>
        </w:rPr>
        <w:t>in</w:t>
      </w:r>
      <w:r w:rsidR="00E70EFA">
        <w:rPr>
          <w:rFonts w:ascii="Times New Roman" w:hAnsi="Times New Roman" w:cs="Times New Roman"/>
        </w:rPr>
        <w:t xml:space="preserve">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2C1BC2">
        <w:rPr>
          <w:rFonts w:ascii="Times New Roman" w:hAnsi="Times New Roman" w:cs="Times New Roman"/>
        </w:rPr>
        <w:t>of</w:t>
      </w:r>
      <w:r w:rsidR="001436D6">
        <w:rPr>
          <w:rFonts w:ascii="Times New Roman" w:hAnsi="Times New Roman" w:cs="Times New Roman"/>
        </w:rPr>
        <w:t xml:space="preserve">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3C8D61C1"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consumption of added sugars and processed foods with concomitant low consumption of fruits, vegetables, whole grains, and other health</w:t>
      </w:r>
      <w:r w:rsidR="002C1BC2">
        <w:rPr>
          <w:rFonts w:ascii="Times New Roman" w:hAnsi="Times New Roman" w:cs="Times New Roman"/>
        </w:rPr>
        <w:t>y</w:t>
      </w:r>
      <w:r w:rsidR="00E308A2">
        <w:rPr>
          <w:rFonts w:ascii="Times New Roman" w:hAnsi="Times New Roman" w:cs="Times New Roman"/>
        </w:rPr>
        <w:t xml:space="preserve"> diet </w:t>
      </w:r>
      <w:r w:rsidR="00E308A2">
        <w:rPr>
          <w:rFonts w:ascii="Times New Roman" w:hAnsi="Times New Roman" w:cs="Times New Roman"/>
        </w:rPr>
        <w:lastRenderedPageBreak/>
        <w:t xml:space="preserve">components, </w:t>
      </w:r>
      <w:r w:rsidR="002C1BC2">
        <w:rPr>
          <w:rFonts w:ascii="Times New Roman" w:hAnsi="Times New Roman" w:cs="Times New Roman"/>
        </w:rPr>
        <w:t>highlight</w:t>
      </w:r>
      <w:r w:rsidR="00E308A2">
        <w:rPr>
          <w:rFonts w:ascii="Times New Roman" w:hAnsi="Times New Roman" w:cs="Times New Roman"/>
        </w:rPr>
        <w:t xml:space="preserve"> an urgent public health </w:t>
      </w:r>
      <w:r w:rsidR="00E9037B">
        <w:rPr>
          <w:rFonts w:ascii="Times New Roman" w:hAnsi="Times New Roman" w:cs="Times New Roman"/>
        </w:rPr>
        <w:t>challenge demanding innovative policy and community-level solutions. We identif</w:t>
      </w:r>
      <w:r w:rsidR="002C1BC2">
        <w:rPr>
          <w:rFonts w:ascii="Times New Roman" w:hAnsi="Times New Roman" w:cs="Times New Roman"/>
        </w:rPr>
        <w:t>ied</w:t>
      </w:r>
      <w:r w:rsidR="00E9037B">
        <w:rPr>
          <w:rFonts w:ascii="Times New Roman" w:hAnsi="Times New Roman" w:cs="Times New Roman"/>
        </w:rPr>
        <w:t xml:space="preserve"> several avenues </w:t>
      </w:r>
      <w:r w:rsidR="002C1BC2">
        <w:rPr>
          <w:rFonts w:ascii="Times New Roman" w:hAnsi="Times New Roman" w:cs="Times New Roman"/>
        </w:rPr>
        <w:t>for</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evaluating community</w:t>
      </w:r>
      <w:r w:rsidR="002C1BC2">
        <w:rPr>
          <w:rFonts w:ascii="Times New Roman" w:hAnsi="Times New Roman" w:cs="Times New Roman"/>
        </w:rPr>
        <w:t>-</w:t>
      </w:r>
      <w:r w:rsidR="00E9037B">
        <w:rPr>
          <w:rFonts w:ascii="Times New Roman" w:hAnsi="Times New Roman" w:cs="Times New Roman"/>
        </w:rPr>
        <w:t xml:space="preserve"> and individual-level interventions for </w:t>
      </w:r>
      <w:r w:rsidR="007B12A3">
        <w:rPr>
          <w:rFonts w:ascii="Times New Roman" w:hAnsi="Times New Roman" w:cs="Times New Roman"/>
        </w:rPr>
        <w:t xml:space="preserve">bolstering food security among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w:t>
      </w:r>
      <w:r w:rsidR="002C1BC2">
        <w:rPr>
          <w:rFonts w:ascii="Times New Roman" w:hAnsi="Times New Roman" w:cs="Times New Roman"/>
        </w:rPr>
        <w:t xml:space="preserve"> </w:t>
      </w:r>
      <w:r w:rsidR="00E9037B">
        <w:rPr>
          <w:rFonts w:ascii="Times New Roman" w:hAnsi="Times New Roman" w:cs="Times New Roman"/>
        </w:rPr>
        <w:t xml:space="preserve">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w:t>
      </w:r>
      <w:r w:rsidR="002C1BC2">
        <w:rPr>
          <w:rFonts w:ascii="Times New Roman" w:hAnsi="Times New Roman" w:cs="Times New Roman"/>
        </w:rPr>
        <w:t>i</w:t>
      </w:r>
      <w:r w:rsidR="007B12A3">
        <w:rPr>
          <w:rFonts w:ascii="Times New Roman" w:hAnsi="Times New Roman" w:cs="Times New Roman"/>
        </w:rPr>
        <w:t xml:space="preserve">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w:t>
      </w:r>
      <w:r w:rsidR="00635431">
        <w:rPr>
          <w:rFonts w:ascii="Times New Roman" w:hAnsi="Times New Roman" w:cs="Times New Roman"/>
        </w:rPr>
        <w:t>ideally</w:t>
      </w:r>
      <w:r w:rsidR="006C07F1">
        <w:rPr>
          <w:rFonts w:ascii="Times New Roman" w:hAnsi="Times New Roman" w:cs="Times New Roman"/>
        </w:rPr>
        <w:t xml:space="preserve">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3FC283CD" w14:textId="77777777" w:rsidR="00303CF3" w:rsidRDefault="00303CF3" w:rsidP="00303CF3">
      <w:pPr>
        <w:spacing w:line="360" w:lineRule="auto"/>
        <w:rPr>
          <w:rFonts w:ascii="Times New Roman" w:hAnsi="Times New Roman" w:cs="Times New Roman"/>
        </w:rPr>
      </w:pPr>
    </w:p>
    <w:p w14:paraId="1491E8CE" w14:textId="77777777"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Conflict of Interest</w:t>
      </w:r>
    </w:p>
    <w:p w14:paraId="3C9CD1B2" w14:textId="77777777" w:rsidR="00303CF3" w:rsidRPr="00303CF3" w:rsidRDefault="00303CF3" w:rsidP="00303CF3">
      <w:pPr>
        <w:spacing w:line="360" w:lineRule="auto"/>
        <w:rPr>
          <w:rFonts w:ascii="Times New Roman" w:hAnsi="Times New Roman" w:cs="Times New Roman"/>
        </w:rPr>
      </w:pPr>
      <w:r w:rsidRPr="00303CF3">
        <w:rPr>
          <w:rFonts w:ascii="Times New Roman" w:hAnsi="Times New Roman" w:cs="Times New Roman"/>
        </w:rPr>
        <w:t>The authors declare no potential conflicts of interest.</w:t>
      </w:r>
    </w:p>
    <w:p w14:paraId="5B5BC46D" w14:textId="77777777" w:rsidR="00303CF3" w:rsidRDefault="00303CF3" w:rsidP="00303CF3">
      <w:pPr>
        <w:spacing w:line="360" w:lineRule="auto"/>
        <w:rPr>
          <w:rFonts w:ascii="Times New Roman" w:hAnsi="Times New Roman" w:cs="Times New Roman"/>
        </w:rPr>
      </w:pPr>
    </w:p>
    <w:p w14:paraId="2B7BE0DB" w14:textId="7105429F"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Funding</w:t>
      </w:r>
    </w:p>
    <w:p w14:paraId="5F551E95" w14:textId="06004C63" w:rsidR="00303CF3" w:rsidRPr="00303CF3" w:rsidRDefault="00303CF3" w:rsidP="00671560">
      <w:pPr>
        <w:spacing w:line="360" w:lineRule="auto"/>
        <w:rPr>
          <w:rFonts w:ascii="Times New Roman" w:hAnsi="Times New Roman" w:cs="Times New Roman"/>
        </w:rPr>
      </w:pPr>
      <w:r w:rsidRPr="00303CF3">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5" w:tgtFrame="_blank" w:history="1">
        <w:r w:rsidRPr="00303CF3">
          <w:rPr>
            <w:rStyle w:val="Hyperlink"/>
            <w:rFonts w:ascii="Times New Roman" w:hAnsi="Times New Roman" w:cs="Times New Roman"/>
          </w:rPr>
          <w:t>www.healthpolicyresearch-scholars.org</w:t>
        </w:r>
      </w:hyperlink>
      <w:r w:rsidRPr="00303CF3">
        <w:rPr>
          <w:rFonts w:ascii="Times New Roman" w:hAnsi="Times New Roman" w:cs="Times New Roman"/>
        </w:rPr>
        <w:t>.</w:t>
      </w:r>
    </w:p>
    <w:p w14:paraId="43E99406" w14:textId="77777777" w:rsidR="00303CF3" w:rsidRDefault="00303CF3" w:rsidP="00671560">
      <w:pPr>
        <w:spacing w:line="360" w:lineRule="auto"/>
        <w:rPr>
          <w:rFonts w:ascii="Times New Roman" w:hAnsi="Times New Roman" w:cs="Times New Roman"/>
          <w:b/>
          <w:bCs/>
        </w:rPr>
      </w:pPr>
    </w:p>
    <w:p w14:paraId="01CB1885" w14:textId="5F831C82" w:rsidR="0059611C" w:rsidRPr="00253283" w:rsidRDefault="001D6FB4" w:rsidP="00671560">
      <w:pPr>
        <w:spacing w:line="360" w:lineRule="auto"/>
        <w:rPr>
          <w:rFonts w:ascii="Times New Roman" w:hAnsi="Times New Roman" w:cs="Times New Roman"/>
          <w:b/>
          <w:bCs/>
        </w:rPr>
      </w:pPr>
      <w:r w:rsidRPr="001D6FB4">
        <w:rPr>
          <w:rFonts w:ascii="Times New Roman" w:hAnsi="Times New Roman" w:cs="Times New Roman"/>
          <w:b/>
          <w:bCs/>
        </w:rPr>
        <w:t>References</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doi:10.1093/jnci/djv370.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Kantarjian,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Gany, F.M.; Bradley, C.J. Women With Breast Cancer Who Work For Accommodating Employers More Likely To Retain Jobs After Treatment.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Borno,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 </w:t>
      </w:r>
      <w:r w:rsidRPr="0093425D">
        <w:rPr>
          <w:rFonts w:ascii="Times New Roman" w:hAnsi="Times New Roman" w:cs="Times New Roman"/>
        </w:rPr>
        <w:tab/>
        <w:t xml:space="preserve">Charkhchi, P.; Fazeli Dehkordy, S.; Carlos, R.C. Housing and Food Insecurity, Care Access, and Health Status Among the Chronically Ill: An Analysis of the Behavioral Risk Factor </w:t>
      </w:r>
      <w:r w:rsidRPr="0093425D">
        <w:rPr>
          <w:rFonts w:ascii="Times New Roman" w:hAnsi="Times New Roman" w:cs="Times New Roman"/>
        </w:rPr>
        <w:lastRenderedPageBreak/>
        <w:t xml:space="preserve">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9. </w:t>
      </w:r>
      <w:r w:rsidRPr="0093425D">
        <w:rPr>
          <w:rFonts w:ascii="Times New Roman" w:hAnsi="Times New Roman" w:cs="Times New Roman"/>
        </w:rPr>
        <w:tab/>
        <w:t xml:space="preserve">Gundersen, C.; Ziliak, J.P. Food Insecurity And Health Outcomes.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Epel, E.S.; Ritchie, L.D.; Crawford, P.B.; Laraia, B.A. Food Insecurity Is Inversely Associated with Diet Quality of Lower-Income Adults.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11. </w:t>
      </w:r>
      <w:r w:rsidRPr="0093425D">
        <w:rPr>
          <w:rFonts w:ascii="Times New Roman" w:hAnsi="Times New Roman" w:cs="Times New Roman"/>
        </w:rPr>
        <w:tab/>
        <w:t xml:space="preserve">Maino Vieytes, C.A.; Zhu, R.; Gany, F.; Burton-Obanla,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t xml:space="preserve">Yaghjyan, L.; Wijayabahu, A.T.; Egan, K.M. RE: The Association Between Dietary Quality and Overall and Cancer-Specific Mortality Among Cancer Survivors, NHANES III.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doi:10.1093/jncics/pky044.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Moshfegh, A.J.; Baer, D.J.; Kretsch, M.J. The USDA Automated Multiple-Pass Method Accurately Estimates Group Total Energy and Nutrient Intake.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doi:10.1093/jn/136.10.2594.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t xml:space="preserve">Moshfegh, A.J.; Rhodes, D.G.; Baer, D.J.; Murayi, T.; Clemens, J.C.; Rumpler, W.V.; Paul, D.R.; Sebastian, R.S.; Kuczynski, K.J.; Ingwersen, L.A.; et al. The US Department of Agriculture Automated Multiple-Pass Method Reduces Bias in the Collection of Energy Intakes.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doi:10.1093/ajcn/88.2.324.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Heendeniya, K.Y.; Omolewa-Tomobi, G.; Steinfeldt, L.C.; Anand, J.; Adler, M.E.; LaComb, R.P.; Moshfegh,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Hoelscher,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doi:10.1093/pubmed/fdab403.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Keast, D.R.; Holick,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Frongillo, E.A. Nutritional and Health Consequences Are Associated with Food Insecurity among U.S. Elderly Persons.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doi:10.1093/jn/131.5.1503.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r w:rsidRPr="0093425D">
        <w:rPr>
          <w:rFonts w:ascii="Times New Roman" w:hAnsi="Times New Roman" w:cs="Times New Roman"/>
          <w:i/>
          <w:iCs/>
        </w:rPr>
        <w:t>Pediatr. Obes.</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25. </w:t>
      </w:r>
      <w:r w:rsidRPr="0093425D">
        <w:rPr>
          <w:rFonts w:ascii="Times New Roman" w:hAnsi="Times New Roman" w:cs="Times New Roman"/>
        </w:rPr>
        <w:tab/>
        <w:t xml:space="preserve">Cain, K.C.; Harlow, S.D.; Little, R.J.; Nan, B.; Yosef, M.; Taffe,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doi:10.1093/aje/kwq481.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27. </w:t>
      </w:r>
      <w:r w:rsidRPr="0093425D">
        <w:rPr>
          <w:rFonts w:ascii="Times New Roman" w:hAnsi="Times New Roman" w:cs="Times New Roman"/>
        </w:rPr>
        <w:tab/>
        <w:t xml:space="preserve">Song, M.; Wu, K.; Meyerhardt, J.A.; Yilmaz, O.; Wang, M.; Ogino, S.; Fuchs, C.S.; Giovannucci, E.L.; Chan, A.T. Low-Carbohydrate Diet Score and Macronutrient Intake in Relation to Survival After Colorectal Cancer Diagnosis.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doi:10.1093/jncics/pky077.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OverDrive,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Charlson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Pietrobon, R.; Braga, L.; Silva, H.M.; Turner, D. Validation of the NHANES ADL Scale in a Sample of Patients with Report of Cervical Pain: Factor Analysis, Item Response Theory Analysis, and Line Item Validity. </w:t>
      </w:r>
      <w:r w:rsidRPr="0093425D">
        <w:rPr>
          <w:rFonts w:ascii="Times New Roman" w:hAnsi="Times New Roman" w:cs="Times New Roman"/>
          <w:i/>
          <w:iCs/>
        </w:rPr>
        <w:t>Disabil. Rehabil.</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Saudek, C.D.; Brancati,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Kushi, L.H. Adjustment for Total Energy Intake in Epidemiologic Studies.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doi:10.1093/ajcn/65.4.1220S.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Radak, T.; Khubchandani, J.; Dunn, P. Food Insecurity and Mortality in American Adults: Results From the NHANES-Linked Mortality Study. </w:t>
      </w:r>
      <w:r w:rsidRPr="0093425D">
        <w:rPr>
          <w:rFonts w:ascii="Times New Roman" w:hAnsi="Times New Roman" w:cs="Times New Roman"/>
          <w:i/>
          <w:iCs/>
        </w:rPr>
        <w:t>Health Promot. Pract.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t xml:space="preserve">Gany, F.; Lee, T.; Ramirez, J.; Massie, D.; Moran, A.; Crist, M.; McNish, T.; Winkel, G.; Leng,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t xml:space="preserve">Robien, K.; Clausen, M.; Sullo, E.; Ford, Y.R.; Griffith, K.A.; Le, D.; Wickersham, K.E.; Wallington, S.F. Prevalence of Food Insecurity Among Cancer Survivors in the United States: A Scoping Review.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40. </w:t>
      </w:r>
      <w:r w:rsidRPr="0093425D">
        <w:rPr>
          <w:rFonts w:ascii="Times New Roman" w:hAnsi="Times New Roman" w:cs="Times New Roman"/>
        </w:rPr>
        <w:tab/>
        <w:t xml:space="preserve">Seligman, H.K.; Bindman, A.B.; Vittinghoff, E.; Kanaya, A.M.; Kushel,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doi:10.1093/jn/134.9.2330.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Ziliak,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43. </w:t>
      </w:r>
      <w:r w:rsidRPr="0093425D">
        <w:rPr>
          <w:rFonts w:ascii="Times New Roman" w:hAnsi="Times New Roman" w:cs="Times New Roman"/>
        </w:rPr>
        <w:tab/>
        <w:t xml:space="preserve">Sun, Y.; Liu, B.; Rong, S.; Du, Y.; Xu, G.; Snetselaar,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t xml:space="preserve">Vozoris, N.T.; Tarasuk, V.S. Household Food Insufficiency Is Associated with Poorer Health.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doi:10.1093/jn/133.1.120.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Andreyeva,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Neuhouser, M.L.; Mayne, S.T.; Irwin, M.L.; Albanes, D.; Gail, M.H.; Alfano, C.M.; Bernstein, L.; McTiernan,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Maskarinec, G. Diet Quality and Biomarker Profiles Related to Chronic Disease Prevention: The Multiethnic Cohort Study. </w:t>
      </w:r>
      <w:r w:rsidRPr="0093425D">
        <w:rPr>
          <w:rFonts w:ascii="Times New Roman" w:hAnsi="Times New Roman" w:cs="Times New Roman"/>
          <w:i/>
          <w:iCs/>
        </w:rPr>
        <w:t>J. Am. Coll. Nutr.</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Bellile,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Boffetta,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Shergill, A.P.; Ma, C.; Guthrie, K.A.; Couture, F.; Kuebler,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Tonacci, A.; Aretini, P.; Garibaldi, S.; Perutelli, A.; Bottone, P.; Muzii, L.; Panici,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t>Petekkaya, I.; Unlu, O.; Roach, E.C.; Gecmez, G.; Okoh, A.K.; Babacan, T.; Sarici, F.; Keskin, O.; Arslan, C.; Petekkaya,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Kritz-Silverstein, D.; Edwards, B.J.; Lane, D.; Rohan, T.E.; Ho, G.Y.F.; Manson, J.E.; et al. The Association of the C-Reactive Protein Inflammatory Biomarker with Breast Cancer Incidence and Mortality in the Women’s Health Initiative. </w:t>
      </w:r>
      <w:r w:rsidRPr="0093425D">
        <w:rPr>
          <w:rFonts w:ascii="Times New Roman" w:hAnsi="Times New Roman" w:cs="Times New Roman"/>
          <w:i/>
          <w:iCs/>
        </w:rPr>
        <w:t xml:space="preserve">Cancer Epidemiol. Biomark. Prev. Publ. Am. Assoc. Cancer </w:t>
      </w:r>
      <w:r w:rsidRPr="0093425D">
        <w:rPr>
          <w:rFonts w:ascii="Times New Roman" w:hAnsi="Times New Roman" w:cs="Times New Roman"/>
          <w:i/>
          <w:iCs/>
        </w:rPr>
        <w:lastRenderedPageBreak/>
        <w:t>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 xml:space="preserve">Pierce, B.L.; Ballard-Barbash, R.; Bernstein, L.; Baumgartner, R.N.; Neuhouser, M.L.; Wener, M.H.; Baumgartner, K.B.; Gilliland, F.D.; Sorensen, B.E.; McTiernan, A.; et al. 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56. </w:t>
      </w:r>
      <w:r w:rsidRPr="0093425D">
        <w:rPr>
          <w:rFonts w:ascii="Times New Roman" w:hAnsi="Times New Roman" w:cs="Times New Roman"/>
        </w:rPr>
        <w:tab/>
        <w:t xml:space="preserve">Burton-Obanla, A.A.; Sloane, S.; Koester, B.; Gundersen, C.; Fiese,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r w:rsidRPr="0093425D">
        <w:rPr>
          <w:rFonts w:ascii="Times New Roman" w:hAnsi="Times New Roman" w:cs="Times New Roman"/>
          <w:i/>
          <w:iCs/>
        </w:rPr>
        <w:t>Annu.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t xml:space="preserve">Gany, F.; Lee, T.; Loeb, R.; Ramirez, J.; Moran, A.; Crist, M.; McNish, T.; Leng,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t xml:space="preserve">Gany, F.; Melnic, I.; Wu, M.; Li, Y.; Finik, J.; Ramirez, J.; Blinder, V.; Kemeny,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t xml:space="preserve">Moellman, N. Healthcare and Hunger: Effects of the ACA Medicaid Expansions on Food Insecurity in America. </w:t>
      </w:r>
      <w:r w:rsidRPr="0093425D">
        <w:rPr>
          <w:rFonts w:ascii="Times New Roman" w:hAnsi="Times New Roman" w:cs="Times New Roman"/>
          <w:i/>
          <w:iCs/>
        </w:rPr>
        <w:t>Appl. Econ. Perspect.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doi:10.1093/aepp/ppz018.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5296"/>
    <w:rsid w:val="000E7585"/>
    <w:rsid w:val="000F3BBC"/>
    <w:rsid w:val="000F67E6"/>
    <w:rsid w:val="000F7778"/>
    <w:rsid w:val="001015AF"/>
    <w:rsid w:val="001025E6"/>
    <w:rsid w:val="001067FC"/>
    <w:rsid w:val="001127FB"/>
    <w:rsid w:val="0011314D"/>
    <w:rsid w:val="00120671"/>
    <w:rsid w:val="0012663B"/>
    <w:rsid w:val="00131D44"/>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3283"/>
    <w:rsid w:val="002548C8"/>
    <w:rsid w:val="00257D7F"/>
    <w:rsid w:val="00264E91"/>
    <w:rsid w:val="0026524B"/>
    <w:rsid w:val="0027484B"/>
    <w:rsid w:val="0028265E"/>
    <w:rsid w:val="00284F95"/>
    <w:rsid w:val="00291D99"/>
    <w:rsid w:val="00293FB1"/>
    <w:rsid w:val="002A1991"/>
    <w:rsid w:val="002A3CAF"/>
    <w:rsid w:val="002C1BC2"/>
    <w:rsid w:val="002C675E"/>
    <w:rsid w:val="002D415D"/>
    <w:rsid w:val="002E02CB"/>
    <w:rsid w:val="002E0FA2"/>
    <w:rsid w:val="002E7DAC"/>
    <w:rsid w:val="002F2BA6"/>
    <w:rsid w:val="002F3D6E"/>
    <w:rsid w:val="00303CF3"/>
    <w:rsid w:val="0031204C"/>
    <w:rsid w:val="00315848"/>
    <w:rsid w:val="00332B47"/>
    <w:rsid w:val="00332B65"/>
    <w:rsid w:val="00334684"/>
    <w:rsid w:val="00335B53"/>
    <w:rsid w:val="00340F34"/>
    <w:rsid w:val="00341FFB"/>
    <w:rsid w:val="003473C4"/>
    <w:rsid w:val="0034790B"/>
    <w:rsid w:val="00347B97"/>
    <w:rsid w:val="0036171D"/>
    <w:rsid w:val="0036297A"/>
    <w:rsid w:val="003701E1"/>
    <w:rsid w:val="00377C36"/>
    <w:rsid w:val="00386696"/>
    <w:rsid w:val="00387D8D"/>
    <w:rsid w:val="00391B83"/>
    <w:rsid w:val="003959F7"/>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382C"/>
    <w:rsid w:val="004B4316"/>
    <w:rsid w:val="004C776A"/>
    <w:rsid w:val="004C7F30"/>
    <w:rsid w:val="004D0389"/>
    <w:rsid w:val="004F7DF7"/>
    <w:rsid w:val="00520585"/>
    <w:rsid w:val="00522F52"/>
    <w:rsid w:val="005275C0"/>
    <w:rsid w:val="00544BCA"/>
    <w:rsid w:val="005474D4"/>
    <w:rsid w:val="00551EFA"/>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35431"/>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C7A59"/>
    <w:rsid w:val="008D429C"/>
    <w:rsid w:val="008E53DB"/>
    <w:rsid w:val="00901FF4"/>
    <w:rsid w:val="0093425D"/>
    <w:rsid w:val="00935DEF"/>
    <w:rsid w:val="00936BFB"/>
    <w:rsid w:val="009377F4"/>
    <w:rsid w:val="00942279"/>
    <w:rsid w:val="00945375"/>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D24E0"/>
    <w:rsid w:val="009E154B"/>
    <w:rsid w:val="009E58E8"/>
    <w:rsid w:val="009F43E5"/>
    <w:rsid w:val="009F786A"/>
    <w:rsid w:val="00A121BB"/>
    <w:rsid w:val="00A131D8"/>
    <w:rsid w:val="00A138FD"/>
    <w:rsid w:val="00A14902"/>
    <w:rsid w:val="00A24ABE"/>
    <w:rsid w:val="00A24D1E"/>
    <w:rsid w:val="00A27AAA"/>
    <w:rsid w:val="00A358D5"/>
    <w:rsid w:val="00A43238"/>
    <w:rsid w:val="00A54B59"/>
    <w:rsid w:val="00AA50B7"/>
    <w:rsid w:val="00AB0A92"/>
    <w:rsid w:val="00AB3643"/>
    <w:rsid w:val="00AC0547"/>
    <w:rsid w:val="00AC615E"/>
    <w:rsid w:val="00AD45B2"/>
    <w:rsid w:val="00AF604F"/>
    <w:rsid w:val="00B05DD4"/>
    <w:rsid w:val="00B06D8D"/>
    <w:rsid w:val="00B07668"/>
    <w:rsid w:val="00B17524"/>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7A75"/>
    <w:rsid w:val="00C56BFA"/>
    <w:rsid w:val="00C575C2"/>
    <w:rsid w:val="00C64346"/>
    <w:rsid w:val="00C6784D"/>
    <w:rsid w:val="00C7631E"/>
    <w:rsid w:val="00C770E5"/>
    <w:rsid w:val="00C8070C"/>
    <w:rsid w:val="00C8218A"/>
    <w:rsid w:val="00C86C40"/>
    <w:rsid w:val="00CA4EE1"/>
    <w:rsid w:val="00CB3F07"/>
    <w:rsid w:val="00CC62DA"/>
    <w:rsid w:val="00CD1B64"/>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52E6"/>
    <w:rsid w:val="00E06C48"/>
    <w:rsid w:val="00E12428"/>
    <w:rsid w:val="00E12DE6"/>
    <w:rsid w:val="00E171A4"/>
    <w:rsid w:val="00E21C9A"/>
    <w:rsid w:val="00E22738"/>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2EA2"/>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701">
      <w:bodyDiv w:val="1"/>
      <w:marLeft w:val="0"/>
      <w:marRight w:val="0"/>
      <w:marTop w:val="0"/>
      <w:marBottom w:val="0"/>
      <w:divBdr>
        <w:top w:val="none" w:sz="0" w:space="0" w:color="auto"/>
        <w:left w:val="none" w:sz="0" w:space="0" w:color="auto"/>
        <w:bottom w:val="none" w:sz="0" w:space="0" w:color="auto"/>
        <w:right w:val="none" w:sz="0" w:space="0" w:color="auto"/>
      </w:divBdr>
    </w:div>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282146994">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lthpolicyresearch-scholars.org" TargetMode="Externa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60-27F3-C643-B234-0394BAD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23</Pages>
  <Words>27489</Words>
  <Characters>156690</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126</cp:revision>
  <dcterms:created xsi:type="dcterms:W3CDTF">2023-04-27T20:52:00Z</dcterms:created>
  <dcterms:modified xsi:type="dcterms:W3CDTF">2023-05-09T18:59:00Z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