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6DECC9C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w:t>
      </w:r>
      <w:r w:rsidR="0086322C">
        <w:rPr>
          <w:rFonts w:ascii="Times New Roman" w:hAnsi="Times New Roman" w:cs="Times New Roman"/>
        </w:rPr>
        <w:t>the</w:t>
      </w:r>
      <w:r w:rsidR="00EB6298">
        <w:rPr>
          <w:rFonts w:ascii="Times New Roman" w:hAnsi="Times New Roman" w:cs="Times New Roman"/>
        </w:rPr>
        <w:t xml:space="preserve"> </w:t>
      </w:r>
      <w:r w:rsidR="006E1B8D">
        <w:rPr>
          <w:rFonts w:ascii="Times New Roman" w:hAnsi="Times New Roman" w:cs="Times New Roman"/>
        </w:rPr>
        <w:t>accompanying</w:t>
      </w:r>
      <w:r w:rsidR="00EB6298">
        <w:rPr>
          <w:rFonts w:ascii="Times New Roman" w:hAnsi="Times New Roman" w:cs="Times New Roman"/>
        </w:rPr>
        <w:t xml:space="preserve"> distress </w:t>
      </w:r>
      <w:r w:rsidR="0086322C">
        <w:rPr>
          <w:rFonts w:ascii="Times New Roman" w:hAnsi="Times New Roman" w:cs="Times New Roman"/>
        </w:rPr>
        <w:t xml:space="preserve">that follows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w:t>
      </w:r>
      <w:r w:rsidR="0086322C">
        <w:rPr>
          <w:rFonts w:ascii="Times New Roman" w:hAnsi="Times New Roman" w:cs="Times New Roman"/>
        </w:rPr>
        <w:t xml:space="preserve"> (e.g., </w:t>
      </w:r>
      <w:r w:rsidR="0086322C">
        <w:rPr>
          <w:rFonts w:ascii="Times New Roman" w:hAnsi="Times New Roman" w:cs="Times New Roman"/>
        </w:rPr>
        <w:t>lost income due to cancer-related job loss or disability</w:t>
      </w:r>
      <w:r w:rsidR="0086322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—defined individuals with a history of cancer—</w:t>
      </w:r>
      <w:r w:rsidR="006E1B8D">
        <w:rPr>
          <w:rFonts w:ascii="Times New Roman" w:hAnsi="Times New Roman" w:cs="Times New Roman"/>
        </w:rPr>
        <w:t>,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as to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8EF4B6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w:t>
      </w:r>
      <w:r w:rsidR="0086322C">
        <w:rPr>
          <w:rFonts w:ascii="Times New Roman" w:hAnsi="Times New Roman" w:cs="Times New Roman"/>
        </w:rPr>
        <w:t>, including instances of cancer survivors facing difficult decisions between choosing medical care or nutritious foods</w:t>
      </w:r>
      <w:r w:rsidR="00F446B3">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3778B41F"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w:t>
      </w:r>
      <w:r w:rsidR="00216026">
        <w:rPr>
          <w:rFonts w:ascii="Times New Roman" w:hAnsi="Times New Roman" w:cs="Times New Roman"/>
        </w:rPr>
        <w:t>e</w:t>
      </w:r>
      <w:r w:rsidR="0088431B">
        <w:rPr>
          <w:rFonts w:ascii="Times New Roman" w:hAnsi="Times New Roman" w:cs="Times New Roman"/>
        </w:rPr>
        <w:t xml:space="preserve">merged </w:t>
      </w:r>
      <w:r w:rsidR="00216026">
        <w:rPr>
          <w:rFonts w:ascii="Times New Roman" w:hAnsi="Times New Roman" w:cs="Times New Roman"/>
        </w:rPr>
        <w:t>that emphasized</w:t>
      </w:r>
      <w:r w:rsidR="0088431B">
        <w:rPr>
          <w:rFonts w:ascii="Times New Roman" w:hAnsi="Times New Roman" w:cs="Times New Roman"/>
        </w:rPr>
        <w:t xml:space="preserve"> healthful dietary components such as fruits, vegetables, and whole grains, </w:t>
      </w:r>
      <w:r w:rsidR="00216026">
        <w:rPr>
          <w:rFonts w:ascii="Times New Roman" w:hAnsi="Times New Roman" w:cs="Times New Roman"/>
        </w:rPr>
        <w:t xml:space="preserve">and which </w:t>
      </w:r>
      <w:r w:rsidR="0088431B">
        <w:rPr>
          <w:rFonts w:ascii="Times New Roman" w:hAnsi="Times New Roman" w:cs="Times New Roman"/>
        </w:rPr>
        <w:t>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B26F16"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55C8E30"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w:t>
      </w:r>
      <w:r w:rsidR="00334684">
        <w:rPr>
          <w:rFonts w:ascii="Times New Roman" w:hAnsi="Times New Roman" w:cs="Times New Roman"/>
        </w:rPr>
        <w:lastRenderedPageBreak/>
        <w:t xml:space="preserve">Cancer status was ascertained via self-reported cancer history on the Medical Conditions Questionnaire (MCQ). </w:t>
      </w:r>
      <w:r w:rsidR="00221EC2">
        <w:rPr>
          <w:rFonts w:ascii="Times New Roman" w:hAnsi="Times New Roman" w:cs="Times New Roman"/>
        </w:rPr>
        <w:t xml:space="preserve">We note that individuals with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5640262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and </w:t>
      </w:r>
      <w:r w:rsidR="00E06C48" w:rsidRPr="00E06C48">
        <w:rPr>
          <w:rFonts w:ascii="Times New Roman" w:hAnsi="Times New Roman" w:cs="Times New Roman"/>
        </w:rPr>
        <w:lastRenderedPageBreak/>
        <w:t>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1D29A6C"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7F53D27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 xml:space="preserve">covered by </w:t>
      </w:r>
      <w:r w:rsidRPr="000143D6">
        <w:rPr>
          <w:rFonts w:ascii="Times New Roman" w:hAnsi="Times New Roman" w:cs="Times New Roman"/>
          <w:i/>
          <w:iCs/>
        </w:rPr>
        <w:lastRenderedPageBreak/>
        <w:t>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603B31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77777777"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77777777"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77777777"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5FF79FD0" w14:textId="77777777"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77777777"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DA4791C"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3"/>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3"/>
      <w:r>
        <w:rPr>
          <w:rStyle w:val="CommentReference"/>
        </w:rPr>
        <w:commentReference w:id="3"/>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a natural cubic spline.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We fit Cox proportional hazards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food insecure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0D48A60"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food insecure cancer survivors in this sample were younger than food secure survivors, more likely to be female, non-White, have a lower educational status, more likely to live under the poverty line, and were less likely to be covered under health insurance. </w:t>
      </w:r>
      <w:r w:rsidR="00332B47">
        <w:rPr>
          <w:rFonts w:ascii="Times New Roman" w:hAnsi="Times New Roman" w:cs="Times New Roman"/>
        </w:rPr>
        <w:t xml:space="preserve">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77777777" w:rsidR="00AA50B7" w:rsidRDefault="00B51CDF" w:rsidP="00AA50B7">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individual food groups that comprise them.</w:t>
      </w:r>
      <w:r w:rsidR="00D03E1F">
        <w:rPr>
          <w:rFonts w:ascii="Times New Roman" w:hAnsi="Times New Roman" w:cs="Times New Roman"/>
        </w:rPr>
        <w:t xml:space="preserve"> </w:t>
      </w:r>
      <w:r w:rsidR="00AA50B7">
        <w:rPr>
          <w:rFonts w:ascii="Times New Roman" w:hAnsi="Times New Roman" w:cs="Times New Roman"/>
        </w:rPr>
        <w:t xml:space="preserve">The Food Insecurity and SNAP patterns were suggestive of “unhealthy” dietary intake behavior. </w:t>
      </w:r>
      <w:r w:rsidR="00D03E1F">
        <w:rPr>
          <w:rFonts w:ascii="Times New Roman" w:hAnsi="Times New Roman" w:cs="Times New Roman"/>
        </w:rPr>
        <w:t xml:space="preserve">Within the sample of all cancer survivors, the Food Insecurity pattern was characterized by negative correlations with fruits, vegetables, nuts, and whole grains, a high correlation with added sugars, and a weak-to-moderate positive correlation with meat consumption. </w:t>
      </w:r>
      <w:r w:rsidR="00AA50B7">
        <w:rPr>
          <w:rFonts w:ascii="Times New Roman" w:hAnsi="Times New Roman" w:cs="Times New Roman"/>
        </w:rPr>
        <w:t>The SNAP pattern was negatively correlated with fruit and vegetable categories and positively correlated with added sugar consumption which was, in many ways, similar to the FI pattern and sharing a high correlation with that pattern (</w:t>
      </w:r>
      <w:r w:rsidR="00AA50B7">
        <w:rPr>
          <w:rFonts w:ascii="Times New Roman" w:hAnsi="Times New Roman" w:cs="Times New Roman"/>
          <w:i/>
          <w:iCs/>
        </w:rPr>
        <w:t xml:space="preserve">r </w:t>
      </w:r>
      <w:r w:rsidR="00AA50B7">
        <w:rPr>
          <w:rFonts w:ascii="Times New Roman" w:hAnsi="Times New Roman" w:cs="Times New Roman"/>
        </w:rPr>
        <w:t>= 0.81). The pattern of correlation coefficients for the household size pattern was also similar to those from the FI and SNAP patterns and shared a moderate correlation with Food Insecurity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Finally, the two patterns extracted with PCA in general appeared to reflect </w:t>
      </w:r>
      <w:commentRangeStart w:id="9"/>
      <w:r w:rsidR="00AA50B7">
        <w:rPr>
          <w:rFonts w:ascii="Times New Roman" w:hAnsi="Times New Roman" w:cs="Times New Roman"/>
        </w:rPr>
        <w:t xml:space="preserve">“prudent” patterns, that emphasized the vegetable categories </w:t>
      </w:r>
      <w:r w:rsidR="00AA50B7">
        <w:rPr>
          <w:rFonts w:ascii="Times New Roman" w:hAnsi="Times New Roman" w:cs="Times New Roman"/>
        </w:rPr>
        <w:lastRenderedPageBreak/>
        <w:t xml:space="preserve">while de-emphasizing added sugars </w:t>
      </w:r>
      <w:commentRangeEnd w:id="9"/>
      <w:r w:rsidR="00AA50B7">
        <w:rPr>
          <w:rStyle w:val="CommentReference"/>
        </w:rPr>
        <w:commentReference w:id="9"/>
      </w:r>
      <w:r w:rsidR="00AA50B7">
        <w:rPr>
          <w:rFonts w:ascii="Times New Roman" w:hAnsi="Times New Roman" w:cs="Times New Roman"/>
        </w:rPr>
        <w:t xml:space="preserve">and were negatively correlated with the FI, SNAP, and Household size patterns. On average, food insecure subjects had significantly higher scores on food insecurity and SNAP patterns, with a smaller effect size noted for the household size pattern, and lower scores on the Age, Prudent #1, and Prudent #2 patterns compared to food secure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E43C36">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E43C36">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77777777" w:rsidR="0024408E" w:rsidRDefault="0024408E"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1127FB">
            <w:pPr>
              <w:spacing w:line="360" w:lineRule="auto"/>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1127FB">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8B154D">
        <w:trPr>
          <w:trHeight w:val="320"/>
        </w:trPr>
        <w:tc>
          <w:tcPr>
            <w:tcW w:w="2456" w:type="dxa"/>
            <w:noWrap/>
            <w:vAlign w:val="center"/>
            <w:hideMark/>
          </w:tcPr>
          <w:p w14:paraId="556A813C" w14:textId="13185AD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AF604F">
            <w:pPr>
              <w:spacing w:line="360" w:lineRule="auto"/>
              <w:jc w:val="center"/>
              <w:rPr>
                <w:rFonts w:ascii="Times New Roman" w:hAnsi="Times New Roman" w:cs="Times New Roman"/>
                <w:sz w:val="20"/>
                <w:szCs w:val="20"/>
              </w:rPr>
            </w:pPr>
          </w:p>
          <w:p w14:paraId="3BAE44B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AF604F">
            <w:pPr>
              <w:spacing w:line="360" w:lineRule="auto"/>
              <w:jc w:val="center"/>
              <w:rPr>
                <w:rFonts w:ascii="Times New Roman" w:hAnsi="Times New Roman" w:cs="Times New Roman"/>
                <w:sz w:val="20"/>
                <w:szCs w:val="20"/>
              </w:rPr>
            </w:pPr>
          </w:p>
          <w:p w14:paraId="445107B9"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AF604F">
            <w:pPr>
              <w:spacing w:line="360" w:lineRule="auto"/>
              <w:jc w:val="center"/>
              <w:rPr>
                <w:rFonts w:ascii="Times New Roman" w:hAnsi="Times New Roman" w:cs="Times New Roman"/>
                <w:sz w:val="20"/>
                <w:szCs w:val="20"/>
              </w:rPr>
            </w:pPr>
          </w:p>
          <w:p w14:paraId="2BE9353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center"/>
            <w:hideMark/>
          </w:tcPr>
          <w:p w14:paraId="2CABFCEA" w14:textId="0642113D"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8B154D">
        <w:trPr>
          <w:trHeight w:val="320"/>
        </w:trPr>
        <w:tc>
          <w:tcPr>
            <w:tcW w:w="2456" w:type="dxa"/>
            <w:noWrap/>
            <w:vAlign w:val="center"/>
            <w:hideMark/>
          </w:tcPr>
          <w:p w14:paraId="25FC3050" w14:textId="2862552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AF604F">
            <w:pPr>
              <w:spacing w:line="360" w:lineRule="auto"/>
              <w:jc w:val="center"/>
              <w:rPr>
                <w:rFonts w:ascii="Times New Roman" w:hAnsi="Times New Roman" w:cs="Times New Roman"/>
                <w:sz w:val="20"/>
                <w:szCs w:val="20"/>
              </w:rPr>
            </w:pPr>
          </w:p>
          <w:p w14:paraId="18C3C487"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AF604F">
            <w:pPr>
              <w:spacing w:line="360" w:lineRule="auto"/>
              <w:jc w:val="center"/>
              <w:rPr>
                <w:rFonts w:ascii="Times New Roman" w:hAnsi="Times New Roman" w:cs="Times New Roman"/>
                <w:sz w:val="20"/>
                <w:szCs w:val="20"/>
              </w:rPr>
            </w:pPr>
          </w:p>
          <w:p w14:paraId="0F80923B"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AF604F">
            <w:pPr>
              <w:spacing w:line="360" w:lineRule="auto"/>
              <w:jc w:val="center"/>
              <w:rPr>
                <w:rFonts w:ascii="Times New Roman" w:hAnsi="Times New Roman" w:cs="Times New Roman"/>
                <w:sz w:val="20"/>
                <w:szCs w:val="20"/>
              </w:rPr>
            </w:pPr>
          </w:p>
          <w:p w14:paraId="2D5A9C5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151" w:type="dxa"/>
            <w:vAlign w:val="bottom"/>
          </w:tcPr>
          <w:p w14:paraId="61D8581F" w14:textId="09B26E9B"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center"/>
            <w:hideMark/>
          </w:tcPr>
          <w:p w14:paraId="082D7A6C" w14:textId="106A8761"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8B154D">
        <w:trPr>
          <w:trHeight w:val="320"/>
        </w:trPr>
        <w:tc>
          <w:tcPr>
            <w:tcW w:w="2456" w:type="dxa"/>
            <w:noWrap/>
            <w:vAlign w:val="center"/>
            <w:hideMark/>
          </w:tcPr>
          <w:p w14:paraId="45578080" w14:textId="5F69B1F3"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AF604F">
            <w:pPr>
              <w:spacing w:line="360" w:lineRule="auto"/>
              <w:jc w:val="center"/>
              <w:rPr>
                <w:rFonts w:ascii="Times New Roman" w:hAnsi="Times New Roman" w:cs="Times New Roman"/>
                <w:sz w:val="20"/>
                <w:szCs w:val="20"/>
              </w:rPr>
            </w:pPr>
          </w:p>
          <w:p w14:paraId="7E241423"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AF604F">
            <w:pPr>
              <w:spacing w:line="360" w:lineRule="auto"/>
              <w:jc w:val="center"/>
              <w:rPr>
                <w:rFonts w:ascii="Times New Roman" w:hAnsi="Times New Roman" w:cs="Times New Roman"/>
                <w:sz w:val="20"/>
                <w:szCs w:val="20"/>
              </w:rPr>
            </w:pPr>
          </w:p>
          <w:p w14:paraId="40E26EAF"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AF604F">
            <w:pPr>
              <w:spacing w:line="360" w:lineRule="auto"/>
              <w:jc w:val="center"/>
              <w:rPr>
                <w:rFonts w:ascii="Times New Roman" w:hAnsi="Times New Roman" w:cs="Times New Roman"/>
                <w:sz w:val="20"/>
                <w:szCs w:val="20"/>
              </w:rPr>
            </w:pPr>
          </w:p>
          <w:p w14:paraId="75414C1D"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center"/>
            <w:hideMark/>
          </w:tcPr>
          <w:p w14:paraId="6511FA0E" w14:textId="43B98CD4"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8B154D">
        <w:trPr>
          <w:trHeight w:val="320"/>
        </w:trPr>
        <w:tc>
          <w:tcPr>
            <w:tcW w:w="2456" w:type="dxa"/>
            <w:noWrap/>
            <w:vAlign w:val="center"/>
            <w:hideMark/>
          </w:tcPr>
          <w:p w14:paraId="522D5C3F" w14:textId="74DCAFF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AF604F">
            <w:pPr>
              <w:spacing w:line="360" w:lineRule="auto"/>
              <w:jc w:val="center"/>
              <w:rPr>
                <w:rFonts w:ascii="Times New Roman" w:hAnsi="Times New Roman" w:cs="Times New Roman"/>
                <w:sz w:val="20"/>
                <w:szCs w:val="20"/>
              </w:rPr>
            </w:pPr>
          </w:p>
          <w:p w14:paraId="725764D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AF604F">
            <w:pPr>
              <w:spacing w:line="360" w:lineRule="auto"/>
              <w:jc w:val="center"/>
              <w:rPr>
                <w:rFonts w:ascii="Times New Roman" w:hAnsi="Times New Roman" w:cs="Times New Roman"/>
                <w:sz w:val="20"/>
                <w:szCs w:val="20"/>
              </w:rPr>
            </w:pPr>
          </w:p>
          <w:p w14:paraId="2733B88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AF604F">
            <w:pPr>
              <w:spacing w:line="360" w:lineRule="auto"/>
              <w:jc w:val="center"/>
              <w:rPr>
                <w:rFonts w:ascii="Times New Roman" w:hAnsi="Times New Roman" w:cs="Times New Roman"/>
                <w:sz w:val="20"/>
                <w:szCs w:val="20"/>
              </w:rPr>
            </w:pPr>
          </w:p>
          <w:p w14:paraId="70EB0E9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center"/>
            <w:hideMark/>
          </w:tcPr>
          <w:p w14:paraId="049CB598" w14:textId="398B3695"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8B154D">
        <w:trPr>
          <w:trHeight w:val="320"/>
        </w:trPr>
        <w:tc>
          <w:tcPr>
            <w:tcW w:w="2456" w:type="dxa"/>
            <w:noWrap/>
            <w:vAlign w:val="center"/>
            <w:hideMark/>
          </w:tcPr>
          <w:p w14:paraId="15C9793D" w14:textId="426C547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AF604F">
            <w:pPr>
              <w:spacing w:line="360" w:lineRule="auto"/>
              <w:jc w:val="center"/>
              <w:rPr>
                <w:rFonts w:ascii="Times New Roman" w:hAnsi="Times New Roman" w:cs="Times New Roman"/>
                <w:sz w:val="20"/>
                <w:szCs w:val="20"/>
              </w:rPr>
            </w:pPr>
          </w:p>
          <w:p w14:paraId="6C1B4311"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AF604F">
            <w:pPr>
              <w:spacing w:line="360" w:lineRule="auto"/>
              <w:jc w:val="center"/>
              <w:rPr>
                <w:rFonts w:ascii="Times New Roman" w:hAnsi="Times New Roman" w:cs="Times New Roman"/>
                <w:sz w:val="20"/>
                <w:szCs w:val="20"/>
              </w:rPr>
            </w:pPr>
          </w:p>
          <w:p w14:paraId="3DB56E92"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AF604F">
            <w:pPr>
              <w:spacing w:line="360" w:lineRule="auto"/>
              <w:jc w:val="center"/>
              <w:rPr>
                <w:rFonts w:ascii="Times New Roman" w:hAnsi="Times New Roman" w:cs="Times New Roman"/>
                <w:sz w:val="20"/>
                <w:szCs w:val="20"/>
              </w:rPr>
            </w:pPr>
          </w:p>
          <w:p w14:paraId="12EC9DA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center"/>
            <w:hideMark/>
          </w:tcPr>
          <w:p w14:paraId="1A67B94D" w14:textId="6C1DF9EE"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8B154D">
        <w:trPr>
          <w:trHeight w:val="320"/>
        </w:trPr>
        <w:tc>
          <w:tcPr>
            <w:tcW w:w="2456" w:type="dxa"/>
            <w:tcBorders>
              <w:bottom w:val="single" w:sz="4" w:space="0" w:color="auto"/>
            </w:tcBorders>
            <w:noWrap/>
            <w:vAlign w:val="center"/>
            <w:hideMark/>
          </w:tcPr>
          <w:p w14:paraId="63DF81DA" w14:textId="50F149FF"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AF604F">
            <w:pPr>
              <w:spacing w:line="360" w:lineRule="auto"/>
              <w:jc w:val="center"/>
              <w:rPr>
                <w:rFonts w:ascii="Times New Roman" w:hAnsi="Times New Roman" w:cs="Times New Roman"/>
                <w:sz w:val="20"/>
                <w:szCs w:val="20"/>
              </w:rPr>
            </w:pPr>
          </w:p>
          <w:p w14:paraId="5E868235"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AF604F">
            <w:pPr>
              <w:spacing w:line="360" w:lineRule="auto"/>
              <w:jc w:val="center"/>
              <w:rPr>
                <w:rFonts w:ascii="Times New Roman" w:hAnsi="Times New Roman" w:cs="Times New Roman"/>
                <w:sz w:val="20"/>
                <w:szCs w:val="20"/>
              </w:rPr>
            </w:pPr>
          </w:p>
          <w:p w14:paraId="0AFFFF46"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AF604F">
            <w:pPr>
              <w:spacing w:line="360" w:lineRule="auto"/>
              <w:jc w:val="center"/>
              <w:rPr>
                <w:rFonts w:ascii="Times New Roman" w:hAnsi="Times New Roman" w:cs="Times New Roman"/>
                <w:sz w:val="20"/>
                <w:szCs w:val="20"/>
              </w:rPr>
            </w:pPr>
          </w:p>
          <w:p w14:paraId="4834AEF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151" w:type="dxa"/>
            <w:tcBorders>
              <w:bottom w:val="single" w:sz="4" w:space="0" w:color="auto"/>
            </w:tcBorders>
            <w:vAlign w:val="bottom"/>
          </w:tcPr>
          <w:p w14:paraId="62A9DC3D" w14:textId="5EC44327"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center"/>
            <w:hideMark/>
          </w:tcPr>
          <w:p w14:paraId="2829E239" w14:textId="7FB87693"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27F1B0A4" w14:textId="77777777" w:rsidR="00AA50B7" w:rsidRDefault="00AF604F" w:rsidP="005C42F5">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1764BF"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w:t>
      </w:r>
      <w:commentRangeStart w:id="10"/>
      <w:r w:rsidR="004348ED">
        <w:rPr>
          <w:rFonts w:ascii="Times New Roman" w:hAnsi="Times New Roman" w:cs="Times New Roman"/>
        </w:rPr>
        <w:t xml:space="preserve">46% </w:t>
      </w:r>
      <w:commentRangeEnd w:id="10"/>
      <w:r w:rsidR="004348ED">
        <w:rPr>
          <w:rStyle w:val="CommentReference"/>
        </w:rPr>
        <w:commentReference w:id="10"/>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w:t>
      </w:r>
      <w:r w:rsidR="00F22ED6">
        <w:rPr>
          <w:rFonts w:ascii="Times New Roman" w:hAnsi="Times New Roman" w:cs="Times New Roman"/>
        </w:rPr>
        <w:lastRenderedPageBreak/>
        <w:t xml:space="preserve">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food insecure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1"/>
      <w:commentRangeStart w:id="12"/>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1"/>
      <w:r w:rsidR="00E2638A">
        <w:rPr>
          <w:rStyle w:val="CommentReference"/>
        </w:rPr>
        <w:commentReference w:id="11"/>
      </w:r>
      <w:commentRangeEnd w:id="12"/>
      <w:r w:rsidR="00586A40">
        <w:rPr>
          <w:rStyle w:val="CommentReference"/>
        </w:rPr>
        <w:commentReference w:id="12"/>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Dhq0k4GwIAAD8EAAAOAAAAAAAAAAAAAAAAAC4CAABkcnMvZTJvRG9jLnht&#13;&#10;bFBLAQItABQABgAIAAAAIQA3Ib515QAAAA8BAAAPAAAAAAAAAAAAAAAAAHUEAABkcnMvZG93bnJl&#13;&#10;di54bWxQSwUGAAAAAAQABADzAAAAhwUAAAAA&#13;&#10;" stroked="f">
                <v:textbox style="mso-fit-shape-to-text:t" inset="0,0,0,0">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3"/>
      <w:commentRangeEnd w:id="13"/>
      <w:r w:rsidR="00E2638A">
        <w:rPr>
          <w:rStyle w:val="CommentReference"/>
        </w:rPr>
        <w:commentReference w:id="13"/>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BC5821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4"/>
      <w:commentRangeStart w:id="15"/>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4"/>
      <w:r w:rsidR="00C32235">
        <w:rPr>
          <w:rStyle w:val="CommentReference"/>
        </w:rPr>
        <w:commentReference w:id="14"/>
      </w:r>
      <w:commentRangeEnd w:id="15"/>
      <w:r w:rsidR="00563FE1">
        <w:rPr>
          <w:rStyle w:val="CommentReference"/>
        </w:rPr>
        <w:commentReference w:id="15"/>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6"/>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6"/>
      <w:r w:rsidR="00C32235">
        <w:rPr>
          <w:rStyle w:val="CommentReference"/>
        </w:rPr>
        <w:commentReference w:id="16"/>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7"/>
      <w:commentRangeStart w:id="18"/>
      <w:r w:rsidR="006B401F">
        <w:rPr>
          <w:rFonts w:ascii="Times New Roman" w:hAnsi="Times New Roman" w:cs="Times New Roman"/>
        </w:rPr>
        <w:t xml:space="preserve">the other biomarkers </w:t>
      </w:r>
      <w:commentRangeEnd w:id="17"/>
      <w:r w:rsidR="00C32235">
        <w:rPr>
          <w:rStyle w:val="CommentReference"/>
        </w:rPr>
        <w:commentReference w:id="17"/>
      </w:r>
      <w:commentRangeEnd w:id="18"/>
      <w:r w:rsidR="005E0A90">
        <w:rPr>
          <w:rStyle w:val="CommentReference"/>
        </w:rPr>
        <w:commentReference w:id="18"/>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7C18E01C"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9"/>
      <w:commentRangeStart w:id="20"/>
      <w:r w:rsidR="004A7671">
        <w:rPr>
          <w:rFonts w:ascii="Times New Roman" w:hAnsi="Times New Roman" w:cs="Times New Roman"/>
        </w:rPr>
        <w:t>area</w:t>
      </w:r>
      <w:commentRangeEnd w:id="19"/>
      <w:r w:rsidR="00C32235">
        <w:rPr>
          <w:rStyle w:val="CommentReference"/>
        </w:rPr>
        <w:commentReference w:id="19"/>
      </w:r>
      <w:commentRangeEnd w:id="20"/>
      <w:r w:rsidR="00563FE1">
        <w:rPr>
          <w:rStyle w:val="CommentReference"/>
        </w:rPr>
        <w:commentReference w:id="20"/>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B420C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Brenda Davis Koester" w:date="2023-05-03T20:52:00Z" w:initials="KBD">
    <w:p w14:paraId="282E1EE8" w14:textId="77777777" w:rsidR="00AA50B7" w:rsidRDefault="00AA50B7" w:rsidP="00AA50B7">
      <w:pPr>
        <w:pStyle w:val="CommentText"/>
      </w:pPr>
      <w:r>
        <w:rPr>
          <w:rStyle w:val="CommentReference"/>
        </w:rPr>
        <w:annotationRef/>
      </w:r>
      <w:r>
        <w:t>This is what I was referring to above – any way to introduce this earlier?</w:t>
      </w:r>
    </w:p>
  </w:comment>
  <w:comment w:id="10"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1"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2"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3"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4"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5"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6"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7"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8"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9"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20"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49C6FAA4" w15:done="0"/>
  <w15:commentEx w15:paraId="382E4E4E" w15:done="0"/>
  <w15:commentEx w15:paraId="0C69A879" w15:done="0"/>
  <w15:commentEx w15:paraId="344DA250" w15:done="0"/>
  <w15:commentEx w15:paraId="5FA1ECC5" w15:paraIdParent="344DA250" w15:done="0"/>
  <w15:commentEx w15:paraId="282E1EE8"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49C6FAA4"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282E1EE8" w16cid:durableId="27FF43F4"/>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rson w15:author="Brenda Davis Koester">
    <w15:presenceInfo w15:providerId="AD" w15:userId="S-1-5-21-2509641344-1052565914-3260824488-5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4655D"/>
    <w:rsid w:val="00051DA0"/>
    <w:rsid w:val="00076EA1"/>
    <w:rsid w:val="00084064"/>
    <w:rsid w:val="00091EC0"/>
    <w:rsid w:val="000A41FF"/>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16026"/>
    <w:rsid w:val="00221EC2"/>
    <w:rsid w:val="00222BAF"/>
    <w:rsid w:val="002262B7"/>
    <w:rsid w:val="0023438F"/>
    <w:rsid w:val="0024408E"/>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41FFB"/>
    <w:rsid w:val="00391B83"/>
    <w:rsid w:val="00397057"/>
    <w:rsid w:val="003A2185"/>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C1580"/>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6F69C5"/>
    <w:rsid w:val="00706FBC"/>
    <w:rsid w:val="0071461F"/>
    <w:rsid w:val="007440DF"/>
    <w:rsid w:val="007442EB"/>
    <w:rsid w:val="00745280"/>
    <w:rsid w:val="00745EA3"/>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322C"/>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500E4"/>
    <w:rsid w:val="00E50522"/>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25530</Words>
  <Characters>145526</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27</cp:revision>
  <dcterms:created xsi:type="dcterms:W3CDTF">2023-04-27T20:52:00Z</dcterms:created>
  <dcterms:modified xsi:type="dcterms:W3CDTF">2023-05-05T15:19:00Z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