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1B2AA67"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The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667E7CCB"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The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5E4B19B7"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The Family Resiliency Center</w:t>
      </w:r>
      <w:r w:rsidRPr="004B382C">
        <w:rPr>
          <w:rFonts w:ascii="Times" w:hAnsi="Times"/>
        </w:rPr>
        <w:t>, The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1A91B8BB"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The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A63229D" w:rsidR="00C575C2" w:rsidRDefault="00C575C2" w:rsidP="00315848">
      <w:pPr>
        <w:pStyle w:val="NormalWeb"/>
        <w:spacing w:before="0" w:beforeAutospacing="0" w:after="0" w:afterAutospacing="0" w:line="360" w:lineRule="auto"/>
        <w:ind w:firstLine="720"/>
        <w:rPr>
          <w:color w:val="0E101A"/>
        </w:rPr>
      </w:pPr>
      <w:r>
        <w:rPr>
          <w:color w:val="0E101A"/>
        </w:rPr>
        <w:t>Food insecurity—the lack of unabated access to nutritious foods—is a consequence many cancer survivors face. Food insecurity is associated with adverse health outcomes and lower diet quality among the general public. In a previous analysis, we extracted prevailing dietary patterns in U.S. cancer survivors suggesting poor diet quality in this population. This analysis aimed to evaluate associations between those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77777777" w:rsidR="00C575C2" w:rsidRDefault="00C575C2" w:rsidP="00315848">
      <w:pPr>
        <w:pStyle w:val="NormalWeb"/>
        <w:spacing w:before="0" w:beforeAutospacing="0" w:after="0" w:afterAutospacing="0" w:line="360" w:lineRule="auto"/>
        <w:rPr>
          <w:color w:val="0E101A"/>
        </w:rPr>
      </w:pPr>
      <w:r>
        <w:rPr>
          <w:color w:val="0E101A"/>
        </w:rPr>
        <w:t>           We implemented two dietary pattern analysis approaches: penalized logistic regression and principal components analysis. Using nationally representative data from the NHANES (cycles spanning 1999-2018), we extracted six dietary patterns, two of which (the FI and SNAP patterns) were positively associated with being a food-insecure cancer survivor. Cox proportional hazards models were fit to data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t>Results</w:t>
      </w:r>
    </w:p>
    <w:p w14:paraId="6368D315" w14:textId="77777777" w:rsidR="00C575C2" w:rsidRDefault="00C575C2" w:rsidP="00315848">
      <w:pPr>
        <w:pStyle w:val="NormalWeb"/>
        <w:spacing w:before="0" w:beforeAutospacing="0" w:after="0" w:afterAutospacing="0" w:line="360" w:lineRule="auto"/>
        <w:rPr>
          <w:color w:val="0E101A"/>
        </w:rPr>
      </w:pPr>
      <w:r>
        <w:rPr>
          <w:color w:val="0E101A"/>
        </w:rPr>
        <w:t xml:space="preserve">           There were 981 deaths from all causes, 343 cancer, and 235 cardiovascular disease-related deaths. After multivariable adjustment, we found significantly higher risks of all-cause mortality </w:t>
      </w:r>
      <w:r>
        <w:rPr>
          <w:color w:val="0E101A"/>
        </w:rPr>
        <w:lastRenderedPageBreak/>
        <w:t>associated with higher adherence to the FI (HR: 1.23, 95% CI: 1.06-1.42) and SNAP (HR: 1.20, 95% CI: 1.03-1.40) patterns among cancer survivors. Inverse associations were noted between the Prudent #1 pattern and all-cause and cancer-specific mortality. Models with food-insecure cancer survivors revealed non-significant results with parameter estimates commensurate to those from models fit on all cancer survivors.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77777777" w:rsidR="00C575C2" w:rsidRDefault="00C575C2" w:rsidP="00C575C2">
      <w:pPr>
        <w:pStyle w:val="NormalWeb"/>
        <w:spacing w:before="0" w:beforeAutospacing="0" w:after="0" w:afterAutospacing="0"/>
        <w:rPr>
          <w:color w:val="0E101A"/>
        </w:rPr>
      </w:pPr>
      <w:r>
        <w:rPr>
          <w:color w:val="0E101A"/>
        </w:rPr>
        <w:t>           Higher adherence to prevailing dietary patterns in the U.S. cancer survivors population may yield a worse prognosis.</w:t>
      </w:r>
    </w:p>
    <w:p w14:paraId="67A31BE0" w14:textId="77777777" w:rsidR="00C575C2" w:rsidRDefault="00C575C2">
      <w:pPr>
        <w:rPr>
          <w:rFonts w:ascii="Times New Roman" w:hAnsi="Times New Roman" w:cs="Times New Roman"/>
        </w:rPr>
      </w:pP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71F070FC"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lost income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Pr>
          <w:rFonts w:ascii="Times New Roman" w:hAnsi="Times New Roman" w:cs="Times New Roman"/>
        </w:rPr>
        <w:t>about</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52D92675"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A framework of competing demands conceptualizes one manifestation of food insecurity amongst cancer survivors, involving cancer survivors facing difficult decisions between choosing medical care or nutritious foods</w:t>
      </w:r>
      <w:r w:rsidRPr="00377C36">
        <w:rPr>
          <w:rFonts w:ascii="Times New Roman" w:hAnsi="Times New Roman" w:cs="Times New Roman"/>
        </w:rPr>
        <w:t xml:space="preserve">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 quality in the general 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 though more research is needed to substantiate this conjecture.</w:t>
      </w:r>
    </w:p>
    <w:p w14:paraId="7DABA6DC" w14:textId="6F68908E"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 xml:space="preserve">Using penalized logistic </w:t>
      </w:r>
      <w:r w:rsidR="00377C36" w:rsidRPr="00377C36">
        <w:rPr>
          <w:rFonts w:ascii="Times New Roman" w:hAnsi="Times New Roman" w:cs="Times New Roman"/>
        </w:rPr>
        <w:lastRenderedPageBreak/>
        <w:t>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 and which was inversely associated with being food-insecure in the same population. Whether these dietary patterns impact clinically meaningful outcomes for cancer survivors was left open-ended.</w:t>
      </w:r>
    </w:p>
    <w:p w14:paraId="5AD1D093" w14:textId="5402CF63"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Understanding how food insecurity impacts different aspects of life, including dietary intake, is a means of delineating at least one potential driving factor behind the health disparities that may arise for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The hypothesis was that the dietary patterns describing consumption patterns in the food-insecure cancer survivor population would be positively associated with mortality in the cancer survivor and food-insecure cancer survivor populations.</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B2288AA"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Pr>
          <w:rFonts w:ascii="Times New Roman" w:hAnsi="Times New Roman" w:cs="Times New Roman"/>
        </w:rPr>
        <w:t xml:space="preserve">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 informed written consent</w:t>
      </w:r>
      <w:r w:rsidR="005E6B5F">
        <w:rPr>
          <w:rFonts w:ascii="Times New Roman" w:hAnsi="Times New Roman" w:cs="Times New Roman"/>
        </w:rPr>
        <w:t>,</w:t>
      </w:r>
      <w:r w:rsidR="001B0695">
        <w:rPr>
          <w:rFonts w:ascii="Times New Roman" w:hAnsi="Times New Roman" w:cs="Times New Roman"/>
        </w:rPr>
        <w:t xml:space="preserve"> and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xml:space="preserve">. Because </w:t>
      </w:r>
      <w:r w:rsidR="001B0695">
        <w:rPr>
          <w:rFonts w:ascii="Times New Roman" w:hAnsi="Times New Roman" w:cs="Times New Roman"/>
        </w:rPr>
        <w:lastRenderedPageBreak/>
        <w:t>this analysis involved deidentified secondary data, it was exempt from Institutional Review Board approval at the University of Illinois Urbana-Champaign.</w:t>
      </w:r>
    </w:p>
    <w:p w14:paraId="7DEA42EB" w14:textId="46E1862C"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United States Department of Agriculture’s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 on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A93BE4F"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Briefly, d</w:t>
      </w:r>
      <w:r>
        <w:rPr>
          <w:rFonts w:ascii="Times New Roman" w:hAnsi="Times New Roman" w:cs="Times New Roman"/>
        </w:rPr>
        <w:t>ietary intake data were amassed by NHANES study staff 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We used the USDA Food Patterns Equivalents Database (FPED) and 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the penalized logit models, four binary outcomes were regressed on the </w:t>
      </w:r>
      <w:r w:rsidR="0026524B">
        <w:rPr>
          <w:rFonts w:ascii="Times New Roman" w:hAnsi="Times New Roman" w:cs="Times New Roman"/>
        </w:rPr>
        <w:t xml:space="preserve">centered </w:t>
      </w:r>
      <w:r w:rsidR="0026524B">
        <w:rPr>
          <w:rFonts w:ascii="Times New Roman" w:hAnsi="Times New Roman" w:cs="Times New Roman"/>
        </w:rPr>
        <w:lastRenderedPageBreak/>
        <w:t xml:space="preserve">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1D0D429"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enrollment in the study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 Tenth Revision (ICD-10) codes</w:t>
      </w:r>
      <w:r w:rsidR="00A358D5">
        <w:rPr>
          <w:rFonts w:ascii="Times New Roman" w:hAnsi="Times New Roman" w:cs="Times New Roman"/>
        </w:rPr>
        <w:t xml:space="preserve"> to classify causes of death</w:t>
      </w:r>
      <w:r w:rsidR="00756082">
        <w:rPr>
          <w:rFonts w:ascii="Times New Roman" w:hAnsi="Times New Roman" w:cs="Times New Roman"/>
        </w:rPr>
        <w:t xml:space="preserve">.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A156014"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0E5296">
        <w:rPr>
          <w:rFonts w:ascii="Times New Roman" w:hAnsi="Times New Roman" w:cs="Times New Roman"/>
        </w:rPr>
        <w:t>in</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These data</w:t>
      </w:r>
      <w:r w:rsidR="00EA5E74">
        <w:rPr>
          <w:rFonts w:ascii="Times New Roman" w:hAnsi="Times New Roman" w:cs="Times New Roman"/>
        </w:rPr>
        <w:t xml:space="preserve"> </w:t>
      </w:r>
      <w:r w:rsidR="000143D6">
        <w:rPr>
          <w:rFonts w:ascii="Times New Roman" w:hAnsi="Times New Roman" w:cs="Times New Roman"/>
        </w:rPr>
        <w:t xml:space="preserve">were </w:t>
      </w:r>
      <w:r w:rsidR="000143D6">
        <w:rPr>
          <w:rFonts w:ascii="Times New Roman" w:hAnsi="Times New Roman" w:cs="Times New Roman"/>
        </w:rPr>
        <w:lastRenderedPageBreak/>
        <w:t>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46828895"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relationships between diet quality measures and all-cause and cause-specific mortalities </w:t>
      </w:r>
      <w:r w:rsidR="00662128">
        <w:rPr>
          <w:rFonts w:ascii="Times New Roman" w:hAnsi="Times New Roman" w:cs="Times New Roman"/>
        </w:rPr>
        <w:t>with</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DA4EBC">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m:t>
              </m:r>
              <m:r>
                <w:rPr>
                  <w:rFonts w:ascii="Cambria Math" w:eastAsiaTheme="minorEastAsia" w:hAnsi="Cambria Math" w:cs="Times New Roman"/>
                  <w:vertAlign w:val="subscript"/>
                </w:rPr>
                <m:t>=1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(4)</m:t>
          </m:r>
        </m:oMath>
      </m:oMathPara>
    </w:p>
    <w:p w14:paraId="410DEC18" w14:textId="5875B4AA"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that indicate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m:t>
        </m:r>
        <m:r>
          <w:rPr>
            <w:rFonts w:ascii="Cambria Math" w:eastAsiaTheme="minorEastAsia" w:hAnsi="Cambria Math" w:cs="Times New Roman"/>
          </w:rPr>
          <m:t>=5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equation 2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m:t>
        </m:r>
        <m:r>
          <w:rPr>
            <w:rFonts w:ascii="Cambria Math" w:eastAsiaTheme="minorEastAsia" w:hAnsi="Cambria Math" w:cs="Times New Roman"/>
          </w:rPr>
          <m:t>4</m:t>
        </m:r>
      </m:oMath>
      <w:r>
        <w:rPr>
          <w:rFonts w:ascii="Times New Roman" w:eastAsiaTheme="minorEastAsia" w:hAnsi="Times New Roman" w:cs="Times New Roman"/>
        </w:rPr>
        <w:t xml:space="preserve"> </w:t>
      </w:r>
      <w:proofErr w:type="spellStart"/>
      <w:r>
        <w:rPr>
          <w:rFonts w:ascii="Times New Roman" w:eastAsiaTheme="minorEastAsia" w:hAnsi="Times New Roman" w:cs="Times New Roman"/>
        </w:rPr>
        <w:t>basis</w:t>
      </w:r>
      <w:proofErr w:type="spellEnd"/>
      <w:r>
        <w:rPr>
          <w:rFonts w:ascii="Times New Roman" w:eastAsiaTheme="minorEastAsia" w:hAnsi="Times New Roman" w:cs="Times New Roman"/>
        </w:rPr>
        <w:t xml:space="preserve"> functions (not shown here) for </w:t>
      </w:r>
      <w:r w:rsidR="003473C4">
        <w:rPr>
          <w:rFonts w:ascii="Times New Roman" w:eastAsiaTheme="minorEastAsia" w:hAnsi="Times New Roman" w:cs="Times New Roman"/>
        </w:rPr>
        <w:t xml:space="preserve">a </w:t>
      </w:r>
      <w:r>
        <w:rPr>
          <w:rFonts w:ascii="Times New Roman" w:eastAsiaTheme="minorEastAsia" w:hAnsi="Times New Roman" w:cs="Times New Roman"/>
        </w:rPr>
        <w:lastRenderedPageBreak/>
        <w:t xml:space="preserve">natural cubic spline. Models fit using 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(not shown here).  Given that model 3 is nested in model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on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about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We also considered the NHANES ADL as a covariate, given that food security can be associated with physical disability and functional deficit. However, we did not include it in our primary models, given 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w:t>
      </w:r>
      <w:proofErr w:type="spellStart"/>
      <w:r w:rsidR="00E21C9A">
        <w:rPr>
          <w:rFonts w:ascii="Times New Roman" w:hAnsi="Times New Roman" w:cs="Times New Roman"/>
        </w:rPr>
        <w:t>s</w:t>
      </w:r>
      <w:r w:rsidR="00D33B18">
        <w:rPr>
          <w:rFonts w:ascii="Times New Roman" w:hAnsi="Times New Roman" w:cs="Times New Roman"/>
        </w:rPr>
        <w:t>ub</w:t>
      </w:r>
      <w:r w:rsidR="00E21C9A">
        <w:rPr>
          <w:rFonts w:ascii="Times New Roman" w:hAnsi="Times New Roman" w:cs="Times New Roman"/>
        </w:rPr>
        <w:t>analysis</w:t>
      </w:r>
      <w:proofErr w:type="spellEnd"/>
      <w:r w:rsidR="00E21C9A">
        <w:rPr>
          <w:rFonts w:ascii="Times New Roman" w:hAnsi="Times New Roman" w:cs="Times New Roman"/>
        </w:rPr>
        <w:t xml:space="preserve">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70A2F95"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contributions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more likely to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cancer survivors were also more likely to live in a home with five or more </w:t>
      </w:r>
      <w:r w:rsidR="00AF604F">
        <w:rPr>
          <w:rFonts w:ascii="Times New Roman" w:hAnsi="Times New Roman" w:cs="Times New Roman"/>
        </w:rPr>
        <w:lastRenderedPageBreak/>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 xml:space="preserve">and </w:t>
      </w:r>
      <w:r w:rsidR="00AA50B7">
        <w:rPr>
          <w:rFonts w:ascii="Times New Roman" w:hAnsi="Times New Roman" w:cs="Times New Roman"/>
        </w:rPr>
        <w:t>have</w:t>
      </w:r>
      <w:r w:rsidR="00332B47">
        <w:rPr>
          <w:rFonts w:ascii="Times New Roman" w:hAnsi="Times New Roman" w:cs="Times New Roman"/>
        </w:rPr>
        <w:t xml:space="preserve"> a greater comorbidity burden compared to their </w:t>
      </w:r>
      <w:r w:rsidR="00377C36">
        <w:rPr>
          <w:rFonts w:ascii="Times New Roman" w:hAnsi="Times New Roman" w:cs="Times New Roman"/>
        </w:rPr>
        <w:t>food-secure</w:t>
      </w:r>
      <w:r w:rsidR="00332B47">
        <w:rPr>
          <w:rFonts w:ascii="Times New Roman" w:hAnsi="Times New Roman" w:cs="Times New Roman"/>
        </w:rPr>
        <w:t xml:space="preserv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4B6454AE" w:rsidR="00AA50B7" w:rsidRDefault="002E02CB" w:rsidP="00AA50B7">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 </w:t>
      </w:r>
      <w:r w:rsidR="00AA50B7">
        <w:rPr>
          <w:rFonts w:ascii="Times New Roman" w:hAnsi="Times New Roman" w:cs="Times New Roman"/>
        </w:rPr>
        <w:lastRenderedPageBreak/>
        <w:t xml:space="preserve">pattern, and lower scores on the Age, Prudent #1, and Prudent #2 patterns compared to </w:t>
      </w:r>
      <w:r w:rsidR="00377C36">
        <w:rPr>
          <w:rFonts w:ascii="Times New Roman" w:hAnsi="Times New Roman" w:cs="Times New Roman"/>
        </w:rPr>
        <w:t>food-</w:t>
      </w:r>
      <w:r w:rsidR="00D43AB2">
        <w:rPr>
          <w:rFonts w:ascii="Times New Roman" w:hAnsi="Times New Roman" w:cs="Times New Roman"/>
          <w:noProof/>
        </w:rPr>
        <w:drawing>
          <wp:anchor distT="0" distB="0" distL="114300" distR="114300" simplePos="0" relativeHeight="251684864" behindDoc="0" locked="0" layoutInCell="1" allowOverlap="1" wp14:anchorId="0644C7C1" wp14:editId="28EB9C80">
            <wp:simplePos x="0" y="0"/>
            <wp:positionH relativeFrom="column">
              <wp:posOffset>0</wp:posOffset>
            </wp:positionH>
            <wp:positionV relativeFrom="paragraph">
              <wp:posOffset>1263974</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7C36">
        <w:rPr>
          <w:rFonts w:ascii="Times New Roman" w:hAnsi="Times New Roman" w:cs="Times New Roman"/>
        </w:rPr>
        <w:t>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6D2A7081" w:rsidR="0024408E" w:rsidRDefault="0024408E" w:rsidP="00E43C36">
      <w:pPr>
        <w:spacing w:line="360" w:lineRule="auto"/>
        <w:rPr>
          <w:rFonts w:ascii="Times New Roman" w:hAnsi="Times New Roman" w:cs="Times New Roman"/>
        </w:rPr>
      </w:pPr>
    </w:p>
    <w:p w14:paraId="15604957" w14:textId="59698447" w:rsidR="00387D8D" w:rsidRDefault="00387D8D" w:rsidP="00E43C36">
      <w:pPr>
        <w:spacing w:line="360" w:lineRule="auto"/>
        <w:rPr>
          <w:rFonts w:ascii="Times New Roman" w:hAnsi="Times New Roman" w:cs="Times New Roman"/>
        </w:rPr>
      </w:pPr>
    </w:p>
    <w:p w14:paraId="1B660C42" w14:textId="23346975" w:rsidR="00387D8D" w:rsidRDefault="00387D8D" w:rsidP="00E43C36">
      <w:pPr>
        <w:spacing w:line="360" w:lineRule="auto"/>
        <w:rPr>
          <w:rFonts w:ascii="Times New Roman" w:hAnsi="Times New Roman" w:cs="Times New Roman"/>
        </w:rPr>
      </w:pPr>
    </w:p>
    <w:p w14:paraId="1F5025EC" w14:textId="4004875D" w:rsidR="00387D8D" w:rsidRDefault="001604AA" w:rsidP="00E43C36">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637823D1">
                <wp:simplePos x="0" y="0"/>
                <wp:positionH relativeFrom="column">
                  <wp:posOffset>86360</wp:posOffset>
                </wp:positionH>
                <wp:positionV relativeFrom="paragraph">
                  <wp:posOffset>4561989</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4C1B" id="_x0000_s1027" type="#_x0000_t202" style="position:absolute;margin-left:6.8pt;margin-top:359.2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NNL8bj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329C164C" w14:textId="522C19CF" w:rsidR="00387D8D" w:rsidRDefault="00387D8D" w:rsidP="00B51CDF">
      <w:pPr>
        <w:spacing w:line="360" w:lineRule="auto"/>
        <w:rPr>
          <w:rFonts w:ascii="Times New Roman" w:hAnsi="Times New Roman" w:cs="Times New Roman"/>
        </w:rPr>
      </w:pPr>
    </w:p>
    <w:p w14:paraId="2A93DC6C" w14:textId="709DE64C" w:rsidR="00387D8D" w:rsidRDefault="00387D8D" w:rsidP="00B51CDF">
      <w:pPr>
        <w:spacing w:line="360" w:lineRule="auto"/>
        <w:rPr>
          <w:rFonts w:ascii="Times New Roman" w:hAnsi="Times New Roman" w:cs="Times New Roman"/>
        </w:rPr>
      </w:pPr>
    </w:p>
    <w:p w14:paraId="2E5BA278" w14:textId="26B8435E" w:rsidR="00387D8D" w:rsidRDefault="00387D8D" w:rsidP="00B51CDF">
      <w:pPr>
        <w:spacing w:line="360" w:lineRule="auto"/>
        <w:rPr>
          <w:rFonts w:ascii="Times New Roman" w:hAnsi="Times New Roman" w:cs="Times New Roman"/>
        </w:rPr>
      </w:pPr>
    </w:p>
    <w:p w14:paraId="34FB5FAA" w14:textId="77777777" w:rsidR="00E12428" w:rsidRDefault="00E12428" w:rsidP="00B51CDF">
      <w:pPr>
        <w:spacing w:line="360" w:lineRule="auto"/>
        <w:rPr>
          <w:rFonts w:ascii="Times New Roman" w:hAnsi="Times New Roman" w:cs="Times New Roman"/>
        </w:rPr>
      </w:pPr>
    </w:p>
    <w:p w14:paraId="6DB16D76" w14:textId="77777777"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77777777" w:rsidR="00E12428" w:rsidRDefault="00E12428" w:rsidP="00B51CDF">
      <w:pPr>
        <w:spacing w:line="360" w:lineRule="auto"/>
        <w:rPr>
          <w:rFonts w:ascii="Times New Roman" w:hAnsi="Times New Roman" w:cs="Times New Roman"/>
        </w:rPr>
      </w:pPr>
    </w:p>
    <w:p w14:paraId="09455B6E" w14:textId="2147B70B" w:rsidR="00E12428" w:rsidRDefault="00182B74" w:rsidP="00B51CDF">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77A08195" wp14:editId="4610A358">
                <wp:simplePos x="0" y="0"/>
                <wp:positionH relativeFrom="column">
                  <wp:posOffset>-359870</wp:posOffset>
                </wp:positionH>
                <wp:positionV relativeFrom="paragraph">
                  <wp:posOffset>-582930</wp:posOffset>
                </wp:positionV>
                <wp:extent cx="6804498" cy="8796236"/>
                <wp:effectExtent l="0" t="0" r="3175" b="5080"/>
                <wp:wrapNone/>
                <wp:docPr id="1628357051" name="Text Box 1628357051"/>
                <wp:cNvGraphicFramePr/>
                <a:graphic xmlns:a="http://schemas.openxmlformats.org/drawingml/2006/main">
                  <a:graphicData uri="http://schemas.microsoft.com/office/word/2010/wordprocessingShape">
                    <wps:wsp>
                      <wps:cNvSpPr txBox="1"/>
                      <wps:spPr>
                        <a:xfrm>
                          <a:off x="0" y="0"/>
                          <a:ext cx="6804498" cy="8796236"/>
                        </a:xfrm>
                        <a:prstGeom prst="rect">
                          <a:avLst/>
                        </a:prstGeom>
                        <a:solidFill>
                          <a:schemeClr val="lt1"/>
                        </a:solidFill>
                        <a:ln w="6350">
                          <a:noFill/>
                        </a:ln>
                      </wps:spPr>
                      <wps:txb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8195" id="Text Box 1628357051" o:spid="_x0000_s1028" type="#_x0000_t202" style="position:absolute;margin-left:-28.35pt;margin-top:-45.9pt;width:535.8pt;height:69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" fillcolor="white [3201]" stroked="f" strokeweight=".5pt">
                <v:textbox>
                  <w:txbxContent>
                    <w:tbl>
                      <w:tblPr>
                        <w:tblStyle w:val="TableGrid"/>
                        <w:tblW w:w="10509"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E12428" w:rsidRPr="00B51CDF" w14:paraId="1A3A5A27" w14:textId="77777777" w:rsidTr="00106DEE">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69E83FD" w14:textId="571E60CD" w:rsidR="00E12428" w:rsidRPr="005C42F5" w:rsidRDefault="00E12428" w:rsidP="00061216">
                            <w:pPr>
                              <w:rPr>
                                <w:rFonts w:ascii="Times New Roman" w:hAnsi="Times New Roman" w:cs="Times New Roman"/>
                                <w:sz w:val="20"/>
                                <w:szCs w:val="20"/>
                              </w:rPr>
                            </w:pPr>
                            <w:r>
                              <w:rPr>
                                <w:rFonts w:ascii="Times New Roman" w:hAnsi="Times New Roman" w:cs="Times New Roman"/>
                                <w:b/>
                                <w:bCs/>
                                <w:sz w:val="20"/>
                                <w:szCs w:val="20"/>
                              </w:rPr>
                              <w:t>Table 2</w:t>
                            </w:r>
                            <w:r>
                              <w:rPr>
                                <w:rFonts w:ascii="Times New Roman" w:hAnsi="Times New Roman" w:cs="Times New Roman"/>
                                <w:sz w:val="20"/>
                                <w:szCs w:val="20"/>
                              </w:rPr>
                              <w:t xml:space="preserve">. </w:t>
                            </w:r>
                            <w:r w:rsidR="00386696">
                              <w:rPr>
                                <w:rFonts w:ascii="Times New Roman" w:hAnsi="Times New Roman" w:cs="Times New Roman"/>
                                <w:sz w:val="20"/>
                                <w:szCs w:val="20"/>
                              </w:rPr>
                              <w:t>P</w:t>
                            </w:r>
                            <w:r>
                              <w:rPr>
                                <w:rFonts w:ascii="Times New Roman" w:hAnsi="Times New Roman" w:cs="Times New Roman"/>
                                <w:sz w:val="20"/>
                                <w:szCs w:val="20"/>
                              </w:rPr>
                              <w:t>earson correlation coefficients showing the contributions of each food group to the extracted dietary patterns. Correlations amongst the dietary patterns themselves are included at the bottom of the table in the lower triangular matrix form.</w:t>
                            </w:r>
                          </w:p>
                        </w:tc>
                      </w:tr>
                      <w:tr w:rsidR="00E12428" w:rsidRPr="00B51CDF" w14:paraId="3328A8CB" w14:textId="77777777" w:rsidTr="00106DEE">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E12428" w:rsidRPr="00B51CDF" w:rsidRDefault="00E12428"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E12428" w:rsidRPr="00B51CDF" w:rsidRDefault="00E12428"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4A3D77C5" w14:textId="77777777" w:rsidR="00E12428" w:rsidRPr="00B51CDF" w:rsidRDefault="00E12428"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E12428" w:rsidRPr="00B51CDF" w14:paraId="453CCCCC" w14:textId="77777777" w:rsidTr="00106DEE">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E12428" w:rsidRPr="00B51CDF" w:rsidRDefault="00E12428"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E12428" w:rsidRPr="00B51CDF" w:rsidRDefault="00E12428"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E12428" w:rsidRPr="00B51CDF" w:rsidRDefault="00E12428"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E12428" w:rsidRPr="00B51CDF" w:rsidRDefault="00E12428"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E12428" w:rsidRPr="00B51CDF" w:rsidRDefault="00E12428"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BB260EA" w14:textId="77777777" w:rsidR="00E12428" w:rsidRPr="00B51CDF" w:rsidRDefault="00E12428" w:rsidP="00061216">
                            <w:pPr>
                              <w:spacing w:line="360" w:lineRule="auto"/>
                              <w:rPr>
                                <w:rFonts w:ascii="Times New Roman" w:hAnsi="Times New Roman" w:cs="Times New Roman"/>
                                <w:sz w:val="20"/>
                                <w:szCs w:val="20"/>
                              </w:rPr>
                            </w:pPr>
                          </w:p>
                        </w:tc>
                      </w:tr>
                      <w:tr w:rsidR="00E12428" w:rsidRPr="00B51CDF" w14:paraId="0A50A584" w14:textId="77777777" w:rsidTr="00106DEE">
                        <w:tc>
                          <w:tcPr>
                            <w:tcW w:w="2187" w:type="dxa"/>
                            <w:tcBorders>
                              <w:top w:val="single" w:sz="4" w:space="0" w:color="auto"/>
                              <w:left w:val="single" w:sz="4" w:space="0" w:color="auto"/>
                              <w:bottom w:val="nil"/>
                            </w:tcBorders>
                            <w:shd w:val="clear" w:color="auto" w:fill="auto"/>
                            <w:vAlign w:val="center"/>
                          </w:tcPr>
                          <w:p w14:paraId="4889752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single" w:sz="4" w:space="0" w:color="auto"/>
                            </w:tcBorders>
                            <w:shd w:val="clear" w:color="auto" w:fill="auto"/>
                            <w:noWrap/>
                            <w:vAlign w:val="bottom"/>
                            <w:hideMark/>
                          </w:tcPr>
                          <w:p w14:paraId="179D584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E12428" w:rsidRPr="00B51CDF" w14:paraId="21190832" w14:textId="77777777" w:rsidTr="00106DEE">
                        <w:tc>
                          <w:tcPr>
                            <w:tcW w:w="2187" w:type="dxa"/>
                            <w:tcBorders>
                              <w:top w:val="nil"/>
                              <w:left w:val="single" w:sz="4" w:space="0" w:color="auto"/>
                              <w:bottom w:val="nil"/>
                            </w:tcBorders>
                            <w:shd w:val="clear" w:color="auto" w:fill="auto"/>
                            <w:vAlign w:val="center"/>
                          </w:tcPr>
                          <w:p w14:paraId="52EA66E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F7738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E12428" w:rsidRPr="00B51CDF" w14:paraId="1D928342" w14:textId="77777777" w:rsidTr="00106DEE">
                        <w:tc>
                          <w:tcPr>
                            <w:tcW w:w="2187" w:type="dxa"/>
                            <w:tcBorders>
                              <w:top w:val="nil"/>
                              <w:left w:val="single" w:sz="4" w:space="0" w:color="auto"/>
                              <w:bottom w:val="nil"/>
                            </w:tcBorders>
                            <w:shd w:val="clear" w:color="auto" w:fill="auto"/>
                            <w:vAlign w:val="center"/>
                          </w:tcPr>
                          <w:p w14:paraId="585C386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E2B48B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E12428" w:rsidRPr="00B51CDF" w14:paraId="449A5AF9" w14:textId="77777777" w:rsidTr="00106DEE">
                        <w:tc>
                          <w:tcPr>
                            <w:tcW w:w="2187" w:type="dxa"/>
                            <w:tcBorders>
                              <w:top w:val="nil"/>
                              <w:left w:val="single" w:sz="4" w:space="0" w:color="auto"/>
                              <w:bottom w:val="nil"/>
                            </w:tcBorders>
                            <w:shd w:val="clear" w:color="auto" w:fill="auto"/>
                            <w:vAlign w:val="center"/>
                          </w:tcPr>
                          <w:p w14:paraId="18C2337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138085D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1C06B493" w14:textId="77777777" w:rsidTr="00106DEE">
                        <w:tc>
                          <w:tcPr>
                            <w:tcW w:w="2187" w:type="dxa"/>
                            <w:tcBorders>
                              <w:top w:val="nil"/>
                              <w:left w:val="single" w:sz="4" w:space="0" w:color="auto"/>
                              <w:bottom w:val="nil"/>
                            </w:tcBorders>
                            <w:shd w:val="clear" w:color="auto" w:fill="auto"/>
                            <w:vAlign w:val="center"/>
                          </w:tcPr>
                          <w:p w14:paraId="70A0D73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single" w:sz="4" w:space="0" w:color="auto"/>
                            </w:tcBorders>
                            <w:shd w:val="clear" w:color="auto" w:fill="auto"/>
                            <w:noWrap/>
                            <w:vAlign w:val="bottom"/>
                            <w:hideMark/>
                          </w:tcPr>
                          <w:p w14:paraId="3DC3CFC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r>
                      <w:tr w:rsidR="00E12428" w:rsidRPr="00B51CDF" w14:paraId="00A23BEC" w14:textId="77777777" w:rsidTr="00106DEE">
                        <w:tc>
                          <w:tcPr>
                            <w:tcW w:w="2187" w:type="dxa"/>
                            <w:tcBorders>
                              <w:top w:val="nil"/>
                              <w:left w:val="single" w:sz="4" w:space="0" w:color="auto"/>
                              <w:bottom w:val="nil"/>
                            </w:tcBorders>
                            <w:shd w:val="clear" w:color="auto" w:fill="auto"/>
                            <w:vAlign w:val="center"/>
                          </w:tcPr>
                          <w:p w14:paraId="484A36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2BDAB6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47F55A07" w14:textId="77777777" w:rsidTr="00106DEE">
                        <w:tc>
                          <w:tcPr>
                            <w:tcW w:w="2187" w:type="dxa"/>
                            <w:tcBorders>
                              <w:top w:val="nil"/>
                              <w:left w:val="single" w:sz="4" w:space="0" w:color="auto"/>
                              <w:bottom w:val="nil"/>
                            </w:tcBorders>
                            <w:shd w:val="clear" w:color="auto" w:fill="auto"/>
                            <w:vAlign w:val="center"/>
                          </w:tcPr>
                          <w:p w14:paraId="6AE1817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27D5965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E12428" w:rsidRPr="00B51CDF" w14:paraId="7C4A5F35" w14:textId="77777777" w:rsidTr="00106DEE">
                        <w:tc>
                          <w:tcPr>
                            <w:tcW w:w="2187" w:type="dxa"/>
                            <w:tcBorders>
                              <w:top w:val="nil"/>
                              <w:left w:val="single" w:sz="4" w:space="0" w:color="auto"/>
                              <w:bottom w:val="nil"/>
                            </w:tcBorders>
                            <w:shd w:val="clear" w:color="auto" w:fill="auto"/>
                            <w:vAlign w:val="center"/>
                          </w:tcPr>
                          <w:p w14:paraId="2A8B90E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6E137A5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r>
                      <w:tr w:rsidR="00E12428" w:rsidRPr="00B51CDF" w14:paraId="299DF8DD" w14:textId="77777777" w:rsidTr="00106DEE">
                        <w:tc>
                          <w:tcPr>
                            <w:tcW w:w="2187" w:type="dxa"/>
                            <w:tcBorders>
                              <w:top w:val="nil"/>
                              <w:left w:val="single" w:sz="4" w:space="0" w:color="auto"/>
                              <w:bottom w:val="nil"/>
                            </w:tcBorders>
                            <w:shd w:val="clear" w:color="auto" w:fill="auto"/>
                            <w:vAlign w:val="center"/>
                          </w:tcPr>
                          <w:p w14:paraId="4C33663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single" w:sz="4" w:space="0" w:color="auto"/>
                            </w:tcBorders>
                            <w:shd w:val="clear" w:color="auto" w:fill="auto"/>
                            <w:noWrap/>
                            <w:vAlign w:val="bottom"/>
                            <w:hideMark/>
                          </w:tcPr>
                          <w:p w14:paraId="058A66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r>
                      <w:tr w:rsidR="00E12428" w:rsidRPr="00B51CDF" w14:paraId="1C7240A5" w14:textId="77777777" w:rsidTr="00106DEE">
                        <w:tc>
                          <w:tcPr>
                            <w:tcW w:w="2187" w:type="dxa"/>
                            <w:tcBorders>
                              <w:top w:val="nil"/>
                              <w:left w:val="single" w:sz="4" w:space="0" w:color="auto"/>
                              <w:bottom w:val="nil"/>
                            </w:tcBorders>
                            <w:shd w:val="clear" w:color="auto" w:fill="auto"/>
                            <w:vAlign w:val="center"/>
                          </w:tcPr>
                          <w:p w14:paraId="2C6100E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25933C0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128B1B2" w14:textId="77777777" w:rsidTr="00106DEE">
                        <w:tc>
                          <w:tcPr>
                            <w:tcW w:w="2187" w:type="dxa"/>
                            <w:tcBorders>
                              <w:top w:val="nil"/>
                              <w:left w:val="single" w:sz="4" w:space="0" w:color="auto"/>
                              <w:bottom w:val="nil"/>
                            </w:tcBorders>
                            <w:shd w:val="clear" w:color="auto" w:fill="auto"/>
                            <w:vAlign w:val="center"/>
                          </w:tcPr>
                          <w:p w14:paraId="6626AF97"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670A4C9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100C831A" w14:textId="77777777" w:rsidTr="00106DEE">
                        <w:tc>
                          <w:tcPr>
                            <w:tcW w:w="2187" w:type="dxa"/>
                            <w:tcBorders>
                              <w:top w:val="nil"/>
                              <w:left w:val="single" w:sz="4" w:space="0" w:color="auto"/>
                              <w:bottom w:val="nil"/>
                            </w:tcBorders>
                            <w:shd w:val="clear" w:color="auto" w:fill="auto"/>
                            <w:vAlign w:val="center"/>
                          </w:tcPr>
                          <w:p w14:paraId="6135AAA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B0BD58D"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E12428" w:rsidRPr="00B51CDF" w14:paraId="00BEAE87" w14:textId="77777777" w:rsidTr="00106DEE">
                        <w:tc>
                          <w:tcPr>
                            <w:tcW w:w="2187" w:type="dxa"/>
                            <w:tcBorders>
                              <w:top w:val="nil"/>
                              <w:left w:val="single" w:sz="4" w:space="0" w:color="auto"/>
                              <w:bottom w:val="nil"/>
                            </w:tcBorders>
                            <w:shd w:val="clear" w:color="auto" w:fill="auto"/>
                            <w:vAlign w:val="center"/>
                          </w:tcPr>
                          <w:p w14:paraId="4B0E401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single" w:sz="4" w:space="0" w:color="auto"/>
                            </w:tcBorders>
                            <w:shd w:val="clear" w:color="auto" w:fill="auto"/>
                            <w:noWrap/>
                            <w:vAlign w:val="bottom"/>
                            <w:hideMark/>
                          </w:tcPr>
                          <w:p w14:paraId="598FE7D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E12428" w:rsidRPr="00B51CDF" w14:paraId="2F4A5EAB" w14:textId="77777777" w:rsidTr="00106DEE">
                        <w:tc>
                          <w:tcPr>
                            <w:tcW w:w="2187" w:type="dxa"/>
                            <w:tcBorders>
                              <w:top w:val="nil"/>
                              <w:left w:val="single" w:sz="4" w:space="0" w:color="auto"/>
                              <w:bottom w:val="nil"/>
                            </w:tcBorders>
                            <w:shd w:val="clear" w:color="auto" w:fill="auto"/>
                            <w:vAlign w:val="center"/>
                          </w:tcPr>
                          <w:p w14:paraId="2E3A2F1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262332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6FEF1A9" w14:textId="77777777" w:rsidTr="00106DEE">
                        <w:tc>
                          <w:tcPr>
                            <w:tcW w:w="2187" w:type="dxa"/>
                            <w:tcBorders>
                              <w:top w:val="nil"/>
                              <w:left w:val="single" w:sz="4" w:space="0" w:color="auto"/>
                              <w:bottom w:val="nil"/>
                            </w:tcBorders>
                            <w:shd w:val="clear" w:color="auto" w:fill="auto"/>
                            <w:vAlign w:val="center"/>
                          </w:tcPr>
                          <w:p w14:paraId="531E952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12EA710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r>
                      <w:tr w:rsidR="00E12428" w:rsidRPr="00B51CDF" w14:paraId="7C75DFB4" w14:textId="77777777" w:rsidTr="00106DEE">
                        <w:tc>
                          <w:tcPr>
                            <w:tcW w:w="2187" w:type="dxa"/>
                            <w:tcBorders>
                              <w:top w:val="nil"/>
                              <w:left w:val="single" w:sz="4" w:space="0" w:color="auto"/>
                              <w:bottom w:val="nil"/>
                            </w:tcBorders>
                            <w:shd w:val="clear" w:color="auto" w:fill="auto"/>
                            <w:vAlign w:val="center"/>
                          </w:tcPr>
                          <w:p w14:paraId="3D89AB40"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7E8CD93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E12428" w:rsidRPr="00B51CDF" w14:paraId="4A9E6DE6" w14:textId="77777777" w:rsidTr="00106DEE">
                        <w:tc>
                          <w:tcPr>
                            <w:tcW w:w="2187" w:type="dxa"/>
                            <w:tcBorders>
                              <w:top w:val="nil"/>
                              <w:left w:val="single" w:sz="4" w:space="0" w:color="auto"/>
                              <w:bottom w:val="nil"/>
                            </w:tcBorders>
                            <w:shd w:val="clear" w:color="auto" w:fill="auto"/>
                            <w:vAlign w:val="center"/>
                          </w:tcPr>
                          <w:p w14:paraId="5113FC98"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776076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E12428" w:rsidRPr="00B51CDF" w14:paraId="4F540DC6" w14:textId="77777777" w:rsidTr="00106DEE">
                        <w:tc>
                          <w:tcPr>
                            <w:tcW w:w="2187" w:type="dxa"/>
                            <w:tcBorders>
                              <w:top w:val="nil"/>
                              <w:left w:val="single" w:sz="4" w:space="0" w:color="auto"/>
                              <w:bottom w:val="nil"/>
                            </w:tcBorders>
                            <w:shd w:val="clear" w:color="auto" w:fill="auto"/>
                            <w:vAlign w:val="center"/>
                          </w:tcPr>
                          <w:p w14:paraId="3AEAF6FB"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534D160F"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E12428" w:rsidRPr="00B51CDF" w14:paraId="2C7E4388" w14:textId="77777777" w:rsidTr="00106DEE">
                        <w:tc>
                          <w:tcPr>
                            <w:tcW w:w="2187" w:type="dxa"/>
                            <w:tcBorders>
                              <w:top w:val="nil"/>
                              <w:left w:val="single" w:sz="4" w:space="0" w:color="auto"/>
                              <w:bottom w:val="nil"/>
                            </w:tcBorders>
                            <w:shd w:val="clear" w:color="auto" w:fill="auto"/>
                            <w:vAlign w:val="center"/>
                          </w:tcPr>
                          <w:p w14:paraId="66A133F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1142031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4E4932AB" w14:textId="77777777" w:rsidTr="00106DEE">
                        <w:tc>
                          <w:tcPr>
                            <w:tcW w:w="2187" w:type="dxa"/>
                            <w:tcBorders>
                              <w:top w:val="nil"/>
                              <w:left w:val="single" w:sz="4" w:space="0" w:color="auto"/>
                              <w:bottom w:val="nil"/>
                            </w:tcBorders>
                            <w:shd w:val="clear" w:color="auto" w:fill="auto"/>
                            <w:vAlign w:val="center"/>
                          </w:tcPr>
                          <w:p w14:paraId="02F183A3"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24EA5E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35A58EE6" w14:textId="77777777" w:rsidTr="00106DEE">
                        <w:tc>
                          <w:tcPr>
                            <w:tcW w:w="2187" w:type="dxa"/>
                            <w:tcBorders>
                              <w:top w:val="nil"/>
                              <w:left w:val="single" w:sz="4" w:space="0" w:color="auto"/>
                              <w:bottom w:val="nil"/>
                            </w:tcBorders>
                            <w:shd w:val="clear" w:color="auto" w:fill="auto"/>
                            <w:vAlign w:val="center"/>
                          </w:tcPr>
                          <w:p w14:paraId="6929B24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single" w:sz="4" w:space="0" w:color="auto"/>
                            </w:tcBorders>
                            <w:shd w:val="clear" w:color="auto" w:fill="auto"/>
                            <w:noWrap/>
                            <w:vAlign w:val="bottom"/>
                            <w:hideMark/>
                          </w:tcPr>
                          <w:p w14:paraId="516548C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E12428" w:rsidRPr="00B51CDF" w14:paraId="76692AB4" w14:textId="77777777" w:rsidTr="00106DEE">
                        <w:tc>
                          <w:tcPr>
                            <w:tcW w:w="2187" w:type="dxa"/>
                            <w:tcBorders>
                              <w:top w:val="nil"/>
                              <w:left w:val="single" w:sz="4" w:space="0" w:color="auto"/>
                              <w:bottom w:val="nil"/>
                            </w:tcBorders>
                            <w:shd w:val="clear" w:color="auto" w:fill="auto"/>
                            <w:vAlign w:val="center"/>
                          </w:tcPr>
                          <w:p w14:paraId="2B67E586"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single" w:sz="4" w:space="0" w:color="auto"/>
                            </w:tcBorders>
                            <w:shd w:val="clear" w:color="auto" w:fill="auto"/>
                            <w:noWrap/>
                            <w:vAlign w:val="bottom"/>
                            <w:hideMark/>
                          </w:tcPr>
                          <w:p w14:paraId="71B6370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E12428" w:rsidRPr="00B51CDF" w14:paraId="374E2907" w14:textId="77777777" w:rsidTr="00106DEE">
                        <w:tc>
                          <w:tcPr>
                            <w:tcW w:w="2187" w:type="dxa"/>
                            <w:tcBorders>
                              <w:top w:val="nil"/>
                              <w:left w:val="single" w:sz="4" w:space="0" w:color="auto"/>
                              <w:bottom w:val="nil"/>
                            </w:tcBorders>
                            <w:shd w:val="clear" w:color="auto" w:fill="auto"/>
                            <w:vAlign w:val="center"/>
                          </w:tcPr>
                          <w:p w14:paraId="3B9839A5"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0C5F18F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E12428" w:rsidRPr="00B51CDF" w14:paraId="432B8586" w14:textId="77777777" w:rsidTr="00106DEE">
                        <w:tc>
                          <w:tcPr>
                            <w:tcW w:w="2187" w:type="dxa"/>
                            <w:tcBorders>
                              <w:top w:val="nil"/>
                              <w:left w:val="single" w:sz="4" w:space="0" w:color="auto"/>
                              <w:bottom w:val="nil"/>
                            </w:tcBorders>
                            <w:shd w:val="clear" w:color="auto" w:fill="auto"/>
                            <w:vAlign w:val="center"/>
                          </w:tcPr>
                          <w:p w14:paraId="4C88D532"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single" w:sz="4" w:space="0" w:color="auto"/>
                            </w:tcBorders>
                            <w:shd w:val="clear" w:color="auto" w:fill="auto"/>
                            <w:noWrap/>
                            <w:vAlign w:val="bottom"/>
                            <w:hideMark/>
                          </w:tcPr>
                          <w:p w14:paraId="09B0153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E12428" w:rsidRPr="00B51CDF" w14:paraId="354A8A4F" w14:textId="77777777" w:rsidTr="00106DEE">
                        <w:tc>
                          <w:tcPr>
                            <w:tcW w:w="2187" w:type="dxa"/>
                            <w:tcBorders>
                              <w:top w:val="nil"/>
                              <w:left w:val="single" w:sz="4" w:space="0" w:color="auto"/>
                              <w:bottom w:val="nil"/>
                            </w:tcBorders>
                            <w:shd w:val="clear" w:color="auto" w:fill="auto"/>
                            <w:vAlign w:val="center"/>
                          </w:tcPr>
                          <w:p w14:paraId="77AE40A4"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2BB0B633"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E12428" w:rsidRPr="00B51CDF" w14:paraId="1850A14A" w14:textId="77777777" w:rsidTr="00106DEE">
                        <w:tc>
                          <w:tcPr>
                            <w:tcW w:w="2187" w:type="dxa"/>
                            <w:tcBorders>
                              <w:top w:val="nil"/>
                              <w:left w:val="single" w:sz="4" w:space="0" w:color="auto"/>
                              <w:bottom w:val="single" w:sz="4" w:space="0" w:color="auto"/>
                            </w:tcBorders>
                            <w:shd w:val="clear" w:color="auto" w:fill="auto"/>
                            <w:vAlign w:val="center"/>
                          </w:tcPr>
                          <w:p w14:paraId="07A8D2FE" w14:textId="77777777" w:rsidR="00E12428" w:rsidRPr="00B51CDF" w:rsidRDefault="00E12428"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55E048AB"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E12428" w:rsidRPr="00B51CDF" w14:paraId="6CF085D8" w14:textId="77777777" w:rsidTr="00106DEE">
                        <w:tc>
                          <w:tcPr>
                            <w:tcW w:w="2187" w:type="dxa"/>
                            <w:tcBorders>
                              <w:top w:val="single" w:sz="4" w:space="0" w:color="auto"/>
                              <w:left w:val="single" w:sz="4" w:space="0" w:color="auto"/>
                              <w:bottom w:val="nil"/>
                            </w:tcBorders>
                            <w:shd w:val="clear" w:color="auto" w:fill="auto"/>
                            <w:vAlign w:val="center"/>
                          </w:tcPr>
                          <w:p w14:paraId="68484D33"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E12428" w:rsidRPr="00B51CDF" w:rsidRDefault="00E12428"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77FE2C25"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048F2D47" w14:textId="77777777" w:rsidTr="00106DEE">
                        <w:tc>
                          <w:tcPr>
                            <w:tcW w:w="2187" w:type="dxa"/>
                            <w:tcBorders>
                              <w:top w:val="nil"/>
                              <w:left w:val="single" w:sz="4" w:space="0" w:color="auto"/>
                              <w:bottom w:val="nil"/>
                            </w:tcBorders>
                            <w:shd w:val="clear" w:color="auto" w:fill="auto"/>
                            <w:vAlign w:val="center"/>
                          </w:tcPr>
                          <w:p w14:paraId="624B99CA"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E12428" w:rsidRPr="00B51CDF" w:rsidRDefault="00E12428"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D0A05D8"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428FD2FD" w14:textId="77777777" w:rsidTr="00106DEE">
                        <w:tc>
                          <w:tcPr>
                            <w:tcW w:w="2187" w:type="dxa"/>
                            <w:tcBorders>
                              <w:top w:val="nil"/>
                              <w:left w:val="single" w:sz="4" w:space="0" w:color="auto"/>
                              <w:bottom w:val="nil"/>
                            </w:tcBorders>
                            <w:shd w:val="clear" w:color="auto" w:fill="auto"/>
                            <w:vAlign w:val="center"/>
                          </w:tcPr>
                          <w:p w14:paraId="03C8AF60" w14:textId="77777777" w:rsidR="00E12428" w:rsidRPr="00B51CDF" w:rsidRDefault="00E12428"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E12428" w:rsidRPr="00B51CDF" w:rsidRDefault="00E12428"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64844D2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2ED2158B" w14:textId="77777777" w:rsidTr="00106DEE">
                        <w:tc>
                          <w:tcPr>
                            <w:tcW w:w="2187" w:type="dxa"/>
                            <w:tcBorders>
                              <w:top w:val="nil"/>
                              <w:left w:val="single" w:sz="4" w:space="0" w:color="auto"/>
                              <w:bottom w:val="nil"/>
                            </w:tcBorders>
                            <w:shd w:val="clear" w:color="auto" w:fill="auto"/>
                            <w:vAlign w:val="center"/>
                          </w:tcPr>
                          <w:p w14:paraId="229E123F" w14:textId="77777777" w:rsidR="00E12428" w:rsidRPr="00B51CDF" w:rsidRDefault="00E12428"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E12428" w:rsidRPr="00B51CDF" w:rsidRDefault="00E12428" w:rsidP="00061216">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760B6943"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15604E5E" w14:textId="77777777" w:rsidTr="00106DEE">
                        <w:tc>
                          <w:tcPr>
                            <w:tcW w:w="2187" w:type="dxa"/>
                            <w:tcBorders>
                              <w:top w:val="nil"/>
                              <w:left w:val="single" w:sz="4" w:space="0" w:color="auto"/>
                              <w:bottom w:val="nil"/>
                            </w:tcBorders>
                            <w:shd w:val="clear" w:color="auto" w:fill="auto"/>
                            <w:vAlign w:val="center"/>
                          </w:tcPr>
                          <w:p w14:paraId="4C91460B" w14:textId="77777777" w:rsidR="00E12428" w:rsidRPr="002F2BA6" w:rsidRDefault="00E12428"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E12428" w:rsidRPr="00B51CDF" w:rsidRDefault="00E12428"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5B66E4B1" w14:textId="77777777" w:rsidR="00E12428" w:rsidRPr="00B51CDF" w:rsidRDefault="00E12428" w:rsidP="00061216">
                            <w:pPr>
                              <w:spacing w:line="360" w:lineRule="auto"/>
                              <w:jc w:val="center"/>
                              <w:rPr>
                                <w:rFonts w:ascii="Times New Roman" w:hAnsi="Times New Roman" w:cs="Times New Roman"/>
                                <w:sz w:val="20"/>
                                <w:szCs w:val="20"/>
                              </w:rPr>
                            </w:pPr>
                          </w:p>
                        </w:tc>
                      </w:tr>
                      <w:tr w:rsidR="00E12428" w:rsidRPr="00B51CDF" w14:paraId="57101C74" w14:textId="77777777" w:rsidTr="00106DEE">
                        <w:tc>
                          <w:tcPr>
                            <w:tcW w:w="2187" w:type="dxa"/>
                            <w:tcBorders>
                              <w:top w:val="nil"/>
                              <w:left w:val="single" w:sz="4" w:space="0" w:color="auto"/>
                              <w:bottom w:val="single" w:sz="4" w:space="0" w:color="auto"/>
                            </w:tcBorders>
                            <w:shd w:val="clear" w:color="auto" w:fill="auto"/>
                            <w:vAlign w:val="center"/>
                          </w:tcPr>
                          <w:p w14:paraId="2AAB2D7D" w14:textId="77777777" w:rsidR="00E12428" w:rsidRPr="002F2BA6" w:rsidRDefault="00E12428"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single" w:sz="4" w:space="0" w:color="auto"/>
                            </w:tcBorders>
                            <w:shd w:val="clear" w:color="auto" w:fill="auto"/>
                            <w:noWrap/>
                            <w:vAlign w:val="bottom"/>
                            <w:hideMark/>
                          </w:tcPr>
                          <w:p w14:paraId="03FCD6E0"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15CC074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4F3FCF3C"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5DFE2396" w14:textId="77777777" w:rsidR="00E12428" w:rsidRPr="00B51CDF" w:rsidRDefault="00E12428"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79A815D1"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4059FB72" w14:textId="77777777" w:rsidR="00E12428" w:rsidRPr="00B51CDF" w:rsidRDefault="00E12428"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E12428" w:rsidRPr="00B51CDF" w14:paraId="4D8C1601" w14:textId="77777777" w:rsidTr="00106DEE">
                        <w:tc>
                          <w:tcPr>
                            <w:tcW w:w="10509" w:type="dxa"/>
                            <w:gridSpan w:val="7"/>
                            <w:tcBorders>
                              <w:top w:val="single" w:sz="4" w:space="0" w:color="auto"/>
                              <w:left w:val="nil"/>
                              <w:bottom w:val="nil"/>
                              <w:right w:val="nil"/>
                            </w:tcBorders>
                            <w:shd w:val="clear" w:color="auto" w:fill="auto"/>
                            <w:vAlign w:val="center"/>
                          </w:tcPr>
                          <w:p w14:paraId="20207864" w14:textId="428B9168" w:rsidR="00E12428" w:rsidRDefault="00E12428"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24F0F8CF" w14:textId="7AFC1B5C" w:rsidR="003A60E7" w:rsidRPr="00B603B5" w:rsidRDefault="003A60E7"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E12428" w:rsidRPr="00B51CDF" w:rsidRDefault="00E12428" w:rsidP="00061216">
                            <w:pPr>
                              <w:spacing w:line="360" w:lineRule="auto"/>
                              <w:rPr>
                                <w:rFonts w:ascii="Times New Roman" w:hAnsi="Times New Roman" w:cs="Times New Roman"/>
                                <w:sz w:val="20"/>
                                <w:szCs w:val="20"/>
                              </w:rPr>
                            </w:pPr>
                          </w:p>
                        </w:tc>
                      </w:tr>
                    </w:tbl>
                    <w:p w14:paraId="1234F7E9" w14:textId="77777777" w:rsidR="00E12428" w:rsidRDefault="00E12428" w:rsidP="00E12428"/>
                  </w:txbxContent>
                </v:textbox>
              </v:shape>
            </w:pict>
          </mc:Fallback>
        </mc:AlternateContent>
      </w: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3F8A14F2"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 xml:space="preserve">In our primary analysis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albeit they had 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77777777"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 xml:space="preserve">Within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compared to the first quintile</w:t>
      </w:r>
      <w:r w:rsidR="00FE4324">
        <w:rPr>
          <w:rFonts w:ascii="Times New Roman" w:hAnsi="Times New Roman" w:cs="Times New Roman"/>
        </w:rPr>
        <w:t xml:space="preserve"> with a significant test for </w:t>
      </w:r>
      <w:r w:rsidR="00E2638A">
        <w:rPr>
          <w:rFonts w:ascii="Times New Roman" w:hAnsi="Times New Roman" w:cs="Times New Roman"/>
        </w:rPr>
        <w:t xml:space="preserve">linear </w:t>
      </w:r>
      <w:r w:rsidR="00FE4324">
        <w:rPr>
          <w:rFonts w:ascii="Times New Roman" w:hAnsi="Times New Roman" w:cs="Times New Roman"/>
        </w:rPr>
        <w:t>trend</w:t>
      </w:r>
      <w:r w:rsidR="00291D99">
        <w:rPr>
          <w:rFonts w:ascii="Times New Roman" w:hAnsi="Times New Roman" w:cs="Times New Roman"/>
        </w:rPr>
        <w:t xml:space="preserve">. </w:t>
      </w:r>
    </w:p>
    <w:p w14:paraId="3EA77C52" w14:textId="6F7C2AB9" w:rsidR="00AF604F" w:rsidRDefault="004348ED" w:rsidP="005C42F5">
      <w:pPr>
        <w:spacing w:line="360" w:lineRule="auto"/>
        <w:ind w:firstLine="720"/>
        <w:rPr>
          <w:rFonts w:ascii="Times New Roman" w:eastAsiaTheme="minorEastAsia" w:hAnsi="Times New Roman" w:cs="Times New Roman"/>
        </w:rPr>
      </w:pPr>
      <w:r>
        <w:rPr>
          <w:rFonts w:ascii="Times New Roman" w:hAnsi="Times New Roman" w:cs="Times New Roman"/>
        </w:rPr>
        <w:t>When we examined cancer-specific mortality, the parameter estimates amongst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36297A">
        <w:rPr>
          <w:rFonts w:ascii="Times New Roman" w:eastAsiaTheme="minorEastAsia" w:hAnsi="Times New Roman" w:cs="Times New Roman"/>
        </w:rPr>
        <w:t>losing</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A121BB">
        <w:rPr>
          <w:rFonts w:ascii="Times New Roman" w:eastAsiaTheme="minorEastAsia" w:hAnsi="Times New Roman" w:cs="Times New Roman"/>
        </w:rPr>
        <w:t>were</w:t>
      </w:r>
      <w:r w:rsidR="00D753EF">
        <w:rPr>
          <w:rFonts w:ascii="Times New Roman" w:eastAsiaTheme="minorEastAsia" w:hAnsi="Times New Roman" w:cs="Times New Roman"/>
        </w:rPr>
        <w:t xml:space="preserve"> slightly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36297A" w:rsidRPr="0036297A">
        <w:rPr>
          <w:rFonts w:ascii="Times New Roman" w:eastAsiaTheme="minorEastAsia" w:hAnsi="Times New Roman" w:cs="Times New Roman"/>
        </w:rPr>
        <w:t xml:space="preserve">The SNAP pattern in this analysis </w:t>
      </w:r>
      <w:r w:rsidR="00A121BB">
        <w:rPr>
          <w:rFonts w:ascii="Times New Roman" w:eastAsiaTheme="minorEastAsia" w:hAnsi="Times New Roman" w:cs="Times New Roman"/>
        </w:rPr>
        <w:t>yielded</w:t>
      </w:r>
      <w:r w:rsidR="0036297A" w:rsidRPr="0036297A">
        <w:rPr>
          <w:rFonts w:ascii="Times New Roman" w:eastAsiaTheme="minorEastAsia" w:hAnsi="Times New Roman" w:cs="Times New Roman"/>
        </w:rPr>
        <w:t xml:space="preserve"> similar results as </w:t>
      </w:r>
      <w:r w:rsidR="00A121BB">
        <w:rPr>
          <w:rFonts w:ascii="Times New Roman" w:eastAsiaTheme="minorEastAsia" w:hAnsi="Times New Roman" w:cs="Times New Roman"/>
        </w:rPr>
        <w:t xml:space="preserve">those </w:t>
      </w:r>
      <w:r w:rsidR="0036297A" w:rsidRPr="0036297A">
        <w:rPr>
          <w:rFonts w:ascii="Times New Roman" w:eastAsiaTheme="minorEastAsia" w:hAnsi="Times New Roman" w:cs="Times New Roman"/>
        </w:rPr>
        <w:t>observed in the primary analysis.</w:t>
      </w:r>
      <w:r w:rsidR="00D753EF">
        <w:rPr>
          <w:rFonts w:ascii="Times New Roman" w:eastAsiaTheme="minorEastAsia" w:hAnsi="Times New Roman" w:cs="Times New Roman"/>
        </w:rPr>
        <w:t xml:space="preserve"> Notably, relationships between Prudent patterns #1 and #2 </w:t>
      </w:r>
      <w:r w:rsidR="00551EFA">
        <w:rPr>
          <w:rFonts w:ascii="Times New Roman" w:eastAsiaTheme="minorEastAsia" w:hAnsi="Times New Roman" w:cs="Times New Roman"/>
        </w:rPr>
        <w:t>and all-cause mortality attenuated towards the null.</w:t>
      </w:r>
    </w:p>
    <w:p w14:paraId="04C87BF4" w14:textId="77777777" w:rsidR="00E64F2F" w:rsidRDefault="00E64F2F" w:rsidP="00387D8D">
      <w:pPr>
        <w:spacing w:line="360" w:lineRule="auto"/>
        <w:rPr>
          <w:rFonts w:ascii="Times New Roman" w:hAnsi="Times New Roman" w:cs="Times New Roman"/>
        </w:rPr>
        <w:sectPr w:rsidR="00E64F2F" w:rsidSect="00687A69">
          <w:pgSz w:w="12240" w:h="15840"/>
          <w:pgMar w:top="1440" w:right="1440" w:bottom="1440" w:left="1440" w:header="720" w:footer="720" w:gutter="0"/>
          <w:cols w:space="720"/>
          <w:docGrid w:linePitch="360"/>
        </w:sectPr>
      </w:pP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35212BBC" w14:textId="25906B0B" w:rsidR="00D9498C" w:rsidRDefault="008E53DB" w:rsidP="008E53DB">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41F18D4A"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 xml:space="preserve">Figure </w:t>
                      </w:r>
                      <w:r w:rsidRPr="00E43C36">
                        <w:rPr>
                          <w:rFonts w:ascii="Times New Roman" w:hAnsi="Times New Roman" w:cs="Times New Roman"/>
                          <w:b/>
                          <w:bCs/>
                          <w:i/>
                          <w:iCs/>
                          <w:sz w:val="20"/>
                          <w:szCs w:val="20"/>
                        </w:rPr>
                        <w:fldChar w:fldCharType="begin"/>
                      </w:r>
                      <w:r w:rsidRPr="00E43C36">
                        <w:rPr>
                          <w:rFonts w:ascii="Times New Roman" w:hAnsi="Times New Roman" w:cs="Times New Roman"/>
                          <w:b/>
                          <w:bCs/>
                          <w:sz w:val="20"/>
                          <w:szCs w:val="20"/>
                        </w:rPr>
                        <w:instrText xml:space="preserve"> SEQ Figure \* ARABIC </w:instrText>
                      </w:r>
                      <w:r w:rsidRPr="00E43C36">
                        <w:rPr>
                          <w:rFonts w:ascii="Times New Roman" w:hAnsi="Times New Roman" w:cs="Times New Roman"/>
                          <w:b/>
                          <w:bCs/>
                          <w:i/>
                          <w:iCs/>
                          <w:sz w:val="20"/>
                          <w:szCs w:val="20"/>
                        </w:rPr>
                        <w:fldChar w:fldCharType="separate"/>
                      </w:r>
                      <w:r w:rsidR="00D90248">
                        <w:rPr>
                          <w:rFonts w:ascii="Times New Roman" w:hAnsi="Times New Roman" w:cs="Times New Roman"/>
                          <w:b/>
                          <w:bCs/>
                          <w:noProof/>
                          <w:sz w:val="20"/>
                          <w:szCs w:val="20"/>
                        </w:rPr>
                        <w:t>3</w:t>
                      </w:r>
                      <w:r w:rsidRPr="00E43C36">
                        <w:rPr>
                          <w:rFonts w:ascii="Times New Roman" w:hAnsi="Times New Roman" w:cs="Times New Roman"/>
                          <w:b/>
                          <w:bCs/>
                          <w:i/>
                          <w:iCs/>
                          <w:sz w:val="20"/>
                          <w:szCs w:val="20"/>
                        </w:rPr>
                        <w:fldChar w:fldCharType="end"/>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 xml:space="preserve">interior knots. These models adjusted for age, sex, race, BMI, household size, family income-to-poverty ratio, education status, health insurance status, alcohol intake, smoking status, calories, weekly MET minutes, the </w:t>
                      </w:r>
                      <w:proofErr w:type="spellStart"/>
                      <w:r w:rsidRPr="00E43C36">
                        <w:rPr>
                          <w:rFonts w:ascii="Times New Roman" w:hAnsi="Times New Roman" w:cs="Times New Roman"/>
                          <w:sz w:val="20"/>
                          <w:szCs w:val="20"/>
                        </w:rPr>
                        <w:t>Charlson</w:t>
                      </w:r>
                      <w:proofErr w:type="spellEnd"/>
                      <w:r w:rsidRPr="00E43C36">
                        <w:rPr>
                          <w:rFonts w:ascii="Times New Roman" w:hAnsi="Times New Roman" w:cs="Times New Roman"/>
                          <w:sz w:val="20"/>
                          <w:szCs w:val="20"/>
                        </w:rPr>
                        <w:t xml:space="preserve">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proofErr w:type="spellStart"/>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proofErr w:type="spellEnd"/>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33488885"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Pr>
          <w:rFonts w:ascii="Times New Roman" w:hAnsi="Times New Roman" w:cs="Times New Roman"/>
        </w:rPr>
        <w:lastRenderedPageBreak/>
        <w:t xml:space="preserve">to extract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healthful 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amongst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the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1067FC">
        <w:rPr>
          <w:rFonts w:ascii="Times New Roman" w:hAnsi="Times New Roman" w:cs="Times New Roman"/>
        </w:rPr>
        <w:t>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050A531D"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759E30B9"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w:t>
      </w:r>
      <w:r>
        <w:rPr>
          <w:rFonts w:ascii="Times New Roman" w:hAnsi="Times New Roman" w:cs="Times New Roman"/>
        </w:rPr>
        <w:lastRenderedPageBreak/>
        <w:t xml:space="preserve">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 resulting in 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5770470A"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we alluded to in our previous analysis, screening for food insecurity is not a clinical best practice widely implemented in cancer clinics</w:t>
      </w:r>
      <w:r w:rsidR="00EA2476">
        <w:rPr>
          <w:rFonts w:ascii="Times New Roman" w:hAnsi="Times New Roman" w:cs="Times New Roman"/>
        </w:rPr>
        <w:t xml:space="preserve">, 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on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EA2476">
        <w:rPr>
          <w:rFonts w:ascii="Times New Roman" w:hAnsi="Times New Roman" w:cs="Times New Roman"/>
        </w:rPr>
        <w:t>to 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provides</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w:t>
      </w:r>
      <w:r w:rsidR="00BD6434">
        <w:rPr>
          <w:rFonts w:ascii="Times New Roman" w:hAnsi="Times New Roman" w:cs="Times New Roman"/>
        </w:rPr>
        <w:lastRenderedPageBreak/>
        <w:t>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537E90F"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In a similar vein,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and this 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not able 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2146A21A"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 xml:space="preserve">consumption of added sugars and processed foods with concomitant low consumption of fruits, vegetables, whole grains, and other healthful diet </w:t>
      </w:r>
      <w:r w:rsidR="00E308A2">
        <w:rPr>
          <w:rFonts w:ascii="Times New Roman" w:hAnsi="Times New Roman" w:cs="Times New Roman"/>
        </w:rPr>
        <w:lastRenderedPageBreak/>
        <w:t xml:space="preserve">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w:t>
      </w:r>
      <w:r w:rsidR="00635431">
        <w:rPr>
          <w:rFonts w:ascii="Times New Roman" w:hAnsi="Times New Roman" w:cs="Times New Roman"/>
        </w:rPr>
        <w:t>ideally</w:t>
      </w:r>
      <w:r w:rsidR="006C07F1">
        <w:rPr>
          <w:rFonts w:ascii="Times New Roman" w:hAnsi="Times New Roman" w:cs="Times New Roman"/>
        </w:rPr>
        <w:t xml:space="preserve">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3FC283CD" w14:textId="77777777" w:rsidR="00303CF3" w:rsidRDefault="00303CF3" w:rsidP="00303CF3">
      <w:pPr>
        <w:spacing w:line="360" w:lineRule="auto"/>
        <w:rPr>
          <w:rFonts w:ascii="Times New Roman" w:hAnsi="Times New Roman" w:cs="Times New Roman"/>
        </w:rPr>
      </w:pPr>
    </w:p>
    <w:p w14:paraId="1491E8CE" w14:textId="77777777"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Conflict of Interest</w:t>
      </w:r>
    </w:p>
    <w:p w14:paraId="3C9CD1B2" w14:textId="77777777" w:rsidR="00303CF3" w:rsidRPr="00303CF3" w:rsidRDefault="00303CF3" w:rsidP="00303CF3">
      <w:pPr>
        <w:spacing w:line="360" w:lineRule="auto"/>
        <w:rPr>
          <w:rFonts w:ascii="Times New Roman" w:hAnsi="Times New Roman" w:cs="Times New Roman"/>
        </w:rPr>
      </w:pPr>
      <w:r w:rsidRPr="00303CF3">
        <w:rPr>
          <w:rFonts w:ascii="Times New Roman" w:hAnsi="Times New Roman" w:cs="Times New Roman"/>
        </w:rPr>
        <w:t>The authors declare no potential conflicts of interest.</w:t>
      </w:r>
    </w:p>
    <w:p w14:paraId="5B5BC46D" w14:textId="77777777" w:rsidR="00303CF3" w:rsidRDefault="00303CF3" w:rsidP="00303CF3">
      <w:pPr>
        <w:spacing w:line="360" w:lineRule="auto"/>
        <w:rPr>
          <w:rFonts w:ascii="Times New Roman" w:hAnsi="Times New Roman" w:cs="Times New Roman"/>
        </w:rPr>
      </w:pPr>
    </w:p>
    <w:p w14:paraId="2B7BE0DB" w14:textId="7105429F"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Funding</w:t>
      </w:r>
    </w:p>
    <w:p w14:paraId="5F551E95" w14:textId="06004C63" w:rsidR="00303CF3" w:rsidRPr="00303CF3" w:rsidRDefault="00303CF3" w:rsidP="00671560">
      <w:pPr>
        <w:spacing w:line="360" w:lineRule="auto"/>
        <w:rPr>
          <w:rFonts w:ascii="Times New Roman" w:hAnsi="Times New Roman" w:cs="Times New Roman"/>
        </w:rPr>
      </w:pPr>
      <w:r w:rsidRPr="00303CF3">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5" w:tgtFrame="_blank" w:history="1">
        <w:r w:rsidRPr="00303CF3">
          <w:rPr>
            <w:rStyle w:val="Hyperlink"/>
            <w:rFonts w:ascii="Times New Roman" w:hAnsi="Times New Roman" w:cs="Times New Roman"/>
          </w:rPr>
          <w:t>www.healthpolicyresearch-scholars.org</w:t>
        </w:r>
      </w:hyperlink>
      <w:r w:rsidRPr="00303CF3">
        <w:rPr>
          <w:rFonts w:ascii="Times New Roman" w:hAnsi="Times New Roman" w:cs="Times New Roman"/>
        </w:rPr>
        <w:t>.</w:t>
      </w:r>
    </w:p>
    <w:p w14:paraId="43E99406" w14:textId="77777777" w:rsidR="00303CF3" w:rsidRDefault="00303CF3" w:rsidP="00671560">
      <w:pPr>
        <w:spacing w:line="360" w:lineRule="auto"/>
        <w:rPr>
          <w:rFonts w:ascii="Times New Roman" w:hAnsi="Times New Roman" w:cs="Times New Roman"/>
          <w:b/>
          <w:bCs/>
        </w:rPr>
      </w:pPr>
    </w:p>
    <w:p w14:paraId="01CB1885" w14:textId="5F831C82" w:rsidR="0059611C" w:rsidRPr="00253283" w:rsidRDefault="001D6FB4" w:rsidP="00671560">
      <w:pPr>
        <w:spacing w:line="360" w:lineRule="auto"/>
        <w:rPr>
          <w:rFonts w:ascii="Times New Roman" w:hAnsi="Times New Roman" w:cs="Times New Roman"/>
          <w:b/>
          <w:bCs/>
        </w:rPr>
      </w:pPr>
      <w:r w:rsidRPr="001D6FB4">
        <w:rPr>
          <w:rFonts w:ascii="Times New Roman" w:hAnsi="Times New Roman" w:cs="Times New Roman"/>
          <w:b/>
          <w:bCs/>
        </w:rPr>
        <w:t>References</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w:t>
      </w:r>
      <w:proofErr w:type="spellStart"/>
      <w:r w:rsidRPr="0093425D">
        <w:rPr>
          <w:rFonts w:ascii="Times New Roman" w:hAnsi="Times New Roman" w:cs="Times New Roman"/>
        </w:rPr>
        <w:t>jnci</w:t>
      </w:r>
      <w:proofErr w:type="spellEnd"/>
      <w:r w:rsidRPr="0093425D">
        <w:rPr>
          <w:rFonts w:ascii="Times New Roman" w:hAnsi="Times New Roman" w:cs="Times New Roman"/>
        </w:rPr>
        <w:t>/djv370.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w:t>
      </w:r>
      <w:proofErr w:type="spellStart"/>
      <w:r w:rsidRPr="0093425D">
        <w:rPr>
          <w:rFonts w:ascii="Times New Roman" w:hAnsi="Times New Roman" w:cs="Times New Roman"/>
        </w:rPr>
        <w:t>Kantarjian</w:t>
      </w:r>
      <w:proofErr w:type="spellEnd"/>
      <w:r w:rsidRPr="0093425D">
        <w:rPr>
          <w:rFonts w:ascii="Times New Roman" w:hAnsi="Times New Roman" w:cs="Times New Roman"/>
        </w:rPr>
        <w:t xml:space="preserve">,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w:t>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F.M.; Bradley, C.J. Women With Breast Cancer Who Work For Accommodating Employers More Likely To Retain Jobs After Treatment.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Aff</w:t>
      </w:r>
      <w:proofErr w:type="spellEnd"/>
      <w:r w:rsidRPr="0093425D">
        <w:rPr>
          <w:rFonts w:ascii="Times New Roman" w:hAnsi="Times New Roman" w:cs="Times New Roman"/>
          <w:i/>
          <w:iCs/>
        </w:rPr>
        <w:t>.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w:t>
      </w:r>
      <w:proofErr w:type="spellStart"/>
      <w:r w:rsidRPr="0093425D">
        <w:rPr>
          <w:rFonts w:ascii="Times New Roman" w:hAnsi="Times New Roman" w:cs="Times New Roman"/>
        </w:rPr>
        <w:t>Borno</w:t>
      </w:r>
      <w:proofErr w:type="spellEnd"/>
      <w:r w:rsidRPr="0093425D">
        <w:rPr>
          <w:rFonts w:ascii="Times New Roman" w:hAnsi="Times New Roman" w:cs="Times New Roman"/>
        </w:rPr>
        <w:t xml:space="preserve">,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6. </w:t>
      </w:r>
      <w:r w:rsidRPr="0093425D">
        <w:rPr>
          <w:rFonts w:ascii="Times New Roman" w:hAnsi="Times New Roman" w:cs="Times New Roman"/>
        </w:rPr>
        <w:tab/>
      </w:r>
      <w:proofErr w:type="spellStart"/>
      <w:r w:rsidRPr="0093425D">
        <w:rPr>
          <w:rFonts w:ascii="Times New Roman" w:hAnsi="Times New Roman" w:cs="Times New Roman"/>
        </w:rPr>
        <w:t>Charkhchi</w:t>
      </w:r>
      <w:proofErr w:type="spellEnd"/>
      <w:r w:rsidRPr="0093425D">
        <w:rPr>
          <w:rFonts w:ascii="Times New Roman" w:hAnsi="Times New Roman" w:cs="Times New Roman"/>
        </w:rPr>
        <w:t xml:space="preserve">, P.; </w:t>
      </w:r>
      <w:proofErr w:type="spellStart"/>
      <w:r w:rsidRPr="0093425D">
        <w:rPr>
          <w:rFonts w:ascii="Times New Roman" w:hAnsi="Times New Roman" w:cs="Times New Roman"/>
        </w:rPr>
        <w:t>Fazeli</w:t>
      </w:r>
      <w:proofErr w:type="spellEnd"/>
      <w:r w:rsidRPr="0093425D">
        <w:rPr>
          <w:rFonts w:ascii="Times New Roman" w:hAnsi="Times New Roman" w:cs="Times New Roman"/>
        </w:rPr>
        <w:t xml:space="preserve"> </w:t>
      </w:r>
      <w:proofErr w:type="spellStart"/>
      <w:r w:rsidRPr="0093425D">
        <w:rPr>
          <w:rFonts w:ascii="Times New Roman" w:hAnsi="Times New Roman" w:cs="Times New Roman"/>
        </w:rPr>
        <w:t>Dehkordy</w:t>
      </w:r>
      <w:proofErr w:type="spellEnd"/>
      <w:r w:rsidRPr="0093425D">
        <w:rPr>
          <w:rFonts w:ascii="Times New Roman" w:hAnsi="Times New Roman" w:cs="Times New Roman"/>
        </w:rPr>
        <w:t xml:space="preserve">, S.; Carlos, R.C. Housing and Food Insecurity, Care Access, and Health Status Among the Chronically Ill: An Analysis of the Behavioral Risk Factor 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9. </w:t>
      </w:r>
      <w:r w:rsidRPr="0093425D">
        <w:rPr>
          <w:rFonts w:ascii="Times New Roman" w:hAnsi="Times New Roman" w:cs="Times New Roman"/>
        </w:rPr>
        <w:tab/>
        <w:t xml:space="preserve">Gundersen, C.; </w:t>
      </w:r>
      <w:proofErr w:type="spellStart"/>
      <w:r w:rsidRPr="0093425D">
        <w:rPr>
          <w:rFonts w:ascii="Times New Roman" w:hAnsi="Times New Roman" w:cs="Times New Roman"/>
        </w:rPr>
        <w:t>Ziliak</w:t>
      </w:r>
      <w:proofErr w:type="spellEnd"/>
      <w:r w:rsidRPr="0093425D">
        <w:rPr>
          <w:rFonts w:ascii="Times New Roman" w:hAnsi="Times New Roman" w:cs="Times New Roman"/>
        </w:rPr>
        <w:t xml:space="preserve">, J.P. Food Insecurity And Health Outcomes.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Aff</w:t>
      </w:r>
      <w:proofErr w:type="spellEnd"/>
      <w:r w:rsidRPr="0093425D">
        <w:rPr>
          <w:rFonts w:ascii="Times New Roman" w:hAnsi="Times New Roman" w:cs="Times New Roman"/>
          <w:i/>
          <w:iCs/>
        </w:rPr>
        <w:t>.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w:t>
      </w:r>
      <w:proofErr w:type="spellStart"/>
      <w:r w:rsidRPr="0093425D">
        <w:rPr>
          <w:rFonts w:ascii="Times New Roman" w:hAnsi="Times New Roman" w:cs="Times New Roman"/>
        </w:rPr>
        <w:t>Epel</w:t>
      </w:r>
      <w:proofErr w:type="spellEnd"/>
      <w:r w:rsidRPr="0093425D">
        <w:rPr>
          <w:rFonts w:ascii="Times New Roman" w:hAnsi="Times New Roman" w:cs="Times New Roman"/>
        </w:rPr>
        <w:t xml:space="preserve">, E.S.; Ritchie, L.D.; Crawford, P.B.; </w:t>
      </w:r>
      <w:proofErr w:type="spellStart"/>
      <w:r w:rsidRPr="0093425D">
        <w:rPr>
          <w:rFonts w:ascii="Times New Roman" w:hAnsi="Times New Roman" w:cs="Times New Roman"/>
        </w:rPr>
        <w:t>Laraia</w:t>
      </w:r>
      <w:proofErr w:type="spellEnd"/>
      <w:r w:rsidRPr="0093425D">
        <w:rPr>
          <w:rFonts w:ascii="Times New Roman" w:hAnsi="Times New Roman" w:cs="Times New Roman"/>
        </w:rPr>
        <w:t xml:space="preserve">, B.A. Food Insecurity Is Inversely Associated with Diet Quality of Lower-Income Adults.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11. </w:t>
      </w:r>
      <w:r w:rsidRPr="0093425D">
        <w:rPr>
          <w:rFonts w:ascii="Times New Roman" w:hAnsi="Times New Roman" w:cs="Times New Roman"/>
        </w:rPr>
        <w:tab/>
        <w:t xml:space="preserve">Maino Vieytes, C.A.; Zhu, R.; </w:t>
      </w:r>
      <w:proofErr w:type="spellStart"/>
      <w:r w:rsidRPr="0093425D">
        <w:rPr>
          <w:rFonts w:ascii="Times New Roman" w:hAnsi="Times New Roman" w:cs="Times New Roman"/>
        </w:rPr>
        <w:t>Gany</w:t>
      </w:r>
      <w:proofErr w:type="spellEnd"/>
      <w:r w:rsidRPr="0093425D">
        <w:rPr>
          <w:rFonts w:ascii="Times New Roman" w:hAnsi="Times New Roman" w:cs="Times New Roman"/>
        </w:rPr>
        <w:t>, F.; Burton-</w:t>
      </w:r>
      <w:proofErr w:type="spellStart"/>
      <w:r w:rsidRPr="0093425D">
        <w:rPr>
          <w:rFonts w:ascii="Times New Roman" w:hAnsi="Times New Roman" w:cs="Times New Roman"/>
        </w:rPr>
        <w:t>Obanla</w:t>
      </w:r>
      <w:proofErr w:type="spellEnd"/>
      <w:r w:rsidRPr="0093425D">
        <w:rPr>
          <w:rFonts w:ascii="Times New Roman" w:hAnsi="Times New Roman" w:cs="Times New Roman"/>
        </w:rPr>
        <w:t xml:space="preserve">,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r>
      <w:proofErr w:type="spellStart"/>
      <w:r w:rsidRPr="0093425D">
        <w:rPr>
          <w:rFonts w:ascii="Times New Roman" w:hAnsi="Times New Roman" w:cs="Times New Roman"/>
        </w:rPr>
        <w:t>Yaghjyan</w:t>
      </w:r>
      <w:proofErr w:type="spellEnd"/>
      <w:r w:rsidRPr="0093425D">
        <w:rPr>
          <w:rFonts w:ascii="Times New Roman" w:hAnsi="Times New Roman" w:cs="Times New Roman"/>
        </w:rPr>
        <w:t xml:space="preserve">, L.; </w:t>
      </w:r>
      <w:proofErr w:type="spellStart"/>
      <w:r w:rsidRPr="0093425D">
        <w:rPr>
          <w:rFonts w:ascii="Times New Roman" w:hAnsi="Times New Roman" w:cs="Times New Roman"/>
        </w:rPr>
        <w:t>Wijayabahu</w:t>
      </w:r>
      <w:proofErr w:type="spellEnd"/>
      <w:r w:rsidRPr="0093425D">
        <w:rPr>
          <w:rFonts w:ascii="Times New Roman" w:hAnsi="Times New Roman" w:cs="Times New Roman"/>
        </w:rPr>
        <w:t xml:space="preserve">, A.T.; Egan, K.M. RE: The Association Between Dietary Quality and Overall and Cancer-Specific Mortality Among Cancer Survivors, NHANES III. </w:t>
      </w:r>
      <w:r w:rsidRPr="0093425D">
        <w:rPr>
          <w:rFonts w:ascii="Times New Roman" w:hAnsi="Times New Roman" w:cs="Times New Roman"/>
          <w:i/>
          <w:iCs/>
        </w:rPr>
        <w:t xml:space="preserve">JNCI Cancer </w:t>
      </w:r>
      <w:proofErr w:type="spellStart"/>
      <w:r w:rsidRPr="0093425D">
        <w:rPr>
          <w:rFonts w:ascii="Times New Roman" w:hAnsi="Times New Roman" w:cs="Times New Roman"/>
          <w:i/>
          <w:iCs/>
        </w:rPr>
        <w:t>Spectr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w:t>
      </w:r>
      <w:proofErr w:type="spellStart"/>
      <w:r w:rsidRPr="0093425D">
        <w:rPr>
          <w:rFonts w:ascii="Times New Roman" w:hAnsi="Times New Roman" w:cs="Times New Roman"/>
        </w:rPr>
        <w:t>jncics</w:t>
      </w:r>
      <w:proofErr w:type="spellEnd"/>
      <w:r w:rsidRPr="0093425D">
        <w:rPr>
          <w:rFonts w:ascii="Times New Roman" w:hAnsi="Times New Roman" w:cs="Times New Roman"/>
        </w:rPr>
        <w:t>/pky044.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w:t>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A.J.; Baer, D.J.; Kretsch, M.J. The USDA Automated Multiple-Pass Method Accurately Estimates Group Total Energy and Nutrient Intake.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A.J.; Rhodes, D.G.; Baer, D.J.; </w:t>
      </w:r>
      <w:proofErr w:type="spellStart"/>
      <w:r w:rsidRPr="0093425D">
        <w:rPr>
          <w:rFonts w:ascii="Times New Roman" w:hAnsi="Times New Roman" w:cs="Times New Roman"/>
        </w:rPr>
        <w:t>Murayi</w:t>
      </w:r>
      <w:proofErr w:type="spellEnd"/>
      <w:r w:rsidRPr="0093425D">
        <w:rPr>
          <w:rFonts w:ascii="Times New Roman" w:hAnsi="Times New Roman" w:cs="Times New Roman"/>
        </w:rPr>
        <w:t xml:space="preserve">, T.; Clemens, J.C.; </w:t>
      </w:r>
      <w:proofErr w:type="spellStart"/>
      <w:r w:rsidRPr="0093425D">
        <w:rPr>
          <w:rFonts w:ascii="Times New Roman" w:hAnsi="Times New Roman" w:cs="Times New Roman"/>
        </w:rPr>
        <w:t>Rumpler</w:t>
      </w:r>
      <w:proofErr w:type="spellEnd"/>
      <w:r w:rsidRPr="0093425D">
        <w:rPr>
          <w:rFonts w:ascii="Times New Roman" w:hAnsi="Times New Roman" w:cs="Times New Roman"/>
        </w:rPr>
        <w:t xml:space="preserve">, W.V.; Paul, D.R.; Sebastian, R.S.; Kuczynski, K.J.; </w:t>
      </w:r>
      <w:proofErr w:type="spellStart"/>
      <w:r w:rsidRPr="0093425D">
        <w:rPr>
          <w:rFonts w:ascii="Times New Roman" w:hAnsi="Times New Roman" w:cs="Times New Roman"/>
        </w:rPr>
        <w:t>Ingwersen</w:t>
      </w:r>
      <w:proofErr w:type="spellEnd"/>
      <w:r w:rsidRPr="0093425D">
        <w:rPr>
          <w:rFonts w:ascii="Times New Roman" w:hAnsi="Times New Roman" w:cs="Times New Roman"/>
        </w:rPr>
        <w:t xml:space="preserve">, L.A.; et al. The US Department of Agriculture Automated Multiple-Pass Method Reduces Bias in the Collection of Energy Intakes. </w:t>
      </w:r>
      <w:r w:rsidRPr="0093425D">
        <w:rPr>
          <w:rFonts w:ascii="Times New Roman" w:hAnsi="Times New Roman" w:cs="Times New Roman"/>
          <w:i/>
          <w:iCs/>
        </w:rPr>
        <w:t xml:space="preserve">Am. J. Clin.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w:t>
      </w:r>
      <w:proofErr w:type="spellStart"/>
      <w:r w:rsidRPr="0093425D">
        <w:rPr>
          <w:rFonts w:ascii="Times New Roman" w:hAnsi="Times New Roman" w:cs="Times New Roman"/>
        </w:rPr>
        <w:t>ajcn</w:t>
      </w:r>
      <w:proofErr w:type="spellEnd"/>
      <w:r w:rsidRPr="0093425D">
        <w:rPr>
          <w:rFonts w:ascii="Times New Roman" w:hAnsi="Times New Roman" w:cs="Times New Roman"/>
        </w:rPr>
        <w:t>/88.2.324.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w:t>
      </w:r>
      <w:proofErr w:type="spellStart"/>
      <w:r w:rsidRPr="0093425D">
        <w:rPr>
          <w:rFonts w:ascii="Times New Roman" w:hAnsi="Times New Roman" w:cs="Times New Roman"/>
        </w:rPr>
        <w:t>Heendeniya</w:t>
      </w:r>
      <w:proofErr w:type="spellEnd"/>
      <w:r w:rsidRPr="0093425D">
        <w:rPr>
          <w:rFonts w:ascii="Times New Roman" w:hAnsi="Times New Roman" w:cs="Times New Roman"/>
        </w:rPr>
        <w:t xml:space="preserve">, K.Y.; </w:t>
      </w:r>
      <w:proofErr w:type="spellStart"/>
      <w:r w:rsidRPr="0093425D">
        <w:rPr>
          <w:rFonts w:ascii="Times New Roman" w:hAnsi="Times New Roman" w:cs="Times New Roman"/>
        </w:rPr>
        <w:t>Omolewa-Tomobi</w:t>
      </w:r>
      <w:proofErr w:type="spellEnd"/>
      <w:r w:rsidRPr="0093425D">
        <w:rPr>
          <w:rFonts w:ascii="Times New Roman" w:hAnsi="Times New Roman" w:cs="Times New Roman"/>
        </w:rPr>
        <w:t xml:space="preserve">, G.; </w:t>
      </w:r>
      <w:proofErr w:type="spellStart"/>
      <w:r w:rsidRPr="0093425D">
        <w:rPr>
          <w:rFonts w:ascii="Times New Roman" w:hAnsi="Times New Roman" w:cs="Times New Roman"/>
        </w:rPr>
        <w:t>Steinfeldt</w:t>
      </w:r>
      <w:proofErr w:type="spellEnd"/>
      <w:r w:rsidRPr="0093425D">
        <w:rPr>
          <w:rFonts w:ascii="Times New Roman" w:hAnsi="Times New Roman" w:cs="Times New Roman"/>
        </w:rPr>
        <w:t xml:space="preserve">, L.C.; Anand, J.; Adler, M.E.; </w:t>
      </w:r>
      <w:proofErr w:type="spellStart"/>
      <w:r w:rsidRPr="0093425D">
        <w:rPr>
          <w:rFonts w:ascii="Times New Roman" w:hAnsi="Times New Roman" w:cs="Times New Roman"/>
        </w:rPr>
        <w:t>LaComb</w:t>
      </w:r>
      <w:proofErr w:type="spellEnd"/>
      <w:r w:rsidRPr="0093425D">
        <w:rPr>
          <w:rFonts w:ascii="Times New Roman" w:hAnsi="Times New Roman" w:cs="Times New Roman"/>
        </w:rPr>
        <w:t xml:space="preserve">, R.P.; </w:t>
      </w:r>
      <w:proofErr w:type="spellStart"/>
      <w:r w:rsidRPr="0093425D">
        <w:rPr>
          <w:rFonts w:ascii="Times New Roman" w:hAnsi="Times New Roman" w:cs="Times New Roman"/>
        </w:rPr>
        <w:t>Moshfegh</w:t>
      </w:r>
      <w:proofErr w:type="spellEnd"/>
      <w:r w:rsidRPr="0093425D">
        <w:rPr>
          <w:rFonts w:ascii="Times New Roman" w:hAnsi="Times New Roman" w:cs="Times New Roman"/>
        </w:rPr>
        <w:t xml:space="preserve">,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w:t>
      </w:r>
      <w:proofErr w:type="spellStart"/>
      <w:r w:rsidRPr="0093425D">
        <w:rPr>
          <w:rFonts w:ascii="Times New Roman" w:hAnsi="Times New Roman" w:cs="Times New Roman"/>
        </w:rPr>
        <w:t>Hoelscher</w:t>
      </w:r>
      <w:proofErr w:type="spellEnd"/>
      <w:r w:rsidRPr="0093425D">
        <w:rPr>
          <w:rFonts w:ascii="Times New Roman" w:hAnsi="Times New Roman" w:cs="Times New Roman"/>
        </w:rPr>
        <w:t xml:space="preserve">,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w:t>
      </w:r>
      <w:proofErr w:type="spellStart"/>
      <w:r w:rsidRPr="0093425D">
        <w:rPr>
          <w:rFonts w:ascii="Times New Roman" w:hAnsi="Times New Roman" w:cs="Times New Roman"/>
        </w:rPr>
        <w:t>pubmed</w:t>
      </w:r>
      <w:proofErr w:type="spellEnd"/>
      <w:r w:rsidRPr="0093425D">
        <w:rPr>
          <w:rFonts w:ascii="Times New Roman" w:hAnsi="Times New Roman" w:cs="Times New Roman"/>
        </w:rPr>
        <w:t>/fdab403.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w:t>
      </w:r>
      <w:proofErr w:type="spellStart"/>
      <w:r w:rsidRPr="0093425D">
        <w:rPr>
          <w:rFonts w:ascii="Times New Roman" w:hAnsi="Times New Roman" w:cs="Times New Roman"/>
        </w:rPr>
        <w:t>Keast</w:t>
      </w:r>
      <w:proofErr w:type="spellEnd"/>
      <w:r w:rsidRPr="0093425D">
        <w:rPr>
          <w:rFonts w:ascii="Times New Roman" w:hAnsi="Times New Roman" w:cs="Times New Roman"/>
        </w:rPr>
        <w:t xml:space="preserve">, D.R.; </w:t>
      </w:r>
      <w:proofErr w:type="spellStart"/>
      <w:r w:rsidRPr="0093425D">
        <w:rPr>
          <w:rFonts w:ascii="Times New Roman" w:hAnsi="Times New Roman" w:cs="Times New Roman"/>
        </w:rPr>
        <w:t>Holick</w:t>
      </w:r>
      <w:proofErr w:type="spellEnd"/>
      <w:r w:rsidRPr="0093425D">
        <w:rPr>
          <w:rFonts w:ascii="Times New Roman" w:hAnsi="Times New Roman" w:cs="Times New Roman"/>
        </w:rPr>
        <w:t xml:space="preserve">,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w:t>
      </w:r>
      <w:proofErr w:type="spellStart"/>
      <w:r w:rsidRPr="0093425D">
        <w:rPr>
          <w:rFonts w:ascii="Times New Roman" w:hAnsi="Times New Roman" w:cs="Times New Roman"/>
        </w:rPr>
        <w:t>Frongillo</w:t>
      </w:r>
      <w:proofErr w:type="spellEnd"/>
      <w:r w:rsidRPr="0093425D">
        <w:rPr>
          <w:rFonts w:ascii="Times New Roman" w:hAnsi="Times New Roman" w:cs="Times New Roman"/>
        </w:rPr>
        <w:t xml:space="preserve">, E.A. Nutritional and Health Consequences Are Associated with Food Insecurity among U.S. Elderly Persons.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proofErr w:type="spellStart"/>
      <w:r w:rsidRPr="0093425D">
        <w:rPr>
          <w:rFonts w:ascii="Times New Roman" w:hAnsi="Times New Roman" w:cs="Times New Roman"/>
          <w:i/>
          <w:iCs/>
        </w:rPr>
        <w:t>Pediatr</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Obes</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25. </w:t>
      </w:r>
      <w:r w:rsidRPr="0093425D">
        <w:rPr>
          <w:rFonts w:ascii="Times New Roman" w:hAnsi="Times New Roman" w:cs="Times New Roman"/>
        </w:rPr>
        <w:tab/>
        <w:t xml:space="preserve">Cain, K.C.; Harlow, S.D.; Little, R.J.; Nan, B.; Yosef, M.; </w:t>
      </w:r>
      <w:proofErr w:type="spellStart"/>
      <w:r w:rsidRPr="0093425D">
        <w:rPr>
          <w:rFonts w:ascii="Times New Roman" w:hAnsi="Times New Roman" w:cs="Times New Roman"/>
        </w:rPr>
        <w:t>Taffe</w:t>
      </w:r>
      <w:proofErr w:type="spellEnd"/>
      <w:r w:rsidRPr="0093425D">
        <w:rPr>
          <w:rFonts w:ascii="Times New Roman" w:hAnsi="Times New Roman" w:cs="Times New Roman"/>
        </w:rPr>
        <w:t xml:space="preserv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w:t>
      </w:r>
      <w:proofErr w:type="spellStart"/>
      <w:r w:rsidRPr="0093425D">
        <w:rPr>
          <w:rFonts w:ascii="Times New Roman" w:hAnsi="Times New Roman" w:cs="Times New Roman"/>
        </w:rPr>
        <w:t>aje</w:t>
      </w:r>
      <w:proofErr w:type="spellEnd"/>
      <w:r w:rsidRPr="0093425D">
        <w:rPr>
          <w:rFonts w:ascii="Times New Roman" w:hAnsi="Times New Roman" w:cs="Times New Roman"/>
        </w:rPr>
        <w:t>/kwq481.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27. </w:t>
      </w:r>
      <w:r w:rsidRPr="0093425D">
        <w:rPr>
          <w:rFonts w:ascii="Times New Roman" w:hAnsi="Times New Roman" w:cs="Times New Roman"/>
        </w:rPr>
        <w:tab/>
        <w:t xml:space="preserve">Song, M.; Wu, K.; </w:t>
      </w:r>
      <w:proofErr w:type="spellStart"/>
      <w:r w:rsidRPr="0093425D">
        <w:rPr>
          <w:rFonts w:ascii="Times New Roman" w:hAnsi="Times New Roman" w:cs="Times New Roman"/>
        </w:rPr>
        <w:t>Meyerhardt</w:t>
      </w:r>
      <w:proofErr w:type="spellEnd"/>
      <w:r w:rsidRPr="0093425D">
        <w:rPr>
          <w:rFonts w:ascii="Times New Roman" w:hAnsi="Times New Roman" w:cs="Times New Roman"/>
        </w:rPr>
        <w:t xml:space="preserve">, J.A.; Yilmaz, O.; Wang, M.; Ogino, S.; Fuchs, C.S.; </w:t>
      </w:r>
      <w:proofErr w:type="spellStart"/>
      <w:r w:rsidRPr="0093425D">
        <w:rPr>
          <w:rFonts w:ascii="Times New Roman" w:hAnsi="Times New Roman" w:cs="Times New Roman"/>
        </w:rPr>
        <w:t>Giovannucci</w:t>
      </w:r>
      <w:proofErr w:type="spellEnd"/>
      <w:r w:rsidRPr="0093425D">
        <w:rPr>
          <w:rFonts w:ascii="Times New Roman" w:hAnsi="Times New Roman" w:cs="Times New Roman"/>
        </w:rPr>
        <w:t xml:space="preserve">, E.L.; Chan, A.T. Low-Carbohydrate Diet Score and Macronutrient Intake in Relation to Survival After Colorectal Cancer Diagnosis. </w:t>
      </w:r>
      <w:r w:rsidRPr="0093425D">
        <w:rPr>
          <w:rFonts w:ascii="Times New Roman" w:hAnsi="Times New Roman" w:cs="Times New Roman"/>
          <w:i/>
          <w:iCs/>
        </w:rPr>
        <w:t xml:space="preserve">JNCI Cancer </w:t>
      </w:r>
      <w:proofErr w:type="spellStart"/>
      <w:r w:rsidRPr="0093425D">
        <w:rPr>
          <w:rFonts w:ascii="Times New Roman" w:hAnsi="Times New Roman" w:cs="Times New Roman"/>
          <w:i/>
          <w:iCs/>
        </w:rPr>
        <w:t>Spectr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w:t>
      </w:r>
      <w:proofErr w:type="spellStart"/>
      <w:r w:rsidRPr="0093425D">
        <w:rPr>
          <w:rFonts w:ascii="Times New Roman" w:hAnsi="Times New Roman" w:cs="Times New Roman"/>
        </w:rPr>
        <w:t>jncics</w:t>
      </w:r>
      <w:proofErr w:type="spellEnd"/>
      <w:r w:rsidRPr="0093425D">
        <w:rPr>
          <w:rFonts w:ascii="Times New Roman" w:hAnsi="Times New Roman" w:cs="Times New Roman"/>
        </w:rPr>
        <w:t>/pky077.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w:t>
      </w:r>
      <w:proofErr w:type="spellStart"/>
      <w:r w:rsidRPr="0093425D">
        <w:rPr>
          <w:rFonts w:ascii="Times New Roman" w:hAnsi="Times New Roman" w:cs="Times New Roman"/>
        </w:rPr>
        <w:t>OverDrive</w:t>
      </w:r>
      <w:proofErr w:type="spellEnd"/>
      <w:r w:rsidRPr="0093425D">
        <w:rPr>
          <w:rFonts w:ascii="Times New Roman" w:hAnsi="Times New Roman" w:cs="Times New Roman"/>
        </w:rPr>
        <w:t xml:space="preser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w:t>
      </w:r>
      <w:proofErr w:type="spellStart"/>
      <w:r w:rsidRPr="0093425D">
        <w:rPr>
          <w:rFonts w:ascii="Times New Roman" w:hAnsi="Times New Roman" w:cs="Times New Roman"/>
        </w:rPr>
        <w:t>Charlson</w:t>
      </w:r>
      <w:proofErr w:type="spellEnd"/>
      <w:r w:rsidRPr="0093425D">
        <w:rPr>
          <w:rFonts w:ascii="Times New Roman" w:hAnsi="Times New Roman" w:cs="Times New Roman"/>
        </w:rPr>
        <w:t xml:space="preserve">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w:t>
      </w:r>
      <w:proofErr w:type="spellStart"/>
      <w:r w:rsidRPr="0093425D">
        <w:rPr>
          <w:rFonts w:ascii="Times New Roman" w:hAnsi="Times New Roman" w:cs="Times New Roman"/>
        </w:rPr>
        <w:t>Pietrobon</w:t>
      </w:r>
      <w:proofErr w:type="spellEnd"/>
      <w:r w:rsidRPr="0093425D">
        <w:rPr>
          <w:rFonts w:ascii="Times New Roman" w:hAnsi="Times New Roman" w:cs="Times New Roman"/>
        </w:rPr>
        <w:t xml:space="preserve">, R.; Braga, L.; Silva, H.M.; Turner, D. Validation of the NHANES ADL Scale in a Sample of Patients with Report of Cervical Pain: Factor Analysis, Item Response Theory Analysis, and Line Item Validity. </w:t>
      </w:r>
      <w:proofErr w:type="spellStart"/>
      <w:r w:rsidRPr="0093425D">
        <w:rPr>
          <w:rFonts w:ascii="Times New Roman" w:hAnsi="Times New Roman" w:cs="Times New Roman"/>
          <w:i/>
          <w:iCs/>
        </w:rPr>
        <w:t>Disabil</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Rehabil</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w:t>
      </w:r>
      <w:proofErr w:type="spellStart"/>
      <w:r w:rsidRPr="0093425D">
        <w:rPr>
          <w:rFonts w:ascii="Times New Roman" w:hAnsi="Times New Roman" w:cs="Times New Roman"/>
        </w:rPr>
        <w:t>Saudek</w:t>
      </w:r>
      <w:proofErr w:type="spellEnd"/>
      <w:r w:rsidRPr="0093425D">
        <w:rPr>
          <w:rFonts w:ascii="Times New Roman" w:hAnsi="Times New Roman" w:cs="Times New Roman"/>
        </w:rPr>
        <w:t xml:space="preserve">, C.D.; </w:t>
      </w:r>
      <w:proofErr w:type="spellStart"/>
      <w:r w:rsidRPr="0093425D">
        <w:rPr>
          <w:rFonts w:ascii="Times New Roman" w:hAnsi="Times New Roman" w:cs="Times New Roman"/>
        </w:rPr>
        <w:t>Brancati</w:t>
      </w:r>
      <w:proofErr w:type="spellEnd"/>
      <w:r w:rsidRPr="0093425D">
        <w:rPr>
          <w:rFonts w:ascii="Times New Roman" w:hAnsi="Times New Roman" w:cs="Times New Roman"/>
        </w:rPr>
        <w:t xml:space="preserve">,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w:t>
      </w:r>
      <w:proofErr w:type="spellStart"/>
      <w:r w:rsidRPr="0093425D">
        <w:rPr>
          <w:rFonts w:ascii="Times New Roman" w:hAnsi="Times New Roman" w:cs="Times New Roman"/>
        </w:rPr>
        <w:t>Kushi</w:t>
      </w:r>
      <w:proofErr w:type="spellEnd"/>
      <w:r w:rsidRPr="0093425D">
        <w:rPr>
          <w:rFonts w:ascii="Times New Roman" w:hAnsi="Times New Roman" w:cs="Times New Roman"/>
        </w:rPr>
        <w:t xml:space="preserve">, L.H. Adjustment for Total Energy Intake in Epidemiologic Studies. </w:t>
      </w:r>
      <w:r w:rsidRPr="0093425D">
        <w:rPr>
          <w:rFonts w:ascii="Times New Roman" w:hAnsi="Times New Roman" w:cs="Times New Roman"/>
          <w:i/>
          <w:iCs/>
        </w:rPr>
        <w:t xml:space="preserve">Am. J. Clin.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w:t>
      </w:r>
      <w:proofErr w:type="spellStart"/>
      <w:r w:rsidRPr="0093425D">
        <w:rPr>
          <w:rFonts w:ascii="Times New Roman" w:hAnsi="Times New Roman" w:cs="Times New Roman"/>
        </w:rPr>
        <w:t>ajcn</w:t>
      </w:r>
      <w:proofErr w:type="spellEnd"/>
      <w:r w:rsidRPr="0093425D">
        <w:rPr>
          <w:rFonts w:ascii="Times New Roman" w:hAnsi="Times New Roman" w:cs="Times New Roman"/>
        </w:rPr>
        <w:t>/65.4.1220S.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w:t>
      </w:r>
      <w:proofErr w:type="spellStart"/>
      <w:r w:rsidRPr="0093425D">
        <w:rPr>
          <w:rFonts w:ascii="Times New Roman" w:hAnsi="Times New Roman" w:cs="Times New Roman"/>
        </w:rPr>
        <w:t>Radak</w:t>
      </w:r>
      <w:proofErr w:type="spellEnd"/>
      <w:r w:rsidRPr="0093425D">
        <w:rPr>
          <w:rFonts w:ascii="Times New Roman" w:hAnsi="Times New Roman" w:cs="Times New Roman"/>
        </w:rPr>
        <w:t xml:space="preserve">, T.; </w:t>
      </w:r>
      <w:proofErr w:type="spellStart"/>
      <w:r w:rsidRPr="0093425D">
        <w:rPr>
          <w:rFonts w:ascii="Times New Roman" w:hAnsi="Times New Roman" w:cs="Times New Roman"/>
        </w:rPr>
        <w:t>Khubchandani</w:t>
      </w:r>
      <w:proofErr w:type="spellEnd"/>
      <w:r w:rsidRPr="0093425D">
        <w:rPr>
          <w:rFonts w:ascii="Times New Roman" w:hAnsi="Times New Roman" w:cs="Times New Roman"/>
        </w:rPr>
        <w:t xml:space="preserve">, J.; Dunn, P. Food Insecurity and Mortality in American Adults: Results From the NHANES-Linked Mortality Study. </w:t>
      </w:r>
      <w:r w:rsidRPr="0093425D">
        <w:rPr>
          <w:rFonts w:ascii="Times New Roman" w:hAnsi="Times New Roman" w:cs="Times New Roman"/>
          <w:i/>
          <w:iCs/>
        </w:rPr>
        <w:t xml:space="preserve">Health </w:t>
      </w:r>
      <w:proofErr w:type="spellStart"/>
      <w:r w:rsidRPr="0093425D">
        <w:rPr>
          <w:rFonts w:ascii="Times New Roman" w:hAnsi="Times New Roman" w:cs="Times New Roman"/>
          <w:i/>
          <w:iCs/>
        </w:rPr>
        <w:t>Promot</w:t>
      </w:r>
      <w:proofErr w:type="spellEnd"/>
      <w:r w:rsidRPr="0093425D">
        <w:rPr>
          <w:rFonts w:ascii="Times New Roman" w:hAnsi="Times New Roman" w:cs="Times New Roman"/>
          <w:i/>
          <w:iCs/>
        </w:rPr>
        <w:t xml:space="preserve">. </w:t>
      </w:r>
      <w:proofErr w:type="spellStart"/>
      <w:r w:rsidRPr="0093425D">
        <w:rPr>
          <w:rFonts w:ascii="Times New Roman" w:hAnsi="Times New Roman" w:cs="Times New Roman"/>
          <w:i/>
          <w:iCs/>
        </w:rPr>
        <w:t>Pract</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Lee, T.; Ramirez, J.; Massie, D.; Moran, A.; Crist, M.; McNish, T.; Winkel, G.; </w:t>
      </w:r>
      <w:proofErr w:type="spellStart"/>
      <w:r w:rsidRPr="0093425D">
        <w:rPr>
          <w:rFonts w:ascii="Times New Roman" w:hAnsi="Times New Roman" w:cs="Times New Roman"/>
        </w:rPr>
        <w:t>Leng</w:t>
      </w:r>
      <w:proofErr w:type="spellEnd"/>
      <w:r w:rsidRPr="0093425D">
        <w:rPr>
          <w:rFonts w:ascii="Times New Roman" w:hAnsi="Times New Roman" w:cs="Times New Roman"/>
        </w:rPr>
        <w:t xml:space="preserve">,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r>
      <w:proofErr w:type="spellStart"/>
      <w:r w:rsidRPr="0093425D">
        <w:rPr>
          <w:rFonts w:ascii="Times New Roman" w:hAnsi="Times New Roman" w:cs="Times New Roman"/>
        </w:rPr>
        <w:t>Robien</w:t>
      </w:r>
      <w:proofErr w:type="spellEnd"/>
      <w:r w:rsidRPr="0093425D">
        <w:rPr>
          <w:rFonts w:ascii="Times New Roman" w:hAnsi="Times New Roman" w:cs="Times New Roman"/>
        </w:rPr>
        <w:t xml:space="preserve">, K.; Clausen, M.; </w:t>
      </w:r>
      <w:proofErr w:type="spellStart"/>
      <w:r w:rsidRPr="0093425D">
        <w:rPr>
          <w:rFonts w:ascii="Times New Roman" w:hAnsi="Times New Roman" w:cs="Times New Roman"/>
        </w:rPr>
        <w:t>Sullo</w:t>
      </w:r>
      <w:proofErr w:type="spellEnd"/>
      <w:r w:rsidRPr="0093425D">
        <w:rPr>
          <w:rFonts w:ascii="Times New Roman" w:hAnsi="Times New Roman" w:cs="Times New Roman"/>
        </w:rPr>
        <w:t xml:space="preserve">, E.; Ford, Y.R.; Griffith, K.A.; Le, D.; Wickersham, K.E.; Wallington, S.F. Prevalence of Food Insecurity Among Cancer Survivors in the United </w:t>
      </w:r>
      <w:r w:rsidRPr="0093425D">
        <w:rPr>
          <w:rFonts w:ascii="Times New Roman" w:hAnsi="Times New Roman" w:cs="Times New Roman"/>
        </w:rPr>
        <w:lastRenderedPageBreak/>
        <w:t xml:space="preserve">States: A Scoping Review.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40. </w:t>
      </w:r>
      <w:r w:rsidRPr="0093425D">
        <w:rPr>
          <w:rFonts w:ascii="Times New Roman" w:hAnsi="Times New Roman" w:cs="Times New Roman"/>
        </w:rPr>
        <w:tab/>
        <w:t xml:space="preserve">Seligman, H.K.; Bindman, A.B.; </w:t>
      </w:r>
      <w:proofErr w:type="spellStart"/>
      <w:r w:rsidRPr="0093425D">
        <w:rPr>
          <w:rFonts w:ascii="Times New Roman" w:hAnsi="Times New Roman" w:cs="Times New Roman"/>
        </w:rPr>
        <w:t>Vittinghoff</w:t>
      </w:r>
      <w:proofErr w:type="spellEnd"/>
      <w:r w:rsidRPr="0093425D">
        <w:rPr>
          <w:rFonts w:ascii="Times New Roman" w:hAnsi="Times New Roman" w:cs="Times New Roman"/>
        </w:rPr>
        <w:t xml:space="preserve">, E.; </w:t>
      </w:r>
      <w:proofErr w:type="spellStart"/>
      <w:r w:rsidRPr="0093425D">
        <w:rPr>
          <w:rFonts w:ascii="Times New Roman" w:hAnsi="Times New Roman" w:cs="Times New Roman"/>
        </w:rPr>
        <w:t>Kanaya</w:t>
      </w:r>
      <w:proofErr w:type="spellEnd"/>
      <w:r w:rsidRPr="0093425D">
        <w:rPr>
          <w:rFonts w:ascii="Times New Roman" w:hAnsi="Times New Roman" w:cs="Times New Roman"/>
        </w:rPr>
        <w:t xml:space="preserve">, A.M.; </w:t>
      </w:r>
      <w:proofErr w:type="spellStart"/>
      <w:r w:rsidRPr="0093425D">
        <w:rPr>
          <w:rFonts w:ascii="Times New Roman" w:hAnsi="Times New Roman" w:cs="Times New Roman"/>
        </w:rPr>
        <w:t>Kushel</w:t>
      </w:r>
      <w:proofErr w:type="spellEnd"/>
      <w:r w:rsidRPr="0093425D">
        <w:rPr>
          <w:rFonts w:ascii="Times New Roman" w:hAnsi="Times New Roman" w:cs="Times New Roman"/>
        </w:rPr>
        <w:t xml:space="preserve">,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w:t>
      </w:r>
      <w:proofErr w:type="spellStart"/>
      <w:r w:rsidRPr="0093425D">
        <w:rPr>
          <w:rFonts w:ascii="Times New Roman" w:hAnsi="Times New Roman" w:cs="Times New Roman"/>
        </w:rPr>
        <w:t>Ziliak</w:t>
      </w:r>
      <w:proofErr w:type="spellEnd"/>
      <w:r w:rsidRPr="0093425D">
        <w:rPr>
          <w:rFonts w:ascii="Times New Roman" w:hAnsi="Times New Roman" w:cs="Times New Roman"/>
        </w:rPr>
        <w:t xml:space="preserve">,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43. </w:t>
      </w:r>
      <w:r w:rsidRPr="0093425D">
        <w:rPr>
          <w:rFonts w:ascii="Times New Roman" w:hAnsi="Times New Roman" w:cs="Times New Roman"/>
        </w:rPr>
        <w:tab/>
        <w:t xml:space="preserve">Sun, Y.; Liu, B.; Rong, S.; Du, Y.; Xu, G.; </w:t>
      </w:r>
      <w:proofErr w:type="spellStart"/>
      <w:r w:rsidRPr="0093425D">
        <w:rPr>
          <w:rFonts w:ascii="Times New Roman" w:hAnsi="Times New Roman" w:cs="Times New Roman"/>
        </w:rPr>
        <w:t>Snetselaar</w:t>
      </w:r>
      <w:proofErr w:type="spellEnd"/>
      <w:r w:rsidRPr="0093425D">
        <w:rPr>
          <w:rFonts w:ascii="Times New Roman" w:hAnsi="Times New Roman" w:cs="Times New Roman"/>
        </w:rPr>
        <w:t xml:space="preserve">,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r>
      <w:proofErr w:type="spellStart"/>
      <w:r w:rsidRPr="0093425D">
        <w:rPr>
          <w:rFonts w:ascii="Times New Roman" w:hAnsi="Times New Roman" w:cs="Times New Roman"/>
        </w:rPr>
        <w:t>Vozoris</w:t>
      </w:r>
      <w:proofErr w:type="spellEnd"/>
      <w:r w:rsidRPr="0093425D">
        <w:rPr>
          <w:rFonts w:ascii="Times New Roman" w:hAnsi="Times New Roman" w:cs="Times New Roman"/>
        </w:rPr>
        <w:t xml:space="preserve">, N.T.; </w:t>
      </w:r>
      <w:proofErr w:type="spellStart"/>
      <w:r w:rsidRPr="0093425D">
        <w:rPr>
          <w:rFonts w:ascii="Times New Roman" w:hAnsi="Times New Roman" w:cs="Times New Roman"/>
        </w:rPr>
        <w:t>Tarasuk</w:t>
      </w:r>
      <w:proofErr w:type="spellEnd"/>
      <w:r w:rsidRPr="0093425D">
        <w:rPr>
          <w:rFonts w:ascii="Times New Roman" w:hAnsi="Times New Roman" w:cs="Times New Roman"/>
        </w:rPr>
        <w:t xml:space="preserve">, V.S. Household Food Insufficiency Is Associated with Poorer Health. </w:t>
      </w:r>
      <w:r w:rsidRPr="0093425D">
        <w:rPr>
          <w:rFonts w:ascii="Times New Roman" w:hAnsi="Times New Roman" w:cs="Times New Roman"/>
          <w:i/>
          <w:iCs/>
        </w:rPr>
        <w:t xml:space="preserve">J.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w:t>
      </w:r>
      <w:proofErr w:type="spellStart"/>
      <w:r w:rsidRPr="0093425D">
        <w:rPr>
          <w:rFonts w:ascii="Times New Roman" w:hAnsi="Times New Roman" w:cs="Times New Roman"/>
        </w:rPr>
        <w:t>jn</w:t>
      </w:r>
      <w:proofErr w:type="spellEnd"/>
      <w:r w:rsidRPr="0093425D">
        <w:rPr>
          <w:rFonts w:ascii="Times New Roman" w:hAnsi="Times New Roman" w:cs="Times New Roman"/>
        </w:rPr>
        <w:t>/133.1.120.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w:t>
      </w:r>
      <w:proofErr w:type="spellStart"/>
      <w:r w:rsidRPr="0093425D">
        <w:rPr>
          <w:rFonts w:ascii="Times New Roman" w:hAnsi="Times New Roman" w:cs="Times New Roman"/>
        </w:rPr>
        <w:t>Andreyeva</w:t>
      </w:r>
      <w:proofErr w:type="spellEnd"/>
      <w:r w:rsidRPr="0093425D">
        <w:rPr>
          <w:rFonts w:ascii="Times New Roman" w:hAnsi="Times New Roman" w:cs="Times New Roman"/>
        </w:rPr>
        <w:t xml:space="preserve">,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w:t>
      </w:r>
      <w:proofErr w:type="spellStart"/>
      <w:r w:rsidRPr="0093425D">
        <w:rPr>
          <w:rFonts w:ascii="Times New Roman" w:hAnsi="Times New Roman" w:cs="Times New Roman"/>
        </w:rPr>
        <w:t>Neuhouser</w:t>
      </w:r>
      <w:proofErr w:type="spellEnd"/>
      <w:r w:rsidRPr="0093425D">
        <w:rPr>
          <w:rFonts w:ascii="Times New Roman" w:hAnsi="Times New Roman" w:cs="Times New Roman"/>
        </w:rPr>
        <w:t xml:space="preserve">, M.L.; Mayne, S.T.; Irwin, M.L.; </w:t>
      </w:r>
      <w:proofErr w:type="spellStart"/>
      <w:r w:rsidRPr="0093425D">
        <w:rPr>
          <w:rFonts w:ascii="Times New Roman" w:hAnsi="Times New Roman" w:cs="Times New Roman"/>
        </w:rPr>
        <w:t>Albanes</w:t>
      </w:r>
      <w:proofErr w:type="spellEnd"/>
      <w:r w:rsidRPr="0093425D">
        <w:rPr>
          <w:rFonts w:ascii="Times New Roman" w:hAnsi="Times New Roman" w:cs="Times New Roman"/>
        </w:rPr>
        <w:t xml:space="preserve">, D.; Gail, M.H.; Alfano, C.M.; Bernstein, L.; </w:t>
      </w:r>
      <w:proofErr w:type="spellStart"/>
      <w:r w:rsidRPr="0093425D">
        <w:rPr>
          <w:rFonts w:ascii="Times New Roman" w:hAnsi="Times New Roman" w:cs="Times New Roman"/>
        </w:rPr>
        <w:t>McTiernan</w:t>
      </w:r>
      <w:proofErr w:type="spellEnd"/>
      <w:r w:rsidRPr="0093425D">
        <w:rPr>
          <w:rFonts w:ascii="Times New Roman" w:hAnsi="Times New Roman" w:cs="Times New Roman"/>
        </w:rPr>
        <w:t xml:space="preserve">,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w:t>
      </w:r>
      <w:proofErr w:type="spellStart"/>
      <w:r w:rsidRPr="0093425D">
        <w:rPr>
          <w:rFonts w:ascii="Times New Roman" w:hAnsi="Times New Roman" w:cs="Times New Roman"/>
        </w:rPr>
        <w:t>Maskarinec</w:t>
      </w:r>
      <w:proofErr w:type="spellEnd"/>
      <w:r w:rsidRPr="0093425D">
        <w:rPr>
          <w:rFonts w:ascii="Times New Roman" w:hAnsi="Times New Roman" w:cs="Times New Roman"/>
        </w:rPr>
        <w:t xml:space="preserve">, G. Diet Quality and Biomarker Profiles Related to Chronic Disease Prevention: The Multiethnic Cohort Study. </w:t>
      </w:r>
      <w:r w:rsidRPr="0093425D">
        <w:rPr>
          <w:rFonts w:ascii="Times New Roman" w:hAnsi="Times New Roman" w:cs="Times New Roman"/>
          <w:i/>
          <w:iCs/>
        </w:rPr>
        <w:t xml:space="preserve">J. Am. Coll.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w:t>
      </w:r>
      <w:proofErr w:type="spellStart"/>
      <w:r w:rsidRPr="0093425D">
        <w:rPr>
          <w:rFonts w:ascii="Times New Roman" w:hAnsi="Times New Roman" w:cs="Times New Roman"/>
        </w:rPr>
        <w:t>Bellile</w:t>
      </w:r>
      <w:proofErr w:type="spellEnd"/>
      <w:r w:rsidRPr="0093425D">
        <w:rPr>
          <w:rFonts w:ascii="Times New Roman" w:hAnsi="Times New Roman" w:cs="Times New Roman"/>
        </w:rPr>
        <w:t xml:space="preserv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w:t>
      </w:r>
      <w:proofErr w:type="spellStart"/>
      <w:r w:rsidRPr="0093425D">
        <w:rPr>
          <w:rFonts w:ascii="Times New Roman" w:hAnsi="Times New Roman" w:cs="Times New Roman"/>
        </w:rPr>
        <w:t>Boffetta</w:t>
      </w:r>
      <w:proofErr w:type="spellEnd"/>
      <w:r w:rsidRPr="0093425D">
        <w:rPr>
          <w:rFonts w:ascii="Times New Roman" w:hAnsi="Times New Roman" w:cs="Times New Roman"/>
        </w:rPr>
        <w:t xml:space="preserve">,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w:t>
      </w:r>
      <w:proofErr w:type="spellStart"/>
      <w:r w:rsidRPr="0093425D">
        <w:rPr>
          <w:rFonts w:ascii="Times New Roman" w:hAnsi="Times New Roman" w:cs="Times New Roman"/>
        </w:rPr>
        <w:t>Shergill</w:t>
      </w:r>
      <w:proofErr w:type="spellEnd"/>
      <w:r w:rsidRPr="0093425D">
        <w:rPr>
          <w:rFonts w:ascii="Times New Roman" w:hAnsi="Times New Roman" w:cs="Times New Roman"/>
        </w:rPr>
        <w:t xml:space="preserve">, A.P.; Ma, C.; Guthrie, K.A.; Couture, F.; </w:t>
      </w:r>
      <w:proofErr w:type="spellStart"/>
      <w:r w:rsidRPr="0093425D">
        <w:rPr>
          <w:rFonts w:ascii="Times New Roman" w:hAnsi="Times New Roman" w:cs="Times New Roman"/>
        </w:rPr>
        <w:t>Kuebler</w:t>
      </w:r>
      <w:proofErr w:type="spellEnd"/>
      <w:r w:rsidRPr="0093425D">
        <w:rPr>
          <w:rFonts w:ascii="Times New Roman" w:hAnsi="Times New Roman" w:cs="Times New Roman"/>
        </w:rPr>
        <w:t xml:space="preserve">,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w:t>
      </w:r>
      <w:proofErr w:type="spellStart"/>
      <w:r w:rsidRPr="0093425D">
        <w:rPr>
          <w:rFonts w:ascii="Times New Roman" w:hAnsi="Times New Roman" w:cs="Times New Roman"/>
        </w:rPr>
        <w:t>Tonacci</w:t>
      </w:r>
      <w:proofErr w:type="spellEnd"/>
      <w:r w:rsidRPr="0093425D">
        <w:rPr>
          <w:rFonts w:ascii="Times New Roman" w:hAnsi="Times New Roman" w:cs="Times New Roman"/>
        </w:rPr>
        <w:t xml:space="preserve">, A.; </w:t>
      </w:r>
      <w:proofErr w:type="spellStart"/>
      <w:r w:rsidRPr="0093425D">
        <w:rPr>
          <w:rFonts w:ascii="Times New Roman" w:hAnsi="Times New Roman" w:cs="Times New Roman"/>
        </w:rPr>
        <w:t>Aretini</w:t>
      </w:r>
      <w:proofErr w:type="spellEnd"/>
      <w:r w:rsidRPr="0093425D">
        <w:rPr>
          <w:rFonts w:ascii="Times New Roman" w:hAnsi="Times New Roman" w:cs="Times New Roman"/>
        </w:rPr>
        <w:t xml:space="preserve">, P.; Garibaldi, S.; </w:t>
      </w:r>
      <w:proofErr w:type="spellStart"/>
      <w:r w:rsidRPr="0093425D">
        <w:rPr>
          <w:rFonts w:ascii="Times New Roman" w:hAnsi="Times New Roman" w:cs="Times New Roman"/>
        </w:rPr>
        <w:t>Perutelli</w:t>
      </w:r>
      <w:proofErr w:type="spellEnd"/>
      <w:r w:rsidRPr="0093425D">
        <w:rPr>
          <w:rFonts w:ascii="Times New Roman" w:hAnsi="Times New Roman" w:cs="Times New Roman"/>
        </w:rPr>
        <w:t xml:space="preserve">, A.; </w:t>
      </w:r>
      <w:proofErr w:type="spellStart"/>
      <w:r w:rsidRPr="0093425D">
        <w:rPr>
          <w:rFonts w:ascii="Times New Roman" w:hAnsi="Times New Roman" w:cs="Times New Roman"/>
        </w:rPr>
        <w:t>Bottone</w:t>
      </w:r>
      <w:proofErr w:type="spellEnd"/>
      <w:r w:rsidRPr="0093425D">
        <w:rPr>
          <w:rFonts w:ascii="Times New Roman" w:hAnsi="Times New Roman" w:cs="Times New Roman"/>
        </w:rPr>
        <w:t xml:space="preserve">, P.; </w:t>
      </w:r>
      <w:proofErr w:type="spellStart"/>
      <w:r w:rsidRPr="0093425D">
        <w:rPr>
          <w:rFonts w:ascii="Times New Roman" w:hAnsi="Times New Roman" w:cs="Times New Roman"/>
        </w:rPr>
        <w:t>Muzii</w:t>
      </w:r>
      <w:proofErr w:type="spellEnd"/>
      <w:r w:rsidRPr="0093425D">
        <w:rPr>
          <w:rFonts w:ascii="Times New Roman" w:hAnsi="Times New Roman" w:cs="Times New Roman"/>
        </w:rPr>
        <w:t xml:space="preserve">, L.; </w:t>
      </w:r>
      <w:proofErr w:type="spellStart"/>
      <w:r w:rsidRPr="0093425D">
        <w:rPr>
          <w:rFonts w:ascii="Times New Roman" w:hAnsi="Times New Roman" w:cs="Times New Roman"/>
        </w:rPr>
        <w:t>Panici</w:t>
      </w:r>
      <w:proofErr w:type="spellEnd"/>
      <w:r w:rsidRPr="0093425D">
        <w:rPr>
          <w:rFonts w:ascii="Times New Roman" w:hAnsi="Times New Roman" w:cs="Times New Roman"/>
        </w:rPr>
        <w:t xml:space="preserve">,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r>
      <w:proofErr w:type="spellStart"/>
      <w:r w:rsidRPr="0093425D">
        <w:rPr>
          <w:rFonts w:ascii="Times New Roman" w:hAnsi="Times New Roman" w:cs="Times New Roman"/>
        </w:rPr>
        <w:t>Petekkaya</w:t>
      </w:r>
      <w:proofErr w:type="spellEnd"/>
      <w:r w:rsidRPr="0093425D">
        <w:rPr>
          <w:rFonts w:ascii="Times New Roman" w:hAnsi="Times New Roman" w:cs="Times New Roman"/>
        </w:rPr>
        <w:t xml:space="preserve">, I.; </w:t>
      </w:r>
      <w:proofErr w:type="spellStart"/>
      <w:r w:rsidRPr="0093425D">
        <w:rPr>
          <w:rFonts w:ascii="Times New Roman" w:hAnsi="Times New Roman" w:cs="Times New Roman"/>
        </w:rPr>
        <w:t>Unlu</w:t>
      </w:r>
      <w:proofErr w:type="spellEnd"/>
      <w:r w:rsidRPr="0093425D">
        <w:rPr>
          <w:rFonts w:ascii="Times New Roman" w:hAnsi="Times New Roman" w:cs="Times New Roman"/>
        </w:rPr>
        <w:t xml:space="preserve">, O.; Roach, E.C.; </w:t>
      </w:r>
      <w:proofErr w:type="spellStart"/>
      <w:r w:rsidRPr="0093425D">
        <w:rPr>
          <w:rFonts w:ascii="Times New Roman" w:hAnsi="Times New Roman" w:cs="Times New Roman"/>
        </w:rPr>
        <w:t>Gecmez</w:t>
      </w:r>
      <w:proofErr w:type="spellEnd"/>
      <w:r w:rsidRPr="0093425D">
        <w:rPr>
          <w:rFonts w:ascii="Times New Roman" w:hAnsi="Times New Roman" w:cs="Times New Roman"/>
        </w:rPr>
        <w:t xml:space="preserve">, G.; </w:t>
      </w:r>
      <w:proofErr w:type="spellStart"/>
      <w:r w:rsidRPr="0093425D">
        <w:rPr>
          <w:rFonts w:ascii="Times New Roman" w:hAnsi="Times New Roman" w:cs="Times New Roman"/>
        </w:rPr>
        <w:t>Okoh</w:t>
      </w:r>
      <w:proofErr w:type="spellEnd"/>
      <w:r w:rsidRPr="0093425D">
        <w:rPr>
          <w:rFonts w:ascii="Times New Roman" w:hAnsi="Times New Roman" w:cs="Times New Roman"/>
        </w:rPr>
        <w:t xml:space="preserve">, A.K.; </w:t>
      </w:r>
      <w:proofErr w:type="spellStart"/>
      <w:r w:rsidRPr="0093425D">
        <w:rPr>
          <w:rFonts w:ascii="Times New Roman" w:hAnsi="Times New Roman" w:cs="Times New Roman"/>
        </w:rPr>
        <w:t>Babacan</w:t>
      </w:r>
      <w:proofErr w:type="spellEnd"/>
      <w:r w:rsidRPr="0093425D">
        <w:rPr>
          <w:rFonts w:ascii="Times New Roman" w:hAnsi="Times New Roman" w:cs="Times New Roman"/>
        </w:rPr>
        <w:t xml:space="preserve">, T.; </w:t>
      </w:r>
      <w:proofErr w:type="spellStart"/>
      <w:r w:rsidRPr="0093425D">
        <w:rPr>
          <w:rFonts w:ascii="Times New Roman" w:hAnsi="Times New Roman" w:cs="Times New Roman"/>
        </w:rPr>
        <w:t>Sarici</w:t>
      </w:r>
      <w:proofErr w:type="spellEnd"/>
      <w:r w:rsidRPr="0093425D">
        <w:rPr>
          <w:rFonts w:ascii="Times New Roman" w:hAnsi="Times New Roman" w:cs="Times New Roman"/>
        </w:rPr>
        <w:t xml:space="preserve">, F.; </w:t>
      </w:r>
      <w:proofErr w:type="spellStart"/>
      <w:r w:rsidRPr="0093425D">
        <w:rPr>
          <w:rFonts w:ascii="Times New Roman" w:hAnsi="Times New Roman" w:cs="Times New Roman"/>
        </w:rPr>
        <w:t>Keskin</w:t>
      </w:r>
      <w:proofErr w:type="spellEnd"/>
      <w:r w:rsidRPr="0093425D">
        <w:rPr>
          <w:rFonts w:ascii="Times New Roman" w:hAnsi="Times New Roman" w:cs="Times New Roman"/>
        </w:rPr>
        <w:t xml:space="preserve">, O.; Arslan, C.; </w:t>
      </w:r>
      <w:proofErr w:type="spellStart"/>
      <w:r w:rsidRPr="0093425D">
        <w:rPr>
          <w:rFonts w:ascii="Times New Roman" w:hAnsi="Times New Roman" w:cs="Times New Roman"/>
        </w:rPr>
        <w:t>Petekkaya</w:t>
      </w:r>
      <w:proofErr w:type="spellEnd"/>
      <w:r w:rsidRPr="0093425D">
        <w:rPr>
          <w:rFonts w:ascii="Times New Roman" w:hAnsi="Times New Roman" w:cs="Times New Roman"/>
        </w:rPr>
        <w:t>,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w:t>
      </w:r>
      <w:proofErr w:type="spellStart"/>
      <w:r w:rsidRPr="0093425D">
        <w:rPr>
          <w:rFonts w:ascii="Times New Roman" w:hAnsi="Times New Roman" w:cs="Times New Roman"/>
        </w:rPr>
        <w:t>Kritz</w:t>
      </w:r>
      <w:proofErr w:type="spellEnd"/>
      <w:r w:rsidRPr="0093425D">
        <w:rPr>
          <w:rFonts w:ascii="Times New Roman" w:hAnsi="Times New Roman" w:cs="Times New Roman"/>
        </w:rPr>
        <w:t>-Silverstein, D.; Edwards, B.J.; Lane, D.; Rohan, T.E.; Ho, G.Y.F.; Manson, J.E.; et al. The Association of the C-</w:t>
      </w:r>
      <w:r w:rsidRPr="0093425D">
        <w:rPr>
          <w:rFonts w:ascii="Times New Roman" w:hAnsi="Times New Roman" w:cs="Times New Roman"/>
        </w:rPr>
        <w:lastRenderedPageBreak/>
        <w:t xml:space="preserve">Reactive Protein Inflammatory Biomarker with Breast Cancer Incidence and Mortality in the Women’s Health Initiative. </w:t>
      </w:r>
      <w:r w:rsidRPr="0093425D">
        <w:rPr>
          <w:rFonts w:ascii="Times New Roman" w:hAnsi="Times New Roman" w:cs="Times New Roman"/>
          <w:i/>
          <w:iCs/>
        </w:rPr>
        <w:t xml:space="preserve">Cancer Epidemiol. </w:t>
      </w:r>
      <w:proofErr w:type="spellStart"/>
      <w:r w:rsidRPr="0093425D">
        <w:rPr>
          <w:rFonts w:ascii="Times New Roman" w:hAnsi="Times New Roman" w:cs="Times New Roman"/>
          <w:i/>
          <w:iCs/>
        </w:rPr>
        <w:t>Biomark</w:t>
      </w:r>
      <w:proofErr w:type="spellEnd"/>
      <w:r w:rsidRPr="0093425D">
        <w:rPr>
          <w:rFonts w:ascii="Times New Roman" w:hAnsi="Times New Roman" w:cs="Times New Roman"/>
          <w:i/>
          <w:iCs/>
        </w:rPr>
        <w:t>. Prev. Publ. Am. Assoc. Cancer 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Pierce, B.L.; Ballard-</w:t>
      </w:r>
      <w:proofErr w:type="spellStart"/>
      <w:r w:rsidRPr="0093425D">
        <w:rPr>
          <w:rFonts w:ascii="Times New Roman" w:hAnsi="Times New Roman" w:cs="Times New Roman"/>
        </w:rPr>
        <w:t>Barbash</w:t>
      </w:r>
      <w:proofErr w:type="spellEnd"/>
      <w:r w:rsidRPr="0093425D">
        <w:rPr>
          <w:rFonts w:ascii="Times New Roman" w:hAnsi="Times New Roman" w:cs="Times New Roman"/>
        </w:rPr>
        <w:t xml:space="preserve">, R.; Bernstein, L.; Baumgartner, R.N.; </w:t>
      </w:r>
      <w:proofErr w:type="spellStart"/>
      <w:r w:rsidRPr="0093425D">
        <w:rPr>
          <w:rFonts w:ascii="Times New Roman" w:hAnsi="Times New Roman" w:cs="Times New Roman"/>
        </w:rPr>
        <w:t>Neuhouser</w:t>
      </w:r>
      <w:proofErr w:type="spellEnd"/>
      <w:r w:rsidRPr="0093425D">
        <w:rPr>
          <w:rFonts w:ascii="Times New Roman" w:hAnsi="Times New Roman" w:cs="Times New Roman"/>
        </w:rPr>
        <w:t xml:space="preserve">, M.L.; </w:t>
      </w:r>
      <w:proofErr w:type="spellStart"/>
      <w:r w:rsidRPr="0093425D">
        <w:rPr>
          <w:rFonts w:ascii="Times New Roman" w:hAnsi="Times New Roman" w:cs="Times New Roman"/>
        </w:rPr>
        <w:t>Wener</w:t>
      </w:r>
      <w:proofErr w:type="spellEnd"/>
      <w:r w:rsidRPr="0093425D">
        <w:rPr>
          <w:rFonts w:ascii="Times New Roman" w:hAnsi="Times New Roman" w:cs="Times New Roman"/>
        </w:rPr>
        <w:t xml:space="preserve">, M.H.; Baumgartner, K.B.; Gilliland, F.D.; Sorensen, B.E.; </w:t>
      </w:r>
      <w:proofErr w:type="spellStart"/>
      <w:r w:rsidRPr="0093425D">
        <w:rPr>
          <w:rFonts w:ascii="Times New Roman" w:hAnsi="Times New Roman" w:cs="Times New Roman"/>
        </w:rPr>
        <w:t>McTiernan</w:t>
      </w:r>
      <w:proofErr w:type="spellEnd"/>
      <w:r w:rsidRPr="0093425D">
        <w:rPr>
          <w:rFonts w:ascii="Times New Roman" w:hAnsi="Times New Roman" w:cs="Times New Roman"/>
        </w:rPr>
        <w:t xml:space="preserve">, A.; et al. 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56. </w:t>
      </w:r>
      <w:r w:rsidRPr="0093425D">
        <w:rPr>
          <w:rFonts w:ascii="Times New Roman" w:hAnsi="Times New Roman" w:cs="Times New Roman"/>
        </w:rPr>
        <w:tab/>
        <w:t>Burton-</w:t>
      </w:r>
      <w:proofErr w:type="spellStart"/>
      <w:r w:rsidRPr="0093425D">
        <w:rPr>
          <w:rFonts w:ascii="Times New Roman" w:hAnsi="Times New Roman" w:cs="Times New Roman"/>
        </w:rPr>
        <w:t>Obanla</w:t>
      </w:r>
      <w:proofErr w:type="spellEnd"/>
      <w:r w:rsidRPr="0093425D">
        <w:rPr>
          <w:rFonts w:ascii="Times New Roman" w:hAnsi="Times New Roman" w:cs="Times New Roman"/>
        </w:rPr>
        <w:t xml:space="preserve">, A.A.; Sloane, S.; Koester, B.; Gundersen, C.; </w:t>
      </w:r>
      <w:proofErr w:type="spellStart"/>
      <w:r w:rsidRPr="0093425D">
        <w:rPr>
          <w:rFonts w:ascii="Times New Roman" w:hAnsi="Times New Roman" w:cs="Times New Roman"/>
        </w:rPr>
        <w:t>Fiese</w:t>
      </w:r>
      <w:proofErr w:type="spellEnd"/>
      <w:r w:rsidRPr="0093425D">
        <w:rPr>
          <w:rFonts w:ascii="Times New Roman" w:hAnsi="Times New Roman" w:cs="Times New Roman"/>
        </w:rPr>
        <w:t xml:space="preserv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 xml:space="preserve">J. Acad. </w:t>
      </w:r>
      <w:proofErr w:type="spellStart"/>
      <w:r w:rsidRPr="0093425D">
        <w:rPr>
          <w:rFonts w:ascii="Times New Roman" w:hAnsi="Times New Roman" w:cs="Times New Roman"/>
          <w:i/>
          <w:iCs/>
        </w:rPr>
        <w:t>Nutr</w:t>
      </w:r>
      <w:proofErr w:type="spellEnd"/>
      <w:r w:rsidRPr="0093425D">
        <w:rPr>
          <w:rFonts w:ascii="Times New Roman" w:hAnsi="Times New Roman" w:cs="Times New Roman"/>
          <w:i/>
          <w:iCs/>
        </w:rPr>
        <w:t>.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proofErr w:type="spellStart"/>
      <w:r w:rsidRPr="0093425D">
        <w:rPr>
          <w:rFonts w:ascii="Times New Roman" w:hAnsi="Times New Roman" w:cs="Times New Roman"/>
          <w:i/>
          <w:iCs/>
        </w:rPr>
        <w:t>Annu</w:t>
      </w:r>
      <w:proofErr w:type="spellEnd"/>
      <w:r w:rsidRPr="0093425D">
        <w:rPr>
          <w:rFonts w:ascii="Times New Roman" w:hAnsi="Times New Roman" w:cs="Times New Roman"/>
          <w:i/>
          <w:iCs/>
        </w:rPr>
        <w:t>.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Lee, T.; Loeb, R.; Ramirez, J.; Moran, A.; Crist, M.; McNish, T.; </w:t>
      </w:r>
      <w:proofErr w:type="spellStart"/>
      <w:r w:rsidRPr="0093425D">
        <w:rPr>
          <w:rFonts w:ascii="Times New Roman" w:hAnsi="Times New Roman" w:cs="Times New Roman"/>
        </w:rPr>
        <w:t>Leng</w:t>
      </w:r>
      <w:proofErr w:type="spellEnd"/>
      <w:r w:rsidRPr="0093425D">
        <w:rPr>
          <w:rFonts w:ascii="Times New Roman" w:hAnsi="Times New Roman" w:cs="Times New Roman"/>
        </w:rPr>
        <w:t xml:space="preserve">,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r>
      <w:proofErr w:type="spellStart"/>
      <w:r w:rsidRPr="0093425D">
        <w:rPr>
          <w:rFonts w:ascii="Times New Roman" w:hAnsi="Times New Roman" w:cs="Times New Roman"/>
        </w:rPr>
        <w:t>Gany</w:t>
      </w:r>
      <w:proofErr w:type="spellEnd"/>
      <w:r w:rsidRPr="0093425D">
        <w:rPr>
          <w:rFonts w:ascii="Times New Roman" w:hAnsi="Times New Roman" w:cs="Times New Roman"/>
        </w:rPr>
        <w:t xml:space="preserve">, F.; </w:t>
      </w:r>
      <w:proofErr w:type="spellStart"/>
      <w:r w:rsidRPr="0093425D">
        <w:rPr>
          <w:rFonts w:ascii="Times New Roman" w:hAnsi="Times New Roman" w:cs="Times New Roman"/>
        </w:rPr>
        <w:t>Melnic</w:t>
      </w:r>
      <w:proofErr w:type="spellEnd"/>
      <w:r w:rsidRPr="0093425D">
        <w:rPr>
          <w:rFonts w:ascii="Times New Roman" w:hAnsi="Times New Roman" w:cs="Times New Roman"/>
        </w:rPr>
        <w:t xml:space="preserve">, I.; Wu, M.; Li, Y.; </w:t>
      </w:r>
      <w:proofErr w:type="spellStart"/>
      <w:r w:rsidRPr="0093425D">
        <w:rPr>
          <w:rFonts w:ascii="Times New Roman" w:hAnsi="Times New Roman" w:cs="Times New Roman"/>
        </w:rPr>
        <w:t>Finik</w:t>
      </w:r>
      <w:proofErr w:type="spellEnd"/>
      <w:r w:rsidRPr="0093425D">
        <w:rPr>
          <w:rFonts w:ascii="Times New Roman" w:hAnsi="Times New Roman" w:cs="Times New Roman"/>
        </w:rPr>
        <w:t xml:space="preserve">, J.; Ramirez, J.; Blinder, V.; </w:t>
      </w:r>
      <w:proofErr w:type="spellStart"/>
      <w:r w:rsidRPr="0093425D">
        <w:rPr>
          <w:rFonts w:ascii="Times New Roman" w:hAnsi="Times New Roman" w:cs="Times New Roman"/>
        </w:rPr>
        <w:t>Kemeny</w:t>
      </w:r>
      <w:proofErr w:type="spellEnd"/>
      <w:r w:rsidRPr="0093425D">
        <w:rPr>
          <w:rFonts w:ascii="Times New Roman" w:hAnsi="Times New Roman" w:cs="Times New Roman"/>
        </w:rPr>
        <w:t xml:space="preserve">,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r>
      <w:proofErr w:type="spellStart"/>
      <w:r w:rsidRPr="0093425D">
        <w:rPr>
          <w:rFonts w:ascii="Times New Roman" w:hAnsi="Times New Roman" w:cs="Times New Roman"/>
        </w:rPr>
        <w:t>Moellman</w:t>
      </w:r>
      <w:proofErr w:type="spellEnd"/>
      <w:r w:rsidRPr="0093425D">
        <w:rPr>
          <w:rFonts w:ascii="Times New Roman" w:hAnsi="Times New Roman" w:cs="Times New Roman"/>
        </w:rPr>
        <w:t xml:space="preserve">, N. Healthcare and Hunger: Effects of the ACA Medicaid Expansions on Food Insecurity in America. </w:t>
      </w:r>
      <w:r w:rsidRPr="0093425D">
        <w:rPr>
          <w:rFonts w:ascii="Times New Roman" w:hAnsi="Times New Roman" w:cs="Times New Roman"/>
          <w:i/>
          <w:iCs/>
        </w:rPr>
        <w:t xml:space="preserve">Appl. Econ. </w:t>
      </w:r>
      <w:proofErr w:type="spellStart"/>
      <w:r w:rsidRPr="0093425D">
        <w:rPr>
          <w:rFonts w:ascii="Times New Roman" w:hAnsi="Times New Roman" w:cs="Times New Roman"/>
          <w:i/>
          <w:iCs/>
        </w:rPr>
        <w:t>Perspect</w:t>
      </w:r>
      <w:proofErr w:type="spellEnd"/>
      <w:r w:rsidRPr="0093425D">
        <w:rPr>
          <w:rFonts w:ascii="Times New Roman" w:hAnsi="Times New Roman" w:cs="Times New Roman"/>
          <w:i/>
          <w:iCs/>
        </w:rPr>
        <w: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w:t>
      </w:r>
      <w:proofErr w:type="spellStart"/>
      <w:r w:rsidRPr="0093425D">
        <w:rPr>
          <w:rFonts w:ascii="Times New Roman" w:hAnsi="Times New Roman" w:cs="Times New Roman"/>
        </w:rPr>
        <w:t>aepp</w:t>
      </w:r>
      <w:proofErr w:type="spellEnd"/>
      <w:r w:rsidRPr="0093425D">
        <w:rPr>
          <w:rFonts w:ascii="Times New Roman" w:hAnsi="Times New Roman" w:cs="Times New Roman"/>
        </w:rPr>
        <w:t>/ppz018.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5296"/>
    <w:rsid w:val="000E7585"/>
    <w:rsid w:val="000F3BBC"/>
    <w:rsid w:val="000F67E6"/>
    <w:rsid w:val="000F7778"/>
    <w:rsid w:val="001015AF"/>
    <w:rsid w:val="001025E6"/>
    <w:rsid w:val="001067FC"/>
    <w:rsid w:val="001127FB"/>
    <w:rsid w:val="0011314D"/>
    <w:rsid w:val="00120671"/>
    <w:rsid w:val="0012663B"/>
    <w:rsid w:val="00131D44"/>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3283"/>
    <w:rsid w:val="002548C8"/>
    <w:rsid w:val="00257D7F"/>
    <w:rsid w:val="00264E91"/>
    <w:rsid w:val="0026524B"/>
    <w:rsid w:val="0027484B"/>
    <w:rsid w:val="0028265E"/>
    <w:rsid w:val="00284F95"/>
    <w:rsid w:val="00291D99"/>
    <w:rsid w:val="00293FB1"/>
    <w:rsid w:val="002A1991"/>
    <w:rsid w:val="002A3CAF"/>
    <w:rsid w:val="002C675E"/>
    <w:rsid w:val="002D415D"/>
    <w:rsid w:val="002E02CB"/>
    <w:rsid w:val="002E0FA2"/>
    <w:rsid w:val="002E7DAC"/>
    <w:rsid w:val="002F2BA6"/>
    <w:rsid w:val="002F3D6E"/>
    <w:rsid w:val="00303CF3"/>
    <w:rsid w:val="0031204C"/>
    <w:rsid w:val="00315848"/>
    <w:rsid w:val="00332B47"/>
    <w:rsid w:val="00332B65"/>
    <w:rsid w:val="00334684"/>
    <w:rsid w:val="00335B53"/>
    <w:rsid w:val="00341FFB"/>
    <w:rsid w:val="003473C4"/>
    <w:rsid w:val="0034790B"/>
    <w:rsid w:val="00347B97"/>
    <w:rsid w:val="0036171D"/>
    <w:rsid w:val="0036297A"/>
    <w:rsid w:val="003701E1"/>
    <w:rsid w:val="00377C36"/>
    <w:rsid w:val="00386696"/>
    <w:rsid w:val="00387D8D"/>
    <w:rsid w:val="00391B83"/>
    <w:rsid w:val="003959F7"/>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85F4A"/>
    <w:rsid w:val="0048700E"/>
    <w:rsid w:val="004A7671"/>
    <w:rsid w:val="004B382C"/>
    <w:rsid w:val="004B4316"/>
    <w:rsid w:val="004C776A"/>
    <w:rsid w:val="004C7F30"/>
    <w:rsid w:val="004D0389"/>
    <w:rsid w:val="004F7DF7"/>
    <w:rsid w:val="00520585"/>
    <w:rsid w:val="00522F52"/>
    <w:rsid w:val="005275C0"/>
    <w:rsid w:val="00544BCA"/>
    <w:rsid w:val="00551EFA"/>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35431"/>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E53DB"/>
    <w:rsid w:val="00901FF4"/>
    <w:rsid w:val="0093425D"/>
    <w:rsid w:val="00935DEF"/>
    <w:rsid w:val="00936BFB"/>
    <w:rsid w:val="009377F4"/>
    <w:rsid w:val="00942279"/>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E154B"/>
    <w:rsid w:val="009F43E5"/>
    <w:rsid w:val="009F786A"/>
    <w:rsid w:val="00A121BB"/>
    <w:rsid w:val="00A131D8"/>
    <w:rsid w:val="00A138FD"/>
    <w:rsid w:val="00A14902"/>
    <w:rsid w:val="00A24ABE"/>
    <w:rsid w:val="00A24D1E"/>
    <w:rsid w:val="00A27AAA"/>
    <w:rsid w:val="00A358D5"/>
    <w:rsid w:val="00A43238"/>
    <w:rsid w:val="00A54B59"/>
    <w:rsid w:val="00AA50B7"/>
    <w:rsid w:val="00AB0A92"/>
    <w:rsid w:val="00AB3643"/>
    <w:rsid w:val="00AC0547"/>
    <w:rsid w:val="00AC615E"/>
    <w:rsid w:val="00AD45B2"/>
    <w:rsid w:val="00AF604F"/>
    <w:rsid w:val="00B05DD4"/>
    <w:rsid w:val="00B06D8D"/>
    <w:rsid w:val="00B07668"/>
    <w:rsid w:val="00B17524"/>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7A75"/>
    <w:rsid w:val="00C56BFA"/>
    <w:rsid w:val="00C575C2"/>
    <w:rsid w:val="00C64346"/>
    <w:rsid w:val="00C6784D"/>
    <w:rsid w:val="00C7631E"/>
    <w:rsid w:val="00C770E5"/>
    <w:rsid w:val="00C8070C"/>
    <w:rsid w:val="00C8218A"/>
    <w:rsid w:val="00CA4EE1"/>
    <w:rsid w:val="00CC62DA"/>
    <w:rsid w:val="00CD1B64"/>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52E6"/>
    <w:rsid w:val="00E06C48"/>
    <w:rsid w:val="00E12428"/>
    <w:rsid w:val="00E12DE6"/>
    <w:rsid w:val="00E171A4"/>
    <w:rsid w:val="00E21C9A"/>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701">
      <w:bodyDiv w:val="1"/>
      <w:marLeft w:val="0"/>
      <w:marRight w:val="0"/>
      <w:marTop w:val="0"/>
      <w:marBottom w:val="0"/>
      <w:divBdr>
        <w:top w:val="none" w:sz="0" w:space="0" w:color="auto"/>
        <w:left w:val="none" w:sz="0" w:space="0" w:color="auto"/>
        <w:bottom w:val="none" w:sz="0" w:space="0" w:color="auto"/>
        <w:right w:val="none" w:sz="0" w:space="0" w:color="auto"/>
      </w:divBdr>
    </w:div>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282146994">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lthpolicyresearch-scholars.org" TargetMode="Externa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60-27F3-C643-B234-0394BAD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23</Pages>
  <Words>27499</Words>
  <Characters>156749</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120</cp:revision>
  <dcterms:created xsi:type="dcterms:W3CDTF">2023-04-27T20:52:00Z</dcterms:created>
  <dcterms:modified xsi:type="dcterms:W3CDTF">2023-05-09T16:20:00Z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