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i w:val="0"/>
          <w:color w:val="22B14C"/>
          <w:sz w:val="44"/>
        </w:rPr>
        <w:t>Plant Doctor Product Guide</w:t>
      </w:r>
    </w:p>
    <w:p>
      <w:pPr>
        <w:spacing w:after="80"/>
      </w:pPr>
      <w:r>
        <w:rPr>
          <w:rFonts w:ascii="Calibri" w:hAnsi="Calibri"/>
          <w:b/>
          <w:i w:val="0"/>
          <w:color w:val="111827"/>
          <w:sz w:val="32"/>
        </w:rPr>
        <w:t>How recommendations are decided</w:t>
      </w:r>
    </w:p>
    <w:p>
      <w:pPr>
        <w:spacing w:after="80" w:before="0" w:line="276" w:lineRule="auto"/>
      </w:pPr>
      <w:r>
        <w:rPr>
          <w:rFonts w:ascii="Calibri" w:hAnsi="Calibri"/>
          <w:b w:val="0"/>
          <w:i w:val="0"/>
          <w:color w:val="6B7280"/>
          <w:sz w:val="22"/>
        </w:rPr>
        <w:t>Team testing notes — what the engine is trying to do, not every code path.</w:t>
      </w:r>
    </w:p>
    <w:p>
      <w:pPr>
        <w:spacing w:after="200" w:before="0" w:line="276" w:lineRule="auto"/>
      </w:pPr>
      <w:r>
        <w:rPr>
          <w:rFonts w:ascii="Calibri" w:hAnsi="Calibri"/>
          <w:b w:val="0"/>
          <w:i w:val="0"/>
          <w:color w:val="111827"/>
          <w:sz w:val="22"/>
        </w:rPr>
        <w:t>The live plan is meant to stay short. Open “Why we chose these” at the bottom of a result for a plain-language recap of that run.</w:t>
      </w:r>
    </w:p>
    <w:p>
      <w:pPr>
        <w:spacing w:before="320" w:after="160"/>
      </w:pPr>
      <w:r>
        <w:rPr>
          <w:rFonts w:ascii="Calibri" w:hAnsi="Calibri"/>
          <w:b/>
          <w:i w:val="0"/>
          <w:color w:val="22B14C"/>
          <w:sz w:val="32"/>
        </w:rPr>
        <w:t>1. Two modes</w:t>
      </w:r>
    </w:p>
    <w:tbl>
      <w:tblPr>
        <w:tblStyle w:val="TableGrid"/>
        <w:tblW w:type="auto" w:w="0"/>
        <w:jc w:val="center"/>
        <w:tblLook w:firstColumn="1" w:firstRow="1" w:lastColumn="0" w:lastRow="0" w:noHBand="0" w:noVBand="1" w:val="04A0"/>
      </w:tblPr>
      <w:tblGrid>
        <w:gridCol w:w="4986"/>
        <w:gridCol w:w="4986"/>
      </w:tblGrid>
      <w:tr>
        <w:tc>
          <w:tcPr>
            <w:tcW w:type="dxa" w:w="2551"/>
            <w:shd w:fill="22B14C" w:val="clear"/>
          </w:tcPr>
          <w:p>
            <w:r/>
            <w:r>
              <w:rPr>
                <w:rFonts w:ascii="Calibri" w:hAnsi="Calibri"/>
                <w:b/>
                <w:i w:val="0"/>
                <w:color w:val="FFFFFF"/>
                <w:sz w:val="20"/>
              </w:rPr>
              <w:t>Mode in the form</w:t>
            </w:r>
          </w:p>
        </w:tc>
        <w:tc>
          <w:tcPr>
            <w:tcW w:type="dxa" w:w="6803"/>
            <w:shd w:fill="22B14C" w:val="clear"/>
          </w:tcPr>
          <w:p>
            <w:r/>
            <w:r>
              <w:rPr>
                <w:rFonts w:ascii="Calibri" w:hAnsi="Calibri"/>
                <w:b/>
                <w:i w:val="0"/>
                <w:color w:val="FFFFFF"/>
                <w:sz w:val="20"/>
              </w:rPr>
              <w:t>What it optimises for</w:t>
            </w:r>
          </w:p>
        </w:tc>
      </w:tr>
      <w:tr>
        <w:tc>
          <w:tcPr>
            <w:tcW w:type="dxa" w:w="2551"/>
          </w:tcPr>
          <w:p>
            <w:r/>
            <w:r>
              <w:rPr>
                <w:rFonts w:ascii="Calibri" w:hAnsi="Calibri"/>
                <w:b w:val="0"/>
                <w:i w:val="0"/>
                <w:color w:val="111827"/>
                <w:sz w:val="20"/>
              </w:rPr>
              <w:t>Fix a problem</w:t>
            </w:r>
          </w:p>
        </w:tc>
        <w:tc>
          <w:tcPr>
            <w:tcW w:type="dxa" w:w="6803"/>
          </w:tcPr>
          <w:p>
            <w:r/>
            <w:r>
              <w:rPr>
                <w:rFonts w:ascii="Calibri" w:hAnsi="Calibri"/>
                <w:b w:val="0"/>
                <w:i w:val="0"/>
                <w:color w:val="111827"/>
                <w:sz w:val="20"/>
              </w:rPr>
              <w:t>Symptoms + soil + where it is used. Intent is always “fix what’s wrong”.</w:t>
            </w:r>
          </w:p>
        </w:tc>
      </w:tr>
      <w:tr>
        <w:tc>
          <w:tcPr>
            <w:tcW w:type="dxa" w:w="2551"/>
            <w:shd w:fill="F3FBF5" w:val="clear"/>
          </w:tcPr>
          <w:p>
            <w:r/>
            <w:r>
              <w:rPr>
                <w:rFonts w:ascii="Calibri" w:hAnsi="Calibri"/>
                <w:b w:val="0"/>
                <w:i w:val="0"/>
                <w:color w:val="111827"/>
                <w:sz w:val="20"/>
              </w:rPr>
              <w:t>Improve results</w:t>
            </w:r>
          </w:p>
        </w:tc>
        <w:tc>
          <w:tcPr>
            <w:tcW w:type="dxa" w:w="6803"/>
            <w:shd w:fill="F3FBF5" w:val="clear"/>
          </w:tcPr>
          <w:p>
            <w:r/>
            <w:r>
              <w:rPr>
                <w:rFonts w:ascii="Calibri" w:hAnsi="Calibri"/>
                <w:b w:val="0"/>
                <w:i w:val="0"/>
                <w:color w:val="111827"/>
                <w:sz w:val="20"/>
              </w:rPr>
              <w:t>Lawn, garden, or farm goals. Symptoms are ignored. “Where are you using it?” picks which goal set you see.</w:t>
            </w:r>
          </w:p>
        </w:tc>
      </w:tr>
    </w:tbl>
    <w:p>
      <w:pPr>
        <w:spacing w:after="120"/>
      </w:pPr>
    </w:p>
    <w:p>
      <w:pPr>
        <w:spacing w:after="160" w:before="0" w:line="276" w:lineRule="auto"/>
      </w:pPr>
      <w:r>
        <w:rPr>
          <w:rFonts w:ascii="Calibri" w:hAnsi="Calibri"/>
          <w:b w:val="0"/>
          <w:i w:val="0"/>
          <w:color w:val="111827"/>
          <w:sz w:val="22"/>
        </w:rPr>
        <w:t>“Where are you using it?” is the main switch between lawn and garden. Lawn stays the primary business path. Garden beds / pots / indoor unlock garden products instead of turf specialists.</w:t>
      </w:r>
    </w:p>
    <w:p>
      <w:pPr>
        <w:spacing w:before="320" w:after="160"/>
      </w:pPr>
      <w:r>
        <w:rPr>
          <w:rFonts w:ascii="Calibri" w:hAnsi="Calibri"/>
          <w:b/>
          <w:i w:val="0"/>
          <w:color w:val="22B14C"/>
          <w:sz w:val="32"/>
        </w:rPr>
        <w:t>2. How a result is built</w:t>
      </w:r>
    </w:p>
    <w:p>
      <w:pPr>
        <w:pStyle w:val="ListNumber"/>
        <w:spacing w:after="60"/>
        <w:ind w:left="425"/>
      </w:pPr>
      <w:r>
        <w:rPr>
          <w:rFonts w:ascii="Calibri" w:hAnsi="Calibri"/>
          <w:b w:val="0"/>
          <w:i w:val="0"/>
          <w:color w:val="111827"/>
          <w:sz w:val="22"/>
        </w:rPr>
        <w:t>Read the form (symptoms or goals, soil, season, optional soil test).</w:t>
      </w:r>
    </w:p>
    <w:p>
      <w:pPr>
        <w:pStyle w:val="ListNumber"/>
        <w:spacing w:after="60"/>
        <w:ind w:left="425"/>
      </w:pPr>
      <w:r>
        <w:rPr>
          <w:rFonts w:ascii="Calibri" w:hAnsi="Calibri"/>
          <w:b w:val="0"/>
          <w:i w:val="0"/>
          <w:color w:val="111827"/>
          <w:sz w:val="22"/>
        </w:rPr>
        <w:t>Score every product from the CSV catalog.</w:t>
      </w:r>
    </w:p>
    <w:p>
      <w:pPr>
        <w:pStyle w:val="ListNumber"/>
        <w:spacing w:after="60"/>
        <w:ind w:left="425"/>
      </w:pPr>
      <w:r>
        <w:rPr>
          <w:rFonts w:ascii="Calibri" w:hAnsi="Calibri"/>
          <w:b w:val="0"/>
          <w:i w:val="0"/>
          <w:color w:val="111827"/>
          <w:sz w:val="22"/>
        </w:rPr>
        <w:t>Drop products that don’t fit (hard constraints — see section 6).</w:t>
      </w:r>
    </w:p>
    <w:p>
      <w:pPr>
        <w:pStyle w:val="ListNumber"/>
        <w:spacing w:after="60"/>
        <w:ind w:left="425"/>
      </w:pPr>
      <w:r>
        <w:rPr>
          <w:rFonts w:ascii="Calibri" w:hAnsi="Calibri"/>
          <w:b w:val="0"/>
          <w:i w:val="0"/>
          <w:color w:val="111827"/>
          <w:sz w:val="22"/>
        </w:rPr>
        <w:t>Pick a primary (highest valid score).</w:t>
      </w:r>
    </w:p>
    <w:p>
      <w:pPr>
        <w:pStyle w:val="ListNumber"/>
        <w:spacing w:after="60"/>
        <w:ind w:left="425"/>
      </w:pPr>
      <w:r>
        <w:rPr>
          <w:rFonts w:ascii="Calibri" w:hAnsi="Calibri"/>
          <w:b w:val="0"/>
          <w:i w:val="0"/>
          <w:color w:val="111827"/>
          <w:sz w:val="22"/>
        </w:rPr>
        <w:t>Add supporting layers only when that role is warranted (section 5).</w:t>
      </w:r>
    </w:p>
    <w:p>
      <w:pPr>
        <w:pStyle w:val="ListNumber"/>
        <w:spacing w:after="60"/>
        <w:ind w:left="425"/>
      </w:pPr>
      <w:r>
        <w:rPr>
          <w:rFonts w:ascii="Calibri" w:hAnsi="Calibri"/>
          <w:b w:val="0"/>
          <w:i w:val="0"/>
          <w:color w:val="111827"/>
          <w:sz w:val="22"/>
        </w:rPr>
        <w:t>Show matching kits under “Or use a kit” — kits never replace the step-by-step plan.</w:t>
      </w:r>
    </w:p>
    <w:p>
      <w:pPr>
        <w:pStyle w:val="ListNumber"/>
        <w:spacing w:after="60"/>
        <w:ind w:left="425"/>
      </w:pPr>
      <w:r>
        <w:rPr>
          <w:rFonts w:ascii="Calibri" w:hAnsi="Calibri"/>
          <w:b w:val="0"/>
          <w:i w:val="0"/>
          <w:color w:val="111827"/>
          <w:sz w:val="22"/>
        </w:rPr>
        <w:t>On lawns, sometimes show Champion Fairway vs Greens Grade as a choice, not a score split.</w:t>
      </w:r>
    </w:p>
    <w:p>
      <w:pPr>
        <w:spacing w:after="160" w:before="120" w:line="276" w:lineRule="auto"/>
      </w:pPr>
      <w:r>
        <w:rPr>
          <w:rFonts w:ascii="Calibri" w:hAnsi="Calibri"/>
          <w:b w:val="0"/>
          <w:i w:val="0"/>
          <w:color w:val="111827"/>
          <w:sz w:val="22"/>
        </w:rPr>
        <w:t>Typical stack order (after the hero product): Soil structure → soil pH → biology (seaweed) → uptake (humic / Stimulizer) → feed → colour (iron).</w:t>
      </w:r>
    </w:p>
    <w:p>
      <w:pPr>
        <w:spacing w:after="160" w:before="0" w:line="276" w:lineRule="auto"/>
      </w:pPr>
      <w:r>
        <w:rPr>
          <w:rFonts w:ascii="Calibri" w:hAnsi="Calibri"/>
          <w:b w:val="0"/>
          <w:i w:val="0"/>
          <w:color w:val="111827"/>
          <w:sz w:val="22"/>
        </w:rPr>
        <w:t>Default cap is 4 products (5 if nutrient lockout and a structure issue are both on). Biology (seaweed) and uptake are almost always allowed as support layers. Gypsum, lime, wetter, zeolite, fertiliser, and iron only appear when the situation calls for them.</w:t>
      </w:r>
    </w:p>
    <w:p>
      <w:pPr>
        <w:spacing w:before="320" w:after="160"/>
      </w:pPr>
      <w:r>
        <w:rPr>
          <w:rFonts w:ascii="Calibri" w:hAnsi="Calibri"/>
          <w:b/>
          <w:i w:val="0"/>
          <w:color w:val="22B14C"/>
          <w:sz w:val="32"/>
        </w:rPr>
        <w:t>3. Scoring weights</w:t>
      </w:r>
    </w:p>
    <w:p>
      <w:pPr>
        <w:spacing w:after="160" w:before="0" w:line="276" w:lineRule="auto"/>
      </w:pPr>
      <w:r>
        <w:rPr>
          <w:rFonts w:ascii="Calibri" w:hAnsi="Calibri"/>
          <w:b w:val="0"/>
          <w:i w:val="0"/>
          <w:color w:val="111827"/>
          <w:sz w:val="22"/>
        </w:rPr>
        <w:t>Each product gets a base score, then a role multiplier.</w:t>
      </w:r>
    </w:p>
    <w:p>
      <w:pPr>
        <w:spacing w:before="240" w:after="160"/>
      </w:pPr>
      <w:r>
        <w:rPr>
          <w:rFonts w:ascii="Calibri" w:hAnsi="Calibri"/>
          <w:b/>
          <w:i w:val="0"/>
          <w:color w:val="22B14C"/>
          <w:sz w:val="26"/>
        </w:rPr>
        <w:t>Symptom mode (Fix a problem)</w:t>
      </w:r>
    </w:p>
    <w:p>
      <w:pPr>
        <w:spacing w:before="120" w:after="200"/>
        <w:ind w:left="227"/>
        <w:shd w:fill="F6F7F8" w:val="clear"/>
      </w:pPr>
      <w:r>
        <w:rPr>
          <w:rFonts w:ascii="Consolas" w:hAnsi="Consolas"/>
          <w:b w:val="0"/>
          <w:i w:val="0"/>
          <w:color w:val="111827"/>
          <w:sz w:val="20"/>
        </w:rPr>
        <w:t>base =</w:t>
        <w:br/>
        <w:t xml:space="preserve">  1.40 × problem match</w:t>
        <w:br/>
        <w:t>+ 0.90 × soil match</w:t>
        <w:br/>
        <w:t>+ 0.85 × use-case match</w:t>
        <w:br/>
        <w:t>+ 0.15 × seasonal match</w:t>
        <w:br/>
        <w:t>+ 0.08 × synergy</w:t>
        <w:br/>
        <w:t>+ targeted bonuses</w:t>
        <w:br/>
        <w:t>+ lawn/garden context fit</w:t>
        <w:br/>
        <w:br/>
        <w:t>final = base × role multiplier</w:t>
      </w:r>
    </w:p>
    <w:p>
      <w:pPr>
        <w:spacing w:after="160" w:before="0" w:line="276" w:lineRule="auto"/>
      </w:pPr>
      <w:r>
        <w:rPr>
          <w:rFonts w:ascii="Calibri" w:hAnsi="Calibri"/>
          <w:b w:val="0"/>
          <w:i w:val="0"/>
          <w:color w:val="111827"/>
          <w:sz w:val="22"/>
        </w:rPr>
        <w:t>Problem / soil / season numbers come from the CSV (usually 0–5). Use-case columns are 0 or 1 (Lawn, Garden Beds, Pots, Indoor, Farms).</w:t>
      </w:r>
    </w:p>
    <w:p>
      <w:pPr>
        <w:spacing w:after="160" w:before="0" w:line="276" w:lineRule="auto"/>
      </w:pPr>
      <w:r>
        <w:rPr>
          <w:rFonts w:ascii="Calibri" w:hAnsi="Calibri"/>
          <w:b w:val="0"/>
          <w:i w:val="0"/>
          <w:color w:val="111827"/>
          <w:sz w:val="22"/>
        </w:rPr>
        <w:t>Problem match is the average of the CSV scores for the symptoms the user ticked. Tick yellowing only → use the Yellowing Leaves column. Tick yellowing + slow growth → average of those two columns.</w:t>
      </w:r>
    </w:p>
    <w:p>
      <w:pPr>
        <w:spacing w:before="240" w:after="160"/>
      </w:pPr>
      <w:r>
        <w:rPr>
          <w:rFonts w:ascii="Calibri" w:hAnsi="Calibri"/>
          <w:b/>
          <w:i w:val="0"/>
          <w:color w:val="22B14C"/>
          <w:sz w:val="26"/>
        </w:rPr>
        <w:t>Goals mode (Improve results)</w:t>
      </w:r>
    </w:p>
    <w:p>
      <w:pPr>
        <w:spacing w:after="160" w:before="0" w:line="276" w:lineRule="auto"/>
      </w:pPr>
      <w:r>
        <w:rPr>
          <w:rFonts w:ascii="Calibri" w:hAnsi="Calibri"/>
          <w:b w:val="0"/>
          <w:i w:val="0"/>
          <w:color w:val="111827"/>
          <w:sz w:val="22"/>
        </w:rPr>
        <w:t>Goals dominate. Context (soil, place, season, symptoms) is a light overlay:</w:t>
      </w:r>
    </w:p>
    <w:p>
      <w:pPr>
        <w:spacing w:before="120" w:after="200"/>
        <w:ind w:left="227"/>
        <w:shd w:fill="F6F7F8" w:val="clear"/>
      </w:pPr>
      <w:r>
        <w:rPr>
          <w:rFonts w:ascii="Consolas" w:hAnsi="Consolas"/>
          <w:b w:val="0"/>
          <w:i w:val="0"/>
          <w:color w:val="111827"/>
          <w:sz w:val="20"/>
        </w:rPr>
        <w:t>base =</w:t>
        <w:br/>
        <w:t xml:space="preserve">  1.20 × goal CSV fit × goal-alignment multiplier</w:t>
        <w:br/>
        <w:t>+ 0.15 × 0.85 × use-case</w:t>
        <w:br/>
        <w:t>+ 0.12 × 0.15 × season</w:t>
        <w:br/>
        <w:t>+ 0.28 × 0.90 × soil</w:t>
        <w:br/>
        <w:t>+ 0.05 × 0.08 × synergy</w:t>
        <w:br/>
        <w:t>+ 0.05 × 1.40 × problem   (usually 0 — symptoms are off)</w:t>
        <w:br/>
        <w:t>+ pair synergy (small)</w:t>
        <w:br/>
        <w:t>+ garden stage bonus</w:t>
        <w:br/>
        <w:t>+ lawn/garden context fit</w:t>
        <w:br/>
        <w:br/>
        <w:t>final = base × role multiplier</w:t>
      </w:r>
    </w:p>
    <w:p>
      <w:pPr>
        <w:spacing w:after="160" w:before="0" w:line="276" w:lineRule="auto"/>
      </w:pPr>
      <w:r>
        <w:rPr>
          <w:rFonts w:ascii="Calibri" w:hAnsi="Calibri"/>
          <w:b w:val="0"/>
          <w:i w:val="0"/>
          <w:color w:val="111827"/>
          <w:sz w:val="22"/>
        </w:rPr>
        <w:t>Goal-alignment multiplier maps CSV goal fit (0–5) onto about 0.94–1.28. A product that scores 5/5 on the selected goals gets a lift; a weak fit does not.</w:t>
      </w:r>
    </w:p>
    <w:p>
      <w:pPr>
        <w:spacing w:after="160" w:before="0" w:line="276" w:lineRule="auto"/>
      </w:pPr>
      <w:r>
        <w:rPr>
          <w:rFonts w:ascii="Calibri" w:hAnsi="Calibri"/>
          <w:b w:val="0"/>
          <w:i w:val="0"/>
          <w:color w:val="111827"/>
          <w:sz w:val="22"/>
        </w:rPr>
        <w:t>If several goals are ticked, no single goal can take more than 42% of the effective weight.</w:t>
      </w:r>
    </w:p>
    <w:p>
      <w:pPr>
        <w:spacing w:before="320" w:after="160"/>
      </w:pPr>
      <w:r>
        <w:rPr>
          <w:rFonts w:ascii="Calibri" w:hAnsi="Calibri"/>
          <w:b/>
          <w:i w:val="0"/>
          <w:color w:val="22B14C"/>
          <w:sz w:val="32"/>
        </w:rPr>
        <w:t>4. What “success” means by vertical</w:t>
      </w:r>
    </w:p>
    <w:p>
      <w:pPr>
        <w:spacing w:after="160" w:before="0" w:line="276" w:lineRule="auto"/>
      </w:pPr>
      <w:r>
        <w:rPr>
          <w:rFonts w:ascii="Calibri" w:hAnsi="Calibri"/>
          <w:b w:val="0"/>
          <w:i w:val="0"/>
          <w:color w:val="111827"/>
          <w:sz w:val="22"/>
        </w:rPr>
        <w:t>These are the built-in priorities when more than one goal is ticked. A single ticked goal still drives ranking via that product’s CSV column.</w:t>
      </w:r>
    </w:p>
    <w:p>
      <w:pPr>
        <w:spacing w:before="240" w:after="160"/>
      </w:pPr>
      <w:r>
        <w:rPr>
          <w:rFonts w:ascii="Calibri" w:hAnsi="Calibri"/>
          <w:b/>
          <w:i w:val="0"/>
          <w:color w:val="22B14C"/>
          <w:sz w:val="26"/>
        </w:rPr>
        <w:t>Lawn</w:t>
      </w:r>
    </w:p>
    <w:tbl>
      <w:tblPr>
        <w:tblStyle w:val="TableGrid"/>
        <w:tblW w:type="auto" w:w="0"/>
        <w:jc w:val="center"/>
        <w:tblLook w:firstColumn="1" w:firstRow="1" w:lastColumn="0" w:lastRow="0" w:noHBand="0" w:noVBand="1" w:val="04A0"/>
      </w:tblPr>
      <w:tblGrid>
        <w:gridCol w:w="4986"/>
        <w:gridCol w:w="4986"/>
      </w:tblGrid>
      <w:tr>
        <w:tc>
          <w:tcPr>
            <w:tcW w:type="dxa" w:w="6803"/>
            <w:shd w:fill="22B14C" w:val="clear"/>
          </w:tcPr>
          <w:p>
            <w:r/>
            <w:r>
              <w:rPr>
                <w:rFonts w:ascii="Calibri" w:hAnsi="Calibri"/>
                <w:b/>
                <w:i w:val="0"/>
                <w:color w:val="FFFFFF"/>
                <w:sz w:val="20"/>
              </w:rPr>
              <w:t>Goal</w:t>
            </w:r>
          </w:p>
        </w:tc>
        <w:tc>
          <w:tcPr>
            <w:tcW w:type="dxa" w:w="2268"/>
            <w:shd w:fill="22B14C" w:val="clear"/>
          </w:tcPr>
          <w:p>
            <w:r/>
            <w:r>
              <w:rPr>
                <w:rFonts w:ascii="Calibri" w:hAnsi="Calibri"/>
                <w:b/>
                <w:i w:val="0"/>
                <w:color w:val="FFFFFF"/>
                <w:sz w:val="20"/>
              </w:rPr>
              <w:t>Share</w:t>
            </w:r>
          </w:p>
        </w:tc>
      </w:tr>
      <w:tr>
        <w:tc>
          <w:tcPr>
            <w:tcW w:type="dxa" w:w="6803"/>
          </w:tcPr>
          <w:p>
            <w:r/>
            <w:r>
              <w:rPr>
                <w:rFonts w:ascii="Calibri" w:hAnsi="Calibri"/>
                <w:b w:val="0"/>
                <w:i w:val="0"/>
                <w:color w:val="111827"/>
                <w:sz w:val="20"/>
              </w:rPr>
              <w:t>Thickening and density</w:t>
            </w:r>
          </w:p>
        </w:tc>
        <w:tc>
          <w:tcPr>
            <w:tcW w:type="dxa" w:w="2268"/>
          </w:tcPr>
          <w:p>
            <w:r/>
            <w:r>
              <w:rPr>
                <w:rFonts w:ascii="Calibri" w:hAnsi="Calibri"/>
                <w:b w:val="0"/>
                <w:i w:val="0"/>
                <w:color w:val="111827"/>
                <w:sz w:val="20"/>
              </w:rPr>
              <w:t>28%</w:t>
            </w:r>
          </w:p>
        </w:tc>
      </w:tr>
      <w:tr>
        <w:tc>
          <w:tcPr>
            <w:tcW w:type="dxa" w:w="6803"/>
            <w:shd w:fill="F3FBF5" w:val="clear"/>
          </w:tcPr>
          <w:p>
            <w:r/>
            <w:r>
              <w:rPr>
                <w:rFonts w:ascii="Calibri" w:hAnsi="Calibri"/>
                <w:b w:val="0"/>
                <w:i w:val="0"/>
                <w:color w:val="111827"/>
                <w:sz w:val="20"/>
              </w:rPr>
              <w:t>Fast recovery from stress</w:t>
            </w:r>
          </w:p>
        </w:tc>
        <w:tc>
          <w:tcPr>
            <w:tcW w:type="dxa" w:w="2268"/>
            <w:shd w:fill="F3FBF5" w:val="clear"/>
          </w:tcPr>
          <w:p>
            <w:r/>
            <w:r>
              <w:rPr>
                <w:rFonts w:ascii="Calibri" w:hAnsi="Calibri"/>
                <w:b w:val="0"/>
                <w:i w:val="0"/>
                <w:color w:val="111827"/>
                <w:sz w:val="20"/>
              </w:rPr>
              <w:t>22%</w:t>
            </w:r>
          </w:p>
        </w:tc>
      </w:tr>
      <w:tr>
        <w:tc>
          <w:tcPr>
            <w:tcW w:type="dxa" w:w="6803"/>
          </w:tcPr>
          <w:p>
            <w:r/>
            <w:r>
              <w:rPr>
                <w:rFonts w:ascii="Calibri" w:hAnsi="Calibri"/>
                <w:b w:val="0"/>
                <w:i w:val="0"/>
                <w:color w:val="111827"/>
                <w:sz w:val="20"/>
              </w:rPr>
              <w:t>Deep green colour</w:t>
            </w:r>
          </w:p>
        </w:tc>
        <w:tc>
          <w:tcPr>
            <w:tcW w:type="dxa" w:w="2268"/>
          </w:tcPr>
          <w:p>
            <w:r/>
            <w:r>
              <w:rPr>
                <w:rFonts w:ascii="Calibri" w:hAnsi="Calibri"/>
                <w:b w:val="0"/>
                <w:i w:val="0"/>
                <w:color w:val="111827"/>
                <w:sz w:val="20"/>
              </w:rPr>
              <w:t>18%</w:t>
            </w:r>
          </w:p>
        </w:tc>
      </w:tr>
      <w:tr>
        <w:tc>
          <w:tcPr>
            <w:tcW w:type="dxa" w:w="6803"/>
            <w:shd w:fill="F3FBF5" w:val="clear"/>
          </w:tcPr>
          <w:p>
            <w:r/>
            <w:r>
              <w:rPr>
                <w:rFonts w:ascii="Calibri" w:hAnsi="Calibri"/>
                <w:b w:val="0"/>
                <w:i w:val="0"/>
                <w:color w:val="111827"/>
                <w:sz w:val="20"/>
              </w:rPr>
              <w:t>Weed suppression through dominance</w:t>
            </w:r>
          </w:p>
        </w:tc>
        <w:tc>
          <w:tcPr>
            <w:tcW w:type="dxa" w:w="2268"/>
            <w:shd w:fill="F3FBF5" w:val="clear"/>
          </w:tcPr>
          <w:p>
            <w:r/>
            <w:r>
              <w:rPr>
                <w:rFonts w:ascii="Calibri" w:hAnsi="Calibri"/>
                <w:b w:val="0"/>
                <w:i w:val="0"/>
                <w:color w:val="111827"/>
                <w:sz w:val="20"/>
              </w:rPr>
              <w:t>16%</w:t>
            </w:r>
          </w:p>
        </w:tc>
      </w:tr>
      <w:tr>
        <w:tc>
          <w:tcPr>
            <w:tcW w:type="dxa" w:w="6803"/>
          </w:tcPr>
          <w:p>
            <w:r/>
            <w:r>
              <w:rPr>
                <w:rFonts w:ascii="Calibri" w:hAnsi="Calibri"/>
                <w:b w:val="0"/>
                <w:i w:val="0"/>
                <w:color w:val="111827"/>
                <w:sz w:val="20"/>
              </w:rPr>
              <w:t>Low maintenance resilience</w:t>
            </w:r>
          </w:p>
        </w:tc>
        <w:tc>
          <w:tcPr>
            <w:tcW w:type="dxa" w:w="2268"/>
          </w:tcPr>
          <w:p>
            <w:r/>
            <w:r>
              <w:rPr>
                <w:rFonts w:ascii="Calibri" w:hAnsi="Calibri"/>
                <w:b w:val="0"/>
                <w:i w:val="0"/>
                <w:color w:val="111827"/>
                <w:sz w:val="20"/>
              </w:rPr>
              <w:t>16%</w:t>
            </w:r>
          </w:p>
        </w:tc>
      </w:tr>
    </w:tbl>
    <w:p>
      <w:pPr>
        <w:spacing w:after="120"/>
      </w:pPr>
    </w:p>
    <w:p>
      <w:pPr>
        <w:spacing w:after="160" w:before="0" w:line="276" w:lineRule="auto"/>
      </w:pPr>
      <w:r>
        <w:rPr>
          <w:rFonts w:ascii="Calibri" w:hAnsi="Calibri"/>
          <w:b w:val="0"/>
          <w:i w:val="0"/>
          <w:color w:val="111827"/>
          <w:sz w:val="22"/>
        </w:rPr>
        <w:t>Colour is real, but density and recovery outrank colour so iron-only answers don’t win every lawn goal.</w:t>
      </w:r>
    </w:p>
    <w:p>
      <w:pPr>
        <w:spacing w:before="240" w:after="160"/>
      </w:pPr>
      <w:r>
        <w:rPr>
          <w:rFonts w:ascii="Calibri" w:hAnsi="Calibri"/>
          <w:b/>
          <w:i w:val="0"/>
          <w:color w:val="22B14C"/>
          <w:sz w:val="26"/>
        </w:rPr>
        <w:t>Garden</w:t>
      </w:r>
    </w:p>
    <w:tbl>
      <w:tblPr>
        <w:tblStyle w:val="TableGrid"/>
        <w:tblW w:type="auto" w:w="0"/>
        <w:jc w:val="center"/>
        <w:tblLook w:firstColumn="1" w:firstRow="1" w:lastColumn="0" w:lastRow="0" w:noHBand="0" w:noVBand="1" w:val="04A0"/>
      </w:tblPr>
      <w:tblGrid>
        <w:gridCol w:w="4986"/>
        <w:gridCol w:w="4986"/>
      </w:tblGrid>
      <w:tr>
        <w:tc>
          <w:tcPr>
            <w:tcW w:type="dxa" w:w="6803"/>
            <w:shd w:fill="22B14C" w:val="clear"/>
          </w:tcPr>
          <w:p>
            <w:r/>
            <w:r>
              <w:rPr>
                <w:rFonts w:ascii="Calibri" w:hAnsi="Calibri"/>
                <w:b/>
                <w:i w:val="0"/>
                <w:color w:val="FFFFFF"/>
                <w:sz w:val="20"/>
              </w:rPr>
              <w:t>Goal</w:t>
            </w:r>
          </w:p>
        </w:tc>
        <w:tc>
          <w:tcPr>
            <w:tcW w:type="dxa" w:w="2268"/>
            <w:shd w:fill="22B14C" w:val="clear"/>
          </w:tcPr>
          <w:p>
            <w:r/>
            <w:r>
              <w:rPr>
                <w:rFonts w:ascii="Calibri" w:hAnsi="Calibri"/>
                <w:b/>
                <w:i w:val="0"/>
                <w:color w:val="FFFFFF"/>
                <w:sz w:val="20"/>
              </w:rPr>
              <w:t>Share</w:t>
            </w:r>
          </w:p>
        </w:tc>
      </w:tr>
      <w:tr>
        <w:tc>
          <w:tcPr>
            <w:tcW w:type="dxa" w:w="6803"/>
          </w:tcPr>
          <w:p>
            <w:r/>
            <w:r>
              <w:rPr>
                <w:rFonts w:ascii="Calibri" w:hAnsi="Calibri"/>
                <w:b w:val="0"/>
                <w:i w:val="0"/>
                <w:color w:val="111827"/>
                <w:sz w:val="20"/>
              </w:rPr>
              <w:t>Improved soil fertility over time</w:t>
            </w:r>
          </w:p>
        </w:tc>
        <w:tc>
          <w:tcPr>
            <w:tcW w:type="dxa" w:w="2268"/>
          </w:tcPr>
          <w:p>
            <w:r/>
            <w:r>
              <w:rPr>
                <w:rFonts w:ascii="Calibri" w:hAnsi="Calibri"/>
                <w:b w:val="0"/>
                <w:i w:val="0"/>
                <w:color w:val="111827"/>
                <w:sz w:val="20"/>
              </w:rPr>
              <w:t>28%</w:t>
            </w:r>
          </w:p>
        </w:tc>
      </w:tr>
      <w:tr>
        <w:tc>
          <w:tcPr>
            <w:tcW w:type="dxa" w:w="6803"/>
            <w:shd w:fill="F3FBF5" w:val="clear"/>
          </w:tcPr>
          <w:p>
            <w:r/>
            <w:r>
              <w:rPr>
                <w:rFonts w:ascii="Calibri" w:hAnsi="Calibri"/>
                <w:b w:val="0"/>
                <w:i w:val="0"/>
                <w:color w:val="111827"/>
                <w:sz w:val="20"/>
              </w:rPr>
              <w:t>Root development and transplant success</w:t>
            </w:r>
          </w:p>
        </w:tc>
        <w:tc>
          <w:tcPr>
            <w:tcW w:type="dxa" w:w="2268"/>
            <w:shd w:fill="F3FBF5" w:val="clear"/>
          </w:tcPr>
          <w:p>
            <w:r/>
            <w:r>
              <w:rPr>
                <w:rFonts w:ascii="Calibri" w:hAnsi="Calibri"/>
                <w:b w:val="0"/>
                <w:i w:val="0"/>
                <w:color w:val="111827"/>
                <w:sz w:val="20"/>
              </w:rPr>
              <w:t>26%</w:t>
            </w:r>
          </w:p>
        </w:tc>
      </w:tr>
      <w:tr>
        <w:tc>
          <w:tcPr>
            <w:tcW w:type="dxa" w:w="6803"/>
          </w:tcPr>
          <w:p>
            <w:r/>
            <w:r>
              <w:rPr>
                <w:rFonts w:ascii="Calibri" w:hAnsi="Calibri"/>
                <w:b w:val="0"/>
                <w:i w:val="0"/>
                <w:color w:val="111827"/>
                <w:sz w:val="20"/>
              </w:rPr>
              <w:t>Strong flowering and fruiting</w:t>
            </w:r>
          </w:p>
        </w:tc>
        <w:tc>
          <w:tcPr>
            <w:tcW w:type="dxa" w:w="2268"/>
          </w:tcPr>
          <w:p>
            <w:r/>
            <w:r>
              <w:rPr>
                <w:rFonts w:ascii="Calibri" w:hAnsi="Calibri"/>
                <w:b w:val="0"/>
                <w:i w:val="0"/>
                <w:color w:val="111827"/>
                <w:sz w:val="20"/>
              </w:rPr>
              <w:t>18%</w:t>
            </w:r>
          </w:p>
        </w:tc>
      </w:tr>
      <w:tr>
        <w:tc>
          <w:tcPr>
            <w:tcW w:type="dxa" w:w="6803"/>
            <w:shd w:fill="F3FBF5" w:val="clear"/>
          </w:tcPr>
          <w:p>
            <w:r/>
            <w:r>
              <w:rPr>
                <w:rFonts w:ascii="Calibri" w:hAnsi="Calibri"/>
                <w:b w:val="0"/>
                <w:i w:val="0"/>
                <w:color w:val="111827"/>
                <w:sz w:val="20"/>
              </w:rPr>
              <w:t>Pest and disease resilience</w:t>
            </w:r>
          </w:p>
        </w:tc>
        <w:tc>
          <w:tcPr>
            <w:tcW w:type="dxa" w:w="2268"/>
            <w:shd w:fill="F3FBF5" w:val="clear"/>
          </w:tcPr>
          <w:p>
            <w:r/>
            <w:r>
              <w:rPr>
                <w:rFonts w:ascii="Calibri" w:hAnsi="Calibri"/>
                <w:b w:val="0"/>
                <w:i w:val="0"/>
                <w:color w:val="111827"/>
                <w:sz w:val="20"/>
              </w:rPr>
              <w:t>14%</w:t>
            </w:r>
          </w:p>
        </w:tc>
      </w:tr>
      <w:tr>
        <w:tc>
          <w:tcPr>
            <w:tcW w:type="dxa" w:w="6803"/>
          </w:tcPr>
          <w:p>
            <w:r/>
            <w:r>
              <w:rPr>
                <w:rFonts w:ascii="Calibri" w:hAnsi="Calibri"/>
                <w:b w:val="0"/>
                <w:i w:val="0"/>
                <w:color w:val="111827"/>
                <w:sz w:val="20"/>
              </w:rPr>
              <w:t>Consistent growth across seasons</w:t>
            </w:r>
          </w:p>
        </w:tc>
        <w:tc>
          <w:tcPr>
            <w:tcW w:type="dxa" w:w="2268"/>
          </w:tcPr>
          <w:p>
            <w:r/>
            <w:r>
              <w:rPr>
                <w:rFonts w:ascii="Calibri" w:hAnsi="Calibri"/>
                <w:b w:val="0"/>
                <w:i w:val="0"/>
                <w:color w:val="111827"/>
                <w:sz w:val="20"/>
              </w:rPr>
              <w:t>14%</w:t>
            </w:r>
          </w:p>
        </w:tc>
      </w:tr>
    </w:tbl>
    <w:p>
      <w:pPr>
        <w:spacing w:after="120"/>
      </w:pPr>
    </w:p>
    <w:p>
      <w:pPr>
        <w:spacing w:before="240" w:after="160"/>
      </w:pPr>
      <w:r>
        <w:rPr>
          <w:rFonts w:ascii="Calibri" w:hAnsi="Calibri"/>
          <w:b/>
          <w:i w:val="0"/>
          <w:color w:val="22B14C"/>
          <w:sz w:val="26"/>
        </w:rPr>
        <w:t>Farm</w:t>
      </w:r>
    </w:p>
    <w:tbl>
      <w:tblPr>
        <w:tblStyle w:val="TableGrid"/>
        <w:tblW w:type="auto" w:w="0"/>
        <w:jc w:val="center"/>
        <w:tblLook w:firstColumn="1" w:firstRow="1" w:lastColumn="0" w:lastRow="0" w:noHBand="0" w:noVBand="1" w:val="04A0"/>
      </w:tblPr>
      <w:tblGrid>
        <w:gridCol w:w="4986"/>
        <w:gridCol w:w="4986"/>
      </w:tblGrid>
      <w:tr>
        <w:tc>
          <w:tcPr>
            <w:tcW w:type="dxa" w:w="6803"/>
            <w:shd w:fill="22B14C" w:val="clear"/>
          </w:tcPr>
          <w:p>
            <w:r/>
            <w:r>
              <w:rPr>
                <w:rFonts w:ascii="Calibri" w:hAnsi="Calibri"/>
                <w:b/>
                <w:i w:val="0"/>
                <w:color w:val="FFFFFF"/>
                <w:sz w:val="20"/>
              </w:rPr>
              <w:t>Goal</w:t>
            </w:r>
          </w:p>
        </w:tc>
        <w:tc>
          <w:tcPr>
            <w:tcW w:type="dxa" w:w="2268"/>
            <w:shd w:fill="22B14C" w:val="clear"/>
          </w:tcPr>
          <w:p>
            <w:r/>
            <w:r>
              <w:rPr>
                <w:rFonts w:ascii="Calibri" w:hAnsi="Calibri"/>
                <w:b/>
                <w:i w:val="0"/>
                <w:color w:val="FFFFFF"/>
                <w:sz w:val="20"/>
              </w:rPr>
              <w:t>Share</w:t>
            </w:r>
          </w:p>
        </w:tc>
      </w:tr>
      <w:tr>
        <w:tc>
          <w:tcPr>
            <w:tcW w:type="dxa" w:w="6803"/>
          </w:tcPr>
          <w:p>
            <w:r/>
            <w:r>
              <w:rPr>
                <w:rFonts w:ascii="Calibri" w:hAnsi="Calibri"/>
                <w:b w:val="0"/>
                <w:i w:val="0"/>
                <w:color w:val="111827"/>
                <w:sz w:val="20"/>
              </w:rPr>
              <w:t>Soil efficiency</w:t>
            </w:r>
          </w:p>
        </w:tc>
        <w:tc>
          <w:tcPr>
            <w:tcW w:type="dxa" w:w="2268"/>
          </w:tcPr>
          <w:p>
            <w:r/>
            <w:r>
              <w:rPr>
                <w:rFonts w:ascii="Calibri" w:hAnsi="Calibri"/>
                <w:b w:val="0"/>
                <w:i w:val="0"/>
                <w:color w:val="111827"/>
                <w:sz w:val="20"/>
              </w:rPr>
              <w:t>28%</w:t>
            </w:r>
          </w:p>
        </w:tc>
      </w:tr>
      <w:tr>
        <w:tc>
          <w:tcPr>
            <w:tcW w:type="dxa" w:w="6803"/>
            <w:shd w:fill="F3FBF5" w:val="clear"/>
          </w:tcPr>
          <w:p>
            <w:r/>
            <w:r>
              <w:rPr>
                <w:rFonts w:ascii="Calibri" w:hAnsi="Calibri"/>
                <w:b w:val="0"/>
                <w:i w:val="0"/>
                <w:color w:val="111827"/>
                <w:sz w:val="20"/>
              </w:rPr>
              <w:t>Yield increase</w:t>
            </w:r>
          </w:p>
        </w:tc>
        <w:tc>
          <w:tcPr>
            <w:tcW w:type="dxa" w:w="2268"/>
            <w:shd w:fill="F3FBF5" w:val="clear"/>
          </w:tcPr>
          <w:p>
            <w:r/>
            <w:r>
              <w:rPr>
                <w:rFonts w:ascii="Calibri" w:hAnsi="Calibri"/>
                <w:b w:val="0"/>
                <w:i w:val="0"/>
                <w:color w:val="111827"/>
                <w:sz w:val="20"/>
              </w:rPr>
              <w:t>22%</w:t>
            </w:r>
          </w:p>
        </w:tc>
      </w:tr>
      <w:tr>
        <w:tc>
          <w:tcPr>
            <w:tcW w:type="dxa" w:w="6803"/>
          </w:tcPr>
          <w:p>
            <w:r/>
            <w:r>
              <w:rPr>
                <w:rFonts w:ascii="Calibri" w:hAnsi="Calibri"/>
                <w:b w:val="0"/>
                <w:i w:val="0"/>
                <w:color w:val="111827"/>
                <w:sz w:val="20"/>
              </w:rPr>
              <w:t>Water efficiency</w:t>
            </w:r>
          </w:p>
        </w:tc>
        <w:tc>
          <w:tcPr>
            <w:tcW w:type="dxa" w:w="2268"/>
          </w:tcPr>
          <w:p>
            <w:r/>
            <w:r>
              <w:rPr>
                <w:rFonts w:ascii="Calibri" w:hAnsi="Calibri"/>
                <w:b w:val="0"/>
                <w:i w:val="0"/>
                <w:color w:val="111827"/>
                <w:sz w:val="20"/>
              </w:rPr>
              <w:t>20%</w:t>
            </w:r>
          </w:p>
        </w:tc>
      </w:tr>
      <w:tr>
        <w:tc>
          <w:tcPr>
            <w:tcW w:type="dxa" w:w="6803"/>
            <w:shd w:fill="F3FBF5" w:val="clear"/>
          </w:tcPr>
          <w:p>
            <w:r/>
            <w:r>
              <w:rPr>
                <w:rFonts w:ascii="Calibri" w:hAnsi="Calibri"/>
                <w:b w:val="0"/>
                <w:i w:val="0"/>
                <w:color w:val="111827"/>
                <w:sz w:val="20"/>
              </w:rPr>
              <w:t>Crop uniformity</w:t>
            </w:r>
          </w:p>
        </w:tc>
        <w:tc>
          <w:tcPr>
            <w:tcW w:type="dxa" w:w="2268"/>
            <w:shd w:fill="F3FBF5" w:val="clear"/>
          </w:tcPr>
          <w:p>
            <w:r/>
            <w:r>
              <w:rPr>
                <w:rFonts w:ascii="Calibri" w:hAnsi="Calibri"/>
                <w:b w:val="0"/>
                <w:i w:val="0"/>
                <w:color w:val="111827"/>
                <w:sz w:val="20"/>
              </w:rPr>
              <w:t>16%</w:t>
            </w:r>
          </w:p>
        </w:tc>
      </w:tr>
      <w:tr>
        <w:tc>
          <w:tcPr>
            <w:tcW w:type="dxa" w:w="6803"/>
          </w:tcPr>
          <w:p>
            <w:r/>
            <w:r>
              <w:rPr>
                <w:rFonts w:ascii="Calibri" w:hAnsi="Calibri"/>
                <w:b w:val="0"/>
                <w:i w:val="0"/>
                <w:color w:val="111827"/>
                <w:sz w:val="20"/>
              </w:rPr>
              <w:t>Reduced input dependency</w:t>
            </w:r>
          </w:p>
        </w:tc>
        <w:tc>
          <w:tcPr>
            <w:tcW w:type="dxa" w:w="2268"/>
          </w:tcPr>
          <w:p>
            <w:r/>
            <w:r>
              <w:rPr>
                <w:rFonts w:ascii="Calibri" w:hAnsi="Calibri"/>
                <w:b w:val="0"/>
                <w:i w:val="0"/>
                <w:color w:val="111827"/>
                <w:sz w:val="20"/>
              </w:rPr>
              <w:t>14%</w:t>
            </w:r>
          </w:p>
        </w:tc>
      </w:tr>
    </w:tbl>
    <w:p>
      <w:pPr>
        <w:spacing w:after="120"/>
      </w:pPr>
    </w:p>
    <w:p>
      <w:pPr>
        <w:spacing w:before="240" w:after="160"/>
      </w:pPr>
      <w:r>
        <w:rPr>
          <w:rFonts w:ascii="Calibri" w:hAnsi="Calibri"/>
          <w:b/>
          <w:i w:val="0"/>
          <w:color w:val="22B14C"/>
          <w:sz w:val="26"/>
        </w:rPr>
        <w:t>Stage (goals mode only)</w:t>
      </w:r>
    </w:p>
    <w:p>
      <w:pPr>
        <w:spacing w:after="160" w:before="0" w:line="276" w:lineRule="auto"/>
      </w:pPr>
      <w:r>
        <w:rPr>
          <w:rFonts w:ascii="Calibri" w:hAnsi="Calibri"/>
          <w:b w:val="0"/>
          <w:i w:val="0"/>
          <w:color w:val="111827"/>
          <w:sz w:val="22"/>
        </w:rPr>
        <w:t>Shown as Just planting / Keep it healthy / Push for best results.</w:t>
      </w:r>
    </w:p>
    <w:p>
      <w:pPr>
        <w:pStyle w:val="ListBullet"/>
        <w:spacing w:after="60"/>
        <w:ind w:left="425"/>
      </w:pPr>
      <w:r>
        <w:rPr>
          <w:rFonts w:ascii="Calibri" w:hAnsi="Calibri"/>
          <w:b w:val="0"/>
          <w:i w:val="0"/>
          <w:color w:val="111827"/>
          <w:sz w:val="22"/>
        </w:rPr>
        <w:t>Planting: extra weight on roots, soil fertility, density, yield.</w:t>
      </w:r>
    </w:p>
    <w:p>
      <w:pPr>
        <w:pStyle w:val="ListBullet"/>
        <w:spacing w:after="60"/>
        <w:ind w:left="425"/>
      </w:pPr>
      <w:r>
        <w:rPr>
          <w:rFonts w:ascii="Calibri" w:hAnsi="Calibri"/>
          <w:b w:val="0"/>
          <w:i w:val="0"/>
          <w:color w:val="111827"/>
          <w:sz w:val="22"/>
        </w:rPr>
        <w:t>Keep it healthy: slight lift on low-maintenance / consistent growth.</w:t>
      </w:r>
    </w:p>
    <w:p>
      <w:pPr>
        <w:pStyle w:val="ListBullet"/>
        <w:spacing w:after="60"/>
        <w:ind w:left="425"/>
      </w:pPr>
      <w:r>
        <w:rPr>
          <w:rFonts w:ascii="Calibri" w:hAnsi="Calibri"/>
          <w:b w:val="0"/>
          <w:i w:val="0"/>
          <w:color w:val="111827"/>
          <w:sz w:val="22"/>
        </w:rPr>
        <w:t>Best results: extra weight on colour, density, flowering, yield, uniformity.</w:t>
      </w:r>
    </w:p>
    <w:p>
      <w:pPr>
        <w:spacing w:after="160" w:before="120" w:line="276" w:lineRule="auto"/>
      </w:pPr>
      <w:r>
        <w:rPr>
          <w:rFonts w:ascii="Calibri" w:hAnsi="Calibri"/>
          <w:b w:val="0"/>
          <w:i w:val="0"/>
          <w:color w:val="111827"/>
          <w:sz w:val="22"/>
        </w:rPr>
        <w:t>Symptom mode does not use this dropdown; it always scores as “fix the problem”.</w:t>
      </w:r>
    </w:p>
    <w:p>
      <w:pPr>
        <w:spacing w:after="160" w:before="0" w:line="276" w:lineRule="auto"/>
      </w:pPr>
      <w:r>
        <w:rPr>
          <w:rFonts w:ascii="Calibri" w:hAnsi="Calibri"/>
          <w:b w:val="0"/>
          <w:i w:val="0"/>
          <w:color w:val="111827"/>
          <w:sz w:val="22"/>
        </w:rPr>
        <w:t>Complementary pairs (small bonus if both goals are ticked and the product scores 3 or more on both): roots + soil fertility; water efficiency + soil efficiency; density + colour; weed suppression + density.</w:t>
      </w:r>
    </w:p>
    <w:p>
      <w:pPr>
        <w:spacing w:before="320" w:after="160"/>
      </w:pPr>
      <w:r>
        <w:rPr>
          <w:rFonts w:ascii="Calibri" w:hAnsi="Calibri"/>
          <w:b/>
          <w:i w:val="0"/>
          <w:color w:val="22B14C"/>
          <w:sz w:val="32"/>
        </w:rPr>
        <w:t>5. Role multipliers</w:t>
      </w:r>
    </w:p>
    <w:p>
      <w:pPr>
        <w:spacing w:after="160" w:before="0" w:line="276" w:lineRule="auto"/>
      </w:pPr>
      <w:r>
        <w:rPr>
          <w:rFonts w:ascii="Calibri" w:hAnsi="Calibri"/>
          <w:b w:val="0"/>
          <w:i w:val="0"/>
          <w:color w:val="111827"/>
          <w:sz w:val="22"/>
        </w:rPr>
        <w:t>Applied after the base score. This is why a “pretty good” iron product can beat a “pretty good” fertiliser when yellowing is ticked.</w:t>
      </w:r>
    </w:p>
    <w:tbl>
      <w:tblPr>
        <w:tblStyle w:val="TableGrid"/>
        <w:tblW w:type="auto" w:w="0"/>
        <w:jc w:val="center"/>
        <w:tblLook w:firstColumn="1" w:firstRow="1" w:lastColumn="0" w:lastRow="0" w:noHBand="0" w:noVBand="1" w:val="04A0"/>
      </w:tblPr>
      <w:tblGrid>
        <w:gridCol w:w="3324"/>
        <w:gridCol w:w="3324"/>
        <w:gridCol w:w="3324"/>
      </w:tblGrid>
      <w:tr>
        <w:tc>
          <w:tcPr>
            <w:tcW w:type="dxa" w:w="4252"/>
            <w:shd w:fill="22B14C" w:val="clear"/>
          </w:tcPr>
          <w:p>
            <w:r/>
            <w:r>
              <w:rPr>
                <w:rFonts w:ascii="Calibri" w:hAnsi="Calibri"/>
                <w:b/>
                <w:i w:val="0"/>
                <w:color w:val="FFFFFF"/>
                <w:sz w:val="20"/>
              </w:rPr>
              <w:t>Role</w:t>
            </w:r>
          </w:p>
        </w:tc>
        <w:tc>
          <w:tcPr>
            <w:tcW w:type="dxa" w:w="3685"/>
            <w:shd w:fill="22B14C" w:val="clear"/>
          </w:tcPr>
          <w:p>
            <w:r/>
            <w:r>
              <w:rPr>
                <w:rFonts w:ascii="Calibri" w:hAnsi="Calibri"/>
                <w:b/>
                <w:i w:val="0"/>
                <w:color w:val="FFFFFF"/>
                <w:sz w:val="20"/>
              </w:rPr>
              <w:t>When</w:t>
            </w:r>
          </w:p>
        </w:tc>
        <w:tc>
          <w:tcPr>
            <w:tcW w:type="dxa" w:w="1417"/>
            <w:shd w:fill="22B14C" w:val="clear"/>
          </w:tcPr>
          <w:p>
            <w:r/>
            <w:r>
              <w:rPr>
                <w:rFonts w:ascii="Calibri" w:hAnsi="Calibri"/>
                <w:b/>
                <w:i w:val="0"/>
                <w:color w:val="FFFFFF"/>
                <w:sz w:val="20"/>
              </w:rPr>
              <w:t>Multiplier</w:t>
            </w:r>
          </w:p>
        </w:tc>
      </w:tr>
      <w:tr>
        <w:tc>
          <w:tcPr>
            <w:tcW w:type="dxa" w:w="4252"/>
          </w:tcPr>
          <w:p>
            <w:r/>
            <w:r>
              <w:rPr>
                <w:rFonts w:ascii="Calibri" w:hAnsi="Calibri"/>
                <w:b w:val="0"/>
                <w:i w:val="0"/>
                <w:color w:val="111827"/>
                <w:sz w:val="20"/>
              </w:rPr>
              <w:t>Soil structure (gypsum, wetter, zeolite)</w:t>
            </w:r>
          </w:p>
        </w:tc>
        <w:tc>
          <w:tcPr>
            <w:tcW w:type="dxa" w:w="3685"/>
          </w:tcPr>
          <w:p>
            <w:r/>
            <w:r>
              <w:rPr>
                <w:rFonts w:ascii="Calibri" w:hAnsi="Calibri"/>
                <w:b w:val="0"/>
                <w:i w:val="0"/>
                <w:color w:val="111827"/>
                <w:sz w:val="20"/>
              </w:rPr>
              <w:t>Not maintenance</w:t>
            </w:r>
          </w:p>
        </w:tc>
        <w:tc>
          <w:tcPr>
            <w:tcW w:type="dxa" w:w="1417"/>
          </w:tcPr>
          <w:p>
            <w:r/>
            <w:r>
              <w:rPr>
                <w:rFonts w:ascii="Calibri" w:hAnsi="Calibri"/>
                <w:b w:val="0"/>
                <w:i w:val="0"/>
                <w:color w:val="111827"/>
                <w:sz w:val="20"/>
              </w:rPr>
              <w:t>1.30</w:t>
            </w:r>
          </w:p>
        </w:tc>
      </w:tr>
      <w:tr>
        <w:tc>
          <w:tcPr>
            <w:tcW w:type="dxa" w:w="4252"/>
            <w:shd w:fill="F3FBF5" w:val="clear"/>
          </w:tcPr>
          <w:p>
            <w:r/>
            <w:r>
              <w:rPr>
                <w:rFonts w:ascii="Calibri" w:hAnsi="Calibri"/>
                <w:b w:val="0"/>
                <w:i w:val="0"/>
                <w:color w:val="111827"/>
                <w:sz w:val="20"/>
              </w:rPr>
              <w:t>Soil structure</w:t>
            </w:r>
          </w:p>
        </w:tc>
        <w:tc>
          <w:tcPr>
            <w:tcW w:type="dxa" w:w="3685"/>
            <w:shd w:fill="F3FBF5" w:val="clear"/>
          </w:tcPr>
          <w:p>
            <w:r/>
            <w:r>
              <w:rPr>
                <w:rFonts w:ascii="Calibri" w:hAnsi="Calibri"/>
                <w:b w:val="0"/>
                <w:i w:val="0"/>
                <w:color w:val="111827"/>
                <w:sz w:val="20"/>
              </w:rPr>
              <w:t>Maintenance</w:t>
            </w:r>
          </w:p>
        </w:tc>
        <w:tc>
          <w:tcPr>
            <w:tcW w:type="dxa" w:w="1417"/>
            <w:shd w:fill="F3FBF5" w:val="clear"/>
          </w:tcPr>
          <w:p>
            <w:r/>
            <w:r>
              <w:rPr>
                <w:rFonts w:ascii="Calibri" w:hAnsi="Calibri"/>
                <w:b w:val="0"/>
                <w:i w:val="0"/>
                <w:color w:val="111827"/>
                <w:sz w:val="20"/>
              </w:rPr>
              <w:t>1.22</w:t>
            </w:r>
          </w:p>
        </w:tc>
      </w:tr>
      <w:tr>
        <w:tc>
          <w:tcPr>
            <w:tcW w:type="dxa" w:w="4252"/>
          </w:tcPr>
          <w:p>
            <w:r/>
            <w:r>
              <w:rPr>
                <w:rFonts w:ascii="Calibri" w:hAnsi="Calibri"/>
                <w:b w:val="0"/>
                <w:i w:val="0"/>
                <w:color w:val="111827"/>
                <w:sz w:val="20"/>
              </w:rPr>
              <w:t>Soil chemistry (lime / dolomite)</w:t>
            </w:r>
          </w:p>
        </w:tc>
        <w:tc>
          <w:tcPr>
            <w:tcW w:type="dxa" w:w="3685"/>
          </w:tcPr>
          <w:p>
            <w:r/>
            <w:r>
              <w:rPr>
                <w:rFonts w:ascii="Calibri" w:hAnsi="Calibri"/>
                <w:b w:val="0"/>
                <w:i w:val="0"/>
                <w:color w:val="111827"/>
                <w:sz w:val="20"/>
              </w:rPr>
              <w:t>Acidic, alkaline, or lockout</w:t>
            </w:r>
          </w:p>
        </w:tc>
        <w:tc>
          <w:tcPr>
            <w:tcW w:type="dxa" w:w="1417"/>
          </w:tcPr>
          <w:p>
            <w:r/>
            <w:r>
              <w:rPr>
                <w:rFonts w:ascii="Calibri" w:hAnsi="Calibri"/>
                <w:b w:val="0"/>
                <w:i w:val="0"/>
                <w:color w:val="111827"/>
                <w:sz w:val="20"/>
              </w:rPr>
              <w:t>1.28</w:t>
            </w:r>
          </w:p>
        </w:tc>
      </w:tr>
      <w:tr>
        <w:tc>
          <w:tcPr>
            <w:tcW w:type="dxa" w:w="4252"/>
            <w:shd w:fill="F3FBF5" w:val="clear"/>
          </w:tcPr>
          <w:p>
            <w:r/>
            <w:r>
              <w:rPr>
                <w:rFonts w:ascii="Calibri" w:hAnsi="Calibri"/>
                <w:b w:val="0"/>
                <w:i w:val="0"/>
                <w:color w:val="111827"/>
                <w:sz w:val="20"/>
              </w:rPr>
              <w:t>Soil chemistry</w:t>
            </w:r>
          </w:p>
        </w:tc>
        <w:tc>
          <w:tcPr>
            <w:tcW w:type="dxa" w:w="3685"/>
            <w:shd w:fill="F3FBF5" w:val="clear"/>
          </w:tcPr>
          <w:p>
            <w:r/>
            <w:r>
              <w:rPr>
                <w:rFonts w:ascii="Calibri" w:hAnsi="Calibri"/>
                <w:b w:val="0"/>
                <w:i w:val="0"/>
                <w:color w:val="111827"/>
                <w:sz w:val="20"/>
              </w:rPr>
              <w:t>Otherwise</w:t>
            </w:r>
          </w:p>
        </w:tc>
        <w:tc>
          <w:tcPr>
            <w:tcW w:type="dxa" w:w="1417"/>
            <w:shd w:fill="F3FBF5" w:val="clear"/>
          </w:tcPr>
          <w:p>
            <w:r/>
            <w:r>
              <w:rPr>
                <w:rFonts w:ascii="Calibri" w:hAnsi="Calibri"/>
                <w:b w:val="0"/>
                <w:i w:val="0"/>
                <w:color w:val="111827"/>
                <w:sz w:val="20"/>
              </w:rPr>
              <w:t>1.05</w:t>
            </w:r>
          </w:p>
        </w:tc>
      </w:tr>
      <w:tr>
        <w:tc>
          <w:tcPr>
            <w:tcW w:type="dxa" w:w="4252"/>
          </w:tcPr>
          <w:p>
            <w:r/>
            <w:r>
              <w:rPr>
                <w:rFonts w:ascii="Calibri" w:hAnsi="Calibri"/>
                <w:b w:val="0"/>
                <w:i w:val="0"/>
                <w:color w:val="111827"/>
                <w:sz w:val="20"/>
              </w:rPr>
              <w:t>Biology (seaweed)</w:t>
            </w:r>
          </w:p>
        </w:tc>
        <w:tc>
          <w:tcPr>
            <w:tcW w:type="dxa" w:w="3685"/>
          </w:tcPr>
          <w:p>
            <w:r/>
            <w:r>
              <w:rPr>
                <w:rFonts w:ascii="Calibri" w:hAnsi="Calibri"/>
                <w:b w:val="0"/>
                <w:i w:val="0"/>
                <w:color w:val="111827"/>
                <w:sz w:val="20"/>
              </w:rPr>
              <w:t>Always</w:t>
            </w:r>
          </w:p>
        </w:tc>
        <w:tc>
          <w:tcPr>
            <w:tcW w:type="dxa" w:w="1417"/>
          </w:tcPr>
          <w:p>
            <w:r/>
            <w:r>
              <w:rPr>
                <w:rFonts w:ascii="Calibri" w:hAnsi="Calibri"/>
                <w:b w:val="0"/>
                <w:i w:val="0"/>
                <w:color w:val="111827"/>
                <w:sz w:val="20"/>
              </w:rPr>
              <w:t>1.20</w:t>
            </w:r>
          </w:p>
        </w:tc>
      </w:tr>
      <w:tr>
        <w:tc>
          <w:tcPr>
            <w:tcW w:type="dxa" w:w="4252"/>
            <w:shd w:fill="F3FBF5" w:val="clear"/>
          </w:tcPr>
          <w:p>
            <w:r/>
            <w:r>
              <w:rPr>
                <w:rFonts w:ascii="Calibri" w:hAnsi="Calibri"/>
                <w:b w:val="0"/>
                <w:i w:val="0"/>
                <w:color w:val="111827"/>
                <w:sz w:val="20"/>
              </w:rPr>
              <w:t>Uptake (humic / fulvic / Stimulizer)</w:t>
            </w:r>
          </w:p>
        </w:tc>
        <w:tc>
          <w:tcPr>
            <w:tcW w:type="dxa" w:w="3685"/>
            <w:shd w:fill="F3FBF5" w:val="clear"/>
          </w:tcPr>
          <w:p>
            <w:r/>
            <w:r>
              <w:rPr>
                <w:rFonts w:ascii="Calibri" w:hAnsi="Calibri"/>
                <w:b w:val="0"/>
                <w:i w:val="0"/>
                <w:color w:val="111827"/>
                <w:sz w:val="20"/>
              </w:rPr>
              <w:t>Always</w:t>
            </w:r>
          </w:p>
        </w:tc>
        <w:tc>
          <w:tcPr>
            <w:tcW w:type="dxa" w:w="1417"/>
            <w:shd w:fill="F3FBF5" w:val="clear"/>
          </w:tcPr>
          <w:p>
            <w:r/>
            <w:r>
              <w:rPr>
                <w:rFonts w:ascii="Calibri" w:hAnsi="Calibri"/>
                <w:b w:val="0"/>
                <w:i w:val="0"/>
                <w:color w:val="111827"/>
                <w:sz w:val="20"/>
              </w:rPr>
              <w:t>1.15</w:t>
            </w:r>
          </w:p>
        </w:tc>
      </w:tr>
      <w:tr>
        <w:tc>
          <w:tcPr>
            <w:tcW w:type="dxa" w:w="4252"/>
          </w:tcPr>
          <w:p>
            <w:r/>
            <w:r>
              <w:rPr>
                <w:rFonts w:ascii="Calibri" w:hAnsi="Calibri"/>
                <w:b w:val="0"/>
                <w:i w:val="0"/>
                <w:color w:val="111827"/>
                <w:sz w:val="20"/>
              </w:rPr>
              <w:t>Nutrition (fertiliser)</w:t>
            </w:r>
          </w:p>
        </w:tc>
        <w:tc>
          <w:tcPr>
            <w:tcW w:type="dxa" w:w="3685"/>
          </w:tcPr>
          <w:p>
            <w:r/>
            <w:r>
              <w:rPr>
                <w:rFonts w:ascii="Calibri" w:hAnsi="Calibri"/>
                <w:b w:val="0"/>
                <w:i w:val="0"/>
                <w:color w:val="111827"/>
                <w:sz w:val="20"/>
              </w:rPr>
              <w:t>Goals mode</w:t>
            </w:r>
          </w:p>
        </w:tc>
        <w:tc>
          <w:tcPr>
            <w:tcW w:type="dxa" w:w="1417"/>
          </w:tcPr>
          <w:p>
            <w:r/>
            <w:r>
              <w:rPr>
                <w:rFonts w:ascii="Calibri" w:hAnsi="Calibri"/>
                <w:b w:val="0"/>
                <w:i w:val="0"/>
                <w:color w:val="111827"/>
                <w:sz w:val="20"/>
              </w:rPr>
              <w:t>1.12</w:t>
            </w:r>
          </w:p>
        </w:tc>
      </w:tr>
      <w:tr>
        <w:tc>
          <w:tcPr>
            <w:tcW w:type="dxa" w:w="4252"/>
            <w:shd w:fill="F3FBF5" w:val="clear"/>
          </w:tcPr>
          <w:p>
            <w:r/>
            <w:r>
              <w:rPr>
                <w:rFonts w:ascii="Calibri" w:hAnsi="Calibri"/>
                <w:b w:val="0"/>
                <w:i w:val="0"/>
                <w:color w:val="111827"/>
                <w:sz w:val="20"/>
              </w:rPr>
              <w:t>Nutrition</w:t>
            </w:r>
          </w:p>
        </w:tc>
        <w:tc>
          <w:tcPr>
            <w:tcW w:type="dxa" w:w="3685"/>
            <w:shd w:fill="F3FBF5" w:val="clear"/>
          </w:tcPr>
          <w:p>
            <w:r/>
            <w:r>
              <w:rPr>
                <w:rFonts w:ascii="Calibri" w:hAnsi="Calibri"/>
                <w:b w:val="0"/>
                <w:i w:val="0"/>
                <w:color w:val="111827"/>
                <w:sz w:val="20"/>
              </w:rPr>
              <w:t>Slow growth, no lockout</w:t>
            </w:r>
          </w:p>
        </w:tc>
        <w:tc>
          <w:tcPr>
            <w:tcW w:type="dxa" w:w="1417"/>
            <w:shd w:fill="F3FBF5" w:val="clear"/>
          </w:tcPr>
          <w:p>
            <w:r/>
            <w:r>
              <w:rPr>
                <w:rFonts w:ascii="Calibri" w:hAnsi="Calibri"/>
                <w:b w:val="0"/>
                <w:i w:val="0"/>
                <w:color w:val="111827"/>
                <w:sz w:val="20"/>
              </w:rPr>
              <w:t>1.25</w:t>
            </w:r>
          </w:p>
        </w:tc>
      </w:tr>
      <w:tr>
        <w:tc>
          <w:tcPr>
            <w:tcW w:type="dxa" w:w="4252"/>
          </w:tcPr>
          <w:p>
            <w:r/>
            <w:r>
              <w:rPr>
                <w:rFonts w:ascii="Calibri" w:hAnsi="Calibri"/>
                <w:b w:val="0"/>
                <w:i w:val="0"/>
                <w:color w:val="111827"/>
                <w:sz w:val="20"/>
              </w:rPr>
              <w:t>Nutrition</w:t>
            </w:r>
          </w:p>
        </w:tc>
        <w:tc>
          <w:tcPr>
            <w:tcW w:type="dxa" w:w="3685"/>
          </w:tcPr>
          <w:p>
            <w:r/>
            <w:r>
              <w:rPr>
                <w:rFonts w:ascii="Calibri" w:hAnsi="Calibri"/>
                <w:b w:val="0"/>
                <w:i w:val="0"/>
                <w:color w:val="111827"/>
                <w:sz w:val="20"/>
              </w:rPr>
              <w:t>Other symptom cases</w:t>
            </w:r>
          </w:p>
        </w:tc>
        <w:tc>
          <w:tcPr>
            <w:tcW w:type="dxa" w:w="1417"/>
          </w:tcPr>
          <w:p>
            <w:r/>
            <w:r>
              <w:rPr>
                <w:rFonts w:ascii="Calibri" w:hAnsi="Calibri"/>
                <w:b w:val="0"/>
                <w:i w:val="0"/>
                <w:color w:val="111827"/>
                <w:sz w:val="20"/>
              </w:rPr>
              <w:t>0.95</w:t>
            </w:r>
          </w:p>
        </w:tc>
      </w:tr>
      <w:tr>
        <w:tc>
          <w:tcPr>
            <w:tcW w:type="dxa" w:w="4252"/>
            <w:shd w:fill="F3FBF5" w:val="clear"/>
          </w:tcPr>
          <w:p>
            <w:r/>
            <w:r>
              <w:rPr>
                <w:rFonts w:ascii="Calibri" w:hAnsi="Calibri"/>
                <w:b w:val="0"/>
                <w:i w:val="0"/>
                <w:color w:val="111827"/>
                <w:sz w:val="20"/>
              </w:rPr>
              <w:t>Visual (iron colour)</w:t>
            </w:r>
          </w:p>
        </w:tc>
        <w:tc>
          <w:tcPr>
            <w:tcW w:type="dxa" w:w="3685"/>
            <w:shd w:fill="F3FBF5" w:val="clear"/>
          </w:tcPr>
          <w:p>
            <w:r/>
            <w:r>
              <w:rPr>
                <w:rFonts w:ascii="Calibri" w:hAnsi="Calibri"/>
                <w:b w:val="0"/>
                <w:i w:val="0"/>
                <w:color w:val="111827"/>
                <w:sz w:val="20"/>
              </w:rPr>
              <w:t>Yellowing ticked</w:t>
            </w:r>
          </w:p>
        </w:tc>
        <w:tc>
          <w:tcPr>
            <w:tcW w:type="dxa" w:w="1417"/>
            <w:shd w:fill="F3FBF5" w:val="clear"/>
          </w:tcPr>
          <w:p>
            <w:r/>
            <w:r>
              <w:rPr>
                <w:rFonts w:ascii="Calibri" w:hAnsi="Calibri"/>
                <w:b w:val="0"/>
                <w:i w:val="0"/>
                <w:color w:val="111827"/>
                <w:sz w:val="20"/>
              </w:rPr>
              <w:t>1.20</w:t>
            </w:r>
          </w:p>
        </w:tc>
      </w:tr>
      <w:tr>
        <w:tc>
          <w:tcPr>
            <w:tcW w:type="dxa" w:w="4252"/>
          </w:tcPr>
          <w:p>
            <w:r/>
            <w:r>
              <w:rPr>
                <w:rFonts w:ascii="Calibri" w:hAnsi="Calibri"/>
                <w:b w:val="0"/>
                <w:i w:val="0"/>
                <w:color w:val="111827"/>
                <w:sz w:val="20"/>
              </w:rPr>
              <w:t>Visual</w:t>
            </w:r>
          </w:p>
        </w:tc>
        <w:tc>
          <w:tcPr>
            <w:tcW w:type="dxa" w:w="3685"/>
          </w:tcPr>
          <w:p>
            <w:r/>
            <w:r>
              <w:rPr>
                <w:rFonts w:ascii="Calibri" w:hAnsi="Calibri"/>
                <w:b w:val="0"/>
                <w:i w:val="0"/>
                <w:color w:val="111827"/>
                <w:sz w:val="20"/>
              </w:rPr>
              <w:t>No yellowing</w:t>
            </w:r>
          </w:p>
        </w:tc>
        <w:tc>
          <w:tcPr>
            <w:tcW w:type="dxa" w:w="1417"/>
          </w:tcPr>
          <w:p>
            <w:r/>
            <w:r>
              <w:rPr>
                <w:rFonts w:ascii="Calibri" w:hAnsi="Calibri"/>
                <w:b w:val="0"/>
                <w:i w:val="0"/>
                <w:color w:val="111827"/>
                <w:sz w:val="20"/>
              </w:rPr>
              <w:t>0.70</w:t>
            </w:r>
          </w:p>
        </w:tc>
      </w:tr>
      <w:tr>
        <w:tc>
          <w:tcPr>
            <w:tcW w:type="dxa" w:w="4252"/>
            <w:shd w:fill="F3FBF5" w:val="clear"/>
          </w:tcPr>
          <w:p>
            <w:r/>
            <w:r>
              <w:rPr>
                <w:rFonts w:ascii="Calibri" w:hAnsi="Calibri"/>
                <w:b w:val="0"/>
                <w:i w:val="0"/>
                <w:color w:val="111827"/>
                <w:sz w:val="20"/>
              </w:rPr>
              <w:t>Kit / bundle</w:t>
            </w:r>
          </w:p>
        </w:tc>
        <w:tc>
          <w:tcPr>
            <w:tcW w:type="dxa" w:w="3685"/>
            <w:shd w:fill="F3FBF5" w:val="clear"/>
          </w:tcPr>
          <w:p>
            <w:r/>
            <w:r>
              <w:rPr>
                <w:rFonts w:ascii="Calibri" w:hAnsi="Calibri"/>
                <w:b w:val="0"/>
                <w:i w:val="0"/>
                <w:color w:val="111827"/>
                <w:sz w:val="20"/>
              </w:rPr>
              <w:t>Scoring only — not used as the plan</w:t>
            </w:r>
          </w:p>
        </w:tc>
        <w:tc>
          <w:tcPr>
            <w:tcW w:type="dxa" w:w="1417"/>
            <w:shd w:fill="F3FBF5" w:val="clear"/>
          </w:tcPr>
          <w:p>
            <w:r/>
            <w:r>
              <w:rPr>
                <w:rFonts w:ascii="Calibri" w:hAnsi="Calibri"/>
                <w:b w:val="0"/>
                <w:i w:val="0"/>
                <w:color w:val="111827"/>
                <w:sz w:val="20"/>
              </w:rPr>
              <w:t>1.10</w:t>
            </w:r>
          </w:p>
        </w:tc>
      </w:tr>
    </w:tbl>
    <w:p>
      <w:pPr>
        <w:spacing w:after="120"/>
      </w:pPr>
    </w:p>
    <w:p>
      <w:pPr>
        <w:spacing w:after="160" w:before="0" w:line="276" w:lineRule="auto"/>
      </w:pPr>
      <w:r>
        <w:rPr>
          <w:rFonts w:ascii="Calibri" w:hAnsi="Calibri"/>
          <w:b w:val="0"/>
          <w:i w:val="0"/>
          <w:color w:val="111827"/>
          <w:sz w:val="22"/>
        </w:rPr>
        <w:t>High-nitrogen products (MaxGreen, Activ8EXTRA) are cut 15% in summer if fungal issues are ticked.</w:t>
      </w:r>
    </w:p>
    <w:p>
      <w:pPr>
        <w:spacing w:before="240" w:after="160"/>
      </w:pPr>
      <w:r>
        <w:rPr>
          <w:rFonts w:ascii="Calibri" w:hAnsi="Calibri"/>
          <w:b/>
          <w:i w:val="0"/>
          <w:color w:val="22B14C"/>
          <w:sz w:val="26"/>
        </w:rPr>
        <w:t>When a supporting role is allowed in the stack</w:t>
      </w:r>
    </w:p>
    <w:tbl>
      <w:tblPr>
        <w:tblStyle w:val="TableGrid"/>
        <w:tblW w:type="auto" w:w="0"/>
        <w:jc w:val="center"/>
        <w:tblLook w:firstColumn="1" w:firstRow="1" w:lastColumn="0" w:lastRow="0" w:noHBand="0" w:noVBand="1" w:val="04A0"/>
      </w:tblPr>
      <w:tblGrid>
        <w:gridCol w:w="4986"/>
        <w:gridCol w:w="4986"/>
      </w:tblGrid>
      <w:tr>
        <w:tc>
          <w:tcPr>
            <w:tcW w:type="dxa" w:w="3118"/>
            <w:shd w:fill="22B14C" w:val="clear"/>
          </w:tcPr>
          <w:p>
            <w:r/>
            <w:r>
              <w:rPr>
                <w:rFonts w:ascii="Calibri" w:hAnsi="Calibri"/>
                <w:b/>
                <w:i w:val="0"/>
                <w:color w:val="FFFFFF"/>
                <w:sz w:val="20"/>
              </w:rPr>
              <w:t>Role</w:t>
            </w:r>
          </w:p>
        </w:tc>
        <w:tc>
          <w:tcPr>
            <w:tcW w:type="dxa" w:w="6236"/>
            <w:shd w:fill="22B14C" w:val="clear"/>
          </w:tcPr>
          <w:p>
            <w:r/>
            <w:r>
              <w:rPr>
                <w:rFonts w:ascii="Calibri" w:hAnsi="Calibri"/>
                <w:b/>
                <w:i w:val="0"/>
                <w:color w:val="FFFFFF"/>
                <w:sz w:val="20"/>
              </w:rPr>
              <w:t>Added when</w:t>
            </w:r>
          </w:p>
        </w:tc>
      </w:tr>
      <w:tr>
        <w:tc>
          <w:tcPr>
            <w:tcW w:type="dxa" w:w="3118"/>
          </w:tcPr>
          <w:p>
            <w:r/>
            <w:r>
              <w:rPr>
                <w:rFonts w:ascii="Calibri" w:hAnsi="Calibri"/>
                <w:b w:val="0"/>
                <w:i w:val="0"/>
                <w:color w:val="111827"/>
                <w:sz w:val="20"/>
              </w:rPr>
              <w:t>Soil structure</w:t>
            </w:r>
          </w:p>
        </w:tc>
        <w:tc>
          <w:tcPr>
            <w:tcW w:type="dxa" w:w="6236"/>
          </w:tcPr>
          <w:p>
            <w:r/>
            <w:r>
              <w:rPr>
                <w:rFonts w:ascii="Calibri" w:hAnsi="Calibri"/>
                <w:b w:val="0"/>
                <w:i w:val="0"/>
                <w:color w:val="111827"/>
                <w:sz w:val="20"/>
              </w:rPr>
              <w:t>Clay, sandy, hydrophobic, compaction, or poor water holding</w:t>
            </w:r>
          </w:p>
        </w:tc>
      </w:tr>
      <w:tr>
        <w:tc>
          <w:tcPr>
            <w:tcW w:type="dxa" w:w="3118"/>
            <w:shd w:fill="F3FBF5" w:val="clear"/>
          </w:tcPr>
          <w:p>
            <w:r/>
            <w:r>
              <w:rPr>
                <w:rFonts w:ascii="Calibri" w:hAnsi="Calibri"/>
                <w:b w:val="0"/>
                <w:i w:val="0"/>
                <w:color w:val="111827"/>
                <w:sz w:val="20"/>
              </w:rPr>
              <w:t>Soil chemistry</w:t>
            </w:r>
          </w:p>
        </w:tc>
        <w:tc>
          <w:tcPr>
            <w:tcW w:type="dxa" w:w="6236"/>
            <w:shd w:fill="F3FBF5" w:val="clear"/>
          </w:tcPr>
          <w:p>
            <w:r/>
            <w:r>
              <w:rPr>
                <w:rFonts w:ascii="Calibri" w:hAnsi="Calibri"/>
                <w:b w:val="0"/>
                <w:i w:val="0"/>
                <w:color w:val="111827"/>
                <w:sz w:val="20"/>
              </w:rPr>
              <w:t>Acidic, alkaline, or nutrient lockout</w:t>
            </w:r>
          </w:p>
        </w:tc>
      </w:tr>
      <w:tr>
        <w:tc>
          <w:tcPr>
            <w:tcW w:type="dxa" w:w="3118"/>
          </w:tcPr>
          <w:p>
            <w:r/>
            <w:r>
              <w:rPr>
                <w:rFonts w:ascii="Calibri" w:hAnsi="Calibri"/>
                <w:b w:val="0"/>
                <w:i w:val="0"/>
                <w:color w:val="111827"/>
                <w:sz w:val="20"/>
              </w:rPr>
              <w:t>Biology</w:t>
            </w:r>
          </w:p>
        </w:tc>
        <w:tc>
          <w:tcPr>
            <w:tcW w:type="dxa" w:w="6236"/>
          </w:tcPr>
          <w:p>
            <w:r/>
            <w:r>
              <w:rPr>
                <w:rFonts w:ascii="Calibri" w:hAnsi="Calibri"/>
                <w:b w:val="0"/>
                <w:i w:val="0"/>
                <w:color w:val="111827"/>
                <w:sz w:val="20"/>
              </w:rPr>
              <w:t>Always</w:t>
            </w:r>
          </w:p>
        </w:tc>
      </w:tr>
      <w:tr>
        <w:tc>
          <w:tcPr>
            <w:tcW w:type="dxa" w:w="3118"/>
            <w:shd w:fill="F3FBF5" w:val="clear"/>
          </w:tcPr>
          <w:p>
            <w:r/>
            <w:r>
              <w:rPr>
                <w:rFonts w:ascii="Calibri" w:hAnsi="Calibri"/>
                <w:b w:val="0"/>
                <w:i w:val="0"/>
                <w:color w:val="111827"/>
                <w:sz w:val="20"/>
              </w:rPr>
              <w:t>Uptake</w:t>
            </w:r>
          </w:p>
        </w:tc>
        <w:tc>
          <w:tcPr>
            <w:tcW w:type="dxa" w:w="6236"/>
            <w:shd w:fill="F3FBF5" w:val="clear"/>
          </w:tcPr>
          <w:p>
            <w:r/>
            <w:r>
              <w:rPr>
                <w:rFonts w:ascii="Calibri" w:hAnsi="Calibri"/>
                <w:b w:val="0"/>
                <w:i w:val="0"/>
                <w:color w:val="111827"/>
                <w:sz w:val="20"/>
              </w:rPr>
              <w:t>Always</w:t>
            </w:r>
          </w:p>
        </w:tc>
      </w:tr>
      <w:tr>
        <w:tc>
          <w:tcPr>
            <w:tcW w:type="dxa" w:w="3118"/>
          </w:tcPr>
          <w:p>
            <w:r/>
            <w:r>
              <w:rPr>
                <w:rFonts w:ascii="Calibri" w:hAnsi="Calibri"/>
                <w:b w:val="0"/>
                <w:i w:val="0"/>
                <w:color w:val="111827"/>
                <w:sz w:val="20"/>
              </w:rPr>
              <w:t>Nutrition (symptom mode)</w:t>
            </w:r>
          </w:p>
        </w:tc>
        <w:tc>
          <w:tcPr>
            <w:tcW w:type="dxa" w:w="6236"/>
          </w:tcPr>
          <w:p>
            <w:r/>
            <w:r>
              <w:rPr>
                <w:rFonts w:ascii="Calibri" w:hAnsi="Calibri"/>
                <w:b w:val="0"/>
                <w:i w:val="0"/>
                <w:color w:val="111827"/>
                <w:sz w:val="20"/>
              </w:rPr>
              <w:t>Slow growth, patchy lawn, weak roots, fungal issues, or poor flowering</w:t>
            </w:r>
          </w:p>
        </w:tc>
      </w:tr>
      <w:tr>
        <w:tc>
          <w:tcPr>
            <w:tcW w:type="dxa" w:w="3118"/>
            <w:shd w:fill="F3FBF5" w:val="clear"/>
          </w:tcPr>
          <w:p>
            <w:r/>
            <w:r>
              <w:rPr>
                <w:rFonts w:ascii="Calibri" w:hAnsi="Calibri"/>
                <w:b w:val="0"/>
                <w:i w:val="0"/>
                <w:color w:val="111827"/>
                <w:sz w:val="20"/>
              </w:rPr>
              <w:t>Nutrition (goals mode)</w:t>
            </w:r>
          </w:p>
        </w:tc>
        <w:tc>
          <w:tcPr>
            <w:tcW w:type="dxa" w:w="6236"/>
            <w:shd w:fill="F3FBF5" w:val="clear"/>
          </w:tcPr>
          <w:p>
            <w:r/>
            <w:r>
              <w:rPr>
                <w:rFonts w:ascii="Calibri" w:hAnsi="Calibri"/>
                <w:b w:val="0"/>
                <w:i w:val="0"/>
                <w:color w:val="111827"/>
                <w:sz w:val="20"/>
              </w:rPr>
              <w:t>Shown as “Feed with”, not mixed into the same stack loop</w:t>
            </w:r>
          </w:p>
        </w:tc>
      </w:tr>
      <w:tr>
        <w:tc>
          <w:tcPr>
            <w:tcW w:type="dxa" w:w="3118"/>
          </w:tcPr>
          <w:p>
            <w:r/>
            <w:r>
              <w:rPr>
                <w:rFonts w:ascii="Calibri" w:hAnsi="Calibri"/>
                <w:b w:val="0"/>
                <w:i w:val="0"/>
                <w:color w:val="111827"/>
                <w:sz w:val="20"/>
              </w:rPr>
              <w:t>Visual / colour</w:t>
            </w:r>
          </w:p>
        </w:tc>
        <w:tc>
          <w:tcPr>
            <w:tcW w:type="dxa" w:w="6236"/>
          </w:tcPr>
          <w:p>
            <w:r/>
            <w:r>
              <w:rPr>
                <w:rFonts w:ascii="Calibri" w:hAnsi="Calibri"/>
                <w:b w:val="0"/>
                <w:i w:val="0"/>
                <w:color w:val="111827"/>
                <w:sz w:val="20"/>
              </w:rPr>
              <w:t>Yellowing</w:t>
            </w:r>
          </w:p>
        </w:tc>
      </w:tr>
    </w:tbl>
    <w:p>
      <w:pPr>
        <w:spacing w:after="120"/>
      </w:pPr>
    </w:p>
    <w:p>
      <w:pPr>
        <w:spacing w:before="320" w:after="160"/>
      </w:pPr>
      <w:r>
        <w:rPr>
          <w:rFonts w:ascii="Calibri" w:hAnsi="Calibri"/>
          <w:b/>
          <w:i w:val="0"/>
          <w:color w:val="22B14C"/>
          <w:sz w:val="32"/>
        </w:rPr>
        <w:t>6. Hard rules (can score well and still be excluded)</w:t>
      </w:r>
    </w:p>
    <w:p>
      <w:pPr>
        <w:spacing w:after="160" w:before="0" w:line="276" w:lineRule="auto"/>
      </w:pPr>
      <w:r>
        <w:rPr>
          <w:rFonts w:ascii="Calibri" w:hAnsi="Calibri"/>
          <w:b/>
          <w:i w:val="0"/>
          <w:color w:val="111827"/>
          <w:sz w:val="22"/>
        </w:rPr>
        <w:t>These are pass/fail, not weights.</w:t>
      </w:r>
    </w:p>
    <w:p>
      <w:pPr>
        <w:spacing w:after="80" w:before="120" w:line="276" w:lineRule="auto"/>
      </w:pPr>
      <w:r>
        <w:rPr>
          <w:rFonts w:ascii="Calibri" w:hAnsi="Calibri"/>
          <w:b/>
          <w:i w:val="0"/>
          <w:color w:val="111827"/>
          <w:sz w:val="22"/>
        </w:rPr>
        <w:t>Place</w:t>
      </w:r>
    </w:p>
    <w:p>
      <w:pPr>
        <w:pStyle w:val="ListBullet"/>
        <w:spacing w:after="60"/>
        <w:ind w:left="425"/>
      </w:pPr>
      <w:r>
        <w:rPr>
          <w:rFonts w:ascii="Calibri" w:hAnsi="Calibri"/>
          <w:b w:val="0"/>
          <w:i w:val="0"/>
          <w:color w:val="111827"/>
          <w:sz w:val="22"/>
        </w:rPr>
        <w:t>Flowers, Fruits &amp; Roots is not a lawn feed.</w:t>
      </w:r>
    </w:p>
    <w:p>
      <w:pPr>
        <w:pStyle w:val="ListBullet"/>
        <w:spacing w:after="60"/>
        <w:ind w:left="425"/>
      </w:pPr>
      <w:r>
        <w:rPr>
          <w:rFonts w:ascii="Calibri" w:hAnsi="Calibri"/>
          <w:b w:val="0"/>
          <w:i w:val="0"/>
          <w:color w:val="111827"/>
          <w:sz w:val="22"/>
        </w:rPr>
        <w:t>Turf specialists (Champion, Lawn Envy, MaxGreen, lawn kits) are not used for garden beds, pots, indoor, or farm nutrition.</w:t>
      </w:r>
    </w:p>
    <w:p>
      <w:pPr>
        <w:pStyle w:val="ListBullet"/>
        <w:spacing w:after="60"/>
        <w:ind w:left="425"/>
      </w:pPr>
      <w:r>
        <w:rPr>
          <w:rFonts w:ascii="Calibri" w:hAnsi="Calibri"/>
          <w:b w:val="0"/>
          <w:i w:val="0"/>
          <w:color w:val="111827"/>
          <w:sz w:val="22"/>
        </w:rPr>
        <w:t>Granular bed/turf feeds (Roots, Shoots &amp; Leaves; Champion; FFR granular) are not the default for pots / indoor.</w:t>
      </w:r>
    </w:p>
    <w:p>
      <w:pPr>
        <w:pStyle w:val="ListBullet"/>
        <w:spacing w:after="60"/>
        <w:ind w:left="425"/>
      </w:pPr>
      <w:r>
        <w:rPr>
          <w:rFonts w:ascii="Calibri" w:hAnsi="Calibri"/>
          <w:b w:val="0"/>
          <w:i w:val="0"/>
          <w:color w:val="111827"/>
          <w:sz w:val="22"/>
        </w:rPr>
        <w:t>FFR in pots / indoor only if flowering is the job (flowering goal or “poor flowering” symptom).</w:t>
      </w:r>
    </w:p>
    <w:p>
      <w:pPr>
        <w:spacing w:after="80" w:before="160" w:line="276" w:lineRule="auto"/>
      </w:pPr>
      <w:r>
        <w:rPr>
          <w:rFonts w:ascii="Calibri" w:hAnsi="Calibri"/>
          <w:b/>
          <w:i w:val="0"/>
          <w:color w:val="111827"/>
          <w:sz w:val="22"/>
        </w:rPr>
        <w:t>Soil chemistry</w:t>
      </w:r>
    </w:p>
    <w:p>
      <w:pPr>
        <w:pStyle w:val="ListBullet"/>
        <w:spacing w:after="60"/>
        <w:ind w:left="425"/>
      </w:pPr>
      <w:r>
        <w:rPr>
          <w:rFonts w:ascii="Calibri" w:hAnsi="Calibri"/>
          <w:b w:val="0"/>
          <w:i w:val="0"/>
          <w:color w:val="111827"/>
          <w:sz w:val="22"/>
        </w:rPr>
        <w:t>Lime / dolomite only if soil is acidic (checkbox or measured pH). Never on alkaline.</w:t>
      </w:r>
    </w:p>
    <w:p>
      <w:pPr>
        <w:pStyle w:val="ListBullet"/>
        <w:spacing w:after="60"/>
        <w:ind w:left="425"/>
      </w:pPr>
      <w:r>
        <w:rPr>
          <w:rFonts w:ascii="Calibri" w:hAnsi="Calibri"/>
          <w:b w:val="0"/>
          <w:i w:val="0"/>
          <w:color w:val="111827"/>
          <w:sz w:val="22"/>
        </w:rPr>
        <w:t>Gypsum only for clay or compaction — not for “weak roots” alone.</w:t>
      </w:r>
    </w:p>
    <w:p>
      <w:pPr>
        <w:pStyle w:val="ListBullet"/>
        <w:spacing w:after="60"/>
        <w:ind w:left="425"/>
      </w:pPr>
      <w:r>
        <w:rPr>
          <w:rFonts w:ascii="Calibri" w:hAnsi="Calibri"/>
          <w:b w:val="0"/>
          <w:i w:val="0"/>
          <w:color w:val="111827"/>
          <w:sz w:val="22"/>
        </w:rPr>
        <w:t>Wetter only for hydrophobic soil or poor water holding.</w:t>
      </w:r>
    </w:p>
    <w:p>
      <w:pPr>
        <w:pStyle w:val="ListBullet"/>
        <w:spacing w:after="60"/>
        <w:ind w:left="425"/>
      </w:pPr>
      <w:r>
        <w:rPr>
          <w:rFonts w:ascii="Calibri" w:hAnsi="Calibri"/>
          <w:b w:val="0"/>
          <w:i w:val="0"/>
          <w:color w:val="111827"/>
          <w:sz w:val="22"/>
        </w:rPr>
        <w:t>Zeolite only for sandy, low organic matter, or lockout.</w:t>
      </w:r>
    </w:p>
    <w:p>
      <w:pPr>
        <w:spacing w:after="80" w:before="160" w:line="276" w:lineRule="auto"/>
      </w:pPr>
      <w:r>
        <w:rPr>
          <w:rFonts w:ascii="Calibri" w:hAnsi="Calibri"/>
          <w:b/>
          <w:i w:val="0"/>
          <w:color w:val="111827"/>
          <w:sz w:val="22"/>
        </w:rPr>
        <w:t>Program safety</w:t>
      </w:r>
    </w:p>
    <w:p>
      <w:pPr>
        <w:pStyle w:val="ListBullet"/>
        <w:spacing w:after="60"/>
        <w:ind w:left="425"/>
      </w:pPr>
      <w:r>
        <w:rPr>
          <w:rFonts w:ascii="Calibri" w:hAnsi="Calibri"/>
          <w:b w:val="0"/>
          <w:i w:val="0"/>
          <w:color w:val="111827"/>
          <w:sz w:val="22"/>
        </w:rPr>
        <w:t>Do not stack two iron products.</w:t>
      </w:r>
    </w:p>
    <w:p>
      <w:pPr>
        <w:pStyle w:val="ListBullet"/>
        <w:spacing w:after="60"/>
        <w:ind w:left="425"/>
      </w:pPr>
      <w:r>
        <w:rPr>
          <w:rFonts w:ascii="Calibri" w:hAnsi="Calibri"/>
          <w:b w:val="0"/>
          <w:i w:val="0"/>
          <w:color w:val="111827"/>
          <w:sz w:val="22"/>
        </w:rPr>
        <w:t>Do not mix lime with iron in the same plan.</w:t>
      </w:r>
    </w:p>
    <w:p>
      <w:pPr>
        <w:pStyle w:val="ListBullet"/>
        <w:spacing w:after="60"/>
        <w:ind w:left="425"/>
      </w:pPr>
      <w:r>
        <w:rPr>
          <w:rFonts w:ascii="Calibri" w:hAnsi="Calibri"/>
          <w:b w:val="0"/>
          <w:i w:val="0"/>
          <w:color w:val="111827"/>
          <w:sz w:val="22"/>
        </w:rPr>
        <w:t>Nutrient lockout: do not lead with fertiliser; unlock with biology / uptake / chemistry first.</w:t>
      </w:r>
    </w:p>
    <w:p>
      <w:pPr>
        <w:pStyle w:val="ListBullet"/>
        <w:spacing w:after="60"/>
        <w:ind w:left="425"/>
      </w:pPr>
      <w:r>
        <w:rPr>
          <w:rFonts w:ascii="Calibri" w:hAnsi="Calibri"/>
          <w:b w:val="0"/>
          <w:i w:val="0"/>
          <w:color w:val="111827"/>
          <w:sz w:val="22"/>
        </w:rPr>
        <w:t>Iron can be the hero when yellowing is the main issue and lockout is not.</w:t>
      </w:r>
    </w:p>
    <w:p>
      <w:pPr>
        <w:pStyle w:val="ListBullet"/>
        <w:spacing w:after="60"/>
        <w:ind w:left="425"/>
      </w:pPr>
      <w:r>
        <w:rPr>
          <w:rFonts w:ascii="Calibri" w:hAnsi="Calibri"/>
          <w:b w:val="0"/>
          <w:i w:val="0"/>
          <w:color w:val="111827"/>
          <w:sz w:val="22"/>
        </w:rPr>
        <w:t>Liquid iron + seaweed / humic / wetter can share a program but not a tank. The UI should warn: apply iron on a different day. Stimulizer is the uptake that can tank-mix with iron.</w:t>
      </w:r>
    </w:p>
    <w:p>
      <w:pPr>
        <w:spacing w:after="80" w:before="160" w:line="276" w:lineRule="auto"/>
      </w:pPr>
      <w:r>
        <w:rPr>
          <w:rFonts w:ascii="Calibri" w:hAnsi="Calibri"/>
          <w:b/>
          <w:i w:val="0"/>
          <w:color w:val="111827"/>
          <w:sz w:val="22"/>
        </w:rPr>
        <w:t>Biology pick</w:t>
      </w:r>
    </w:p>
    <w:p>
      <w:pPr>
        <w:pStyle w:val="ListBullet"/>
        <w:spacing w:after="60"/>
        <w:ind w:left="425"/>
      </w:pPr>
      <w:r>
        <w:rPr>
          <w:rFonts w:ascii="Calibri" w:hAnsi="Calibri"/>
          <w:b w:val="0"/>
          <w:i w:val="0"/>
          <w:color w:val="111827"/>
          <w:sz w:val="22"/>
        </w:rPr>
        <w:t>Default biology is Seaweed Secrets, not neem.</w:t>
      </w:r>
    </w:p>
    <w:p>
      <w:pPr>
        <w:pStyle w:val="ListBullet"/>
        <w:spacing w:after="60"/>
        <w:ind w:left="425"/>
      </w:pPr>
      <w:r>
        <w:rPr>
          <w:rFonts w:ascii="Calibri" w:hAnsi="Calibri"/>
          <w:b w:val="0"/>
          <w:i w:val="0"/>
          <w:color w:val="111827"/>
          <w:sz w:val="22"/>
        </w:rPr>
        <w:t>Neem is used when fungal issues or the garden pest/disease goal is on.</w:t>
      </w:r>
    </w:p>
    <w:p>
      <w:pPr>
        <w:spacing w:before="320" w:after="160"/>
      </w:pPr>
      <w:r>
        <w:rPr>
          <w:rFonts w:ascii="Calibri" w:hAnsi="Calibri"/>
          <w:b/>
          <w:i w:val="0"/>
          <w:color w:val="22B14C"/>
          <w:sz w:val="32"/>
        </w:rPr>
        <w:t>7. Extra bonuses (symptom mode)</w:t>
      </w:r>
    </w:p>
    <w:p>
      <w:pPr>
        <w:spacing w:after="160" w:before="0" w:line="276" w:lineRule="auto"/>
      </w:pPr>
      <w:r>
        <w:rPr>
          <w:rFonts w:ascii="Calibri" w:hAnsi="Calibri"/>
          <w:b w:val="0"/>
          <w:i w:val="0"/>
          <w:color w:val="111827"/>
          <w:sz w:val="22"/>
        </w:rPr>
        <w:t>On top of CSV scores, the engine nudges a few named jobs:</w:t>
      </w:r>
    </w:p>
    <w:tbl>
      <w:tblPr>
        <w:tblStyle w:val="TableGrid"/>
        <w:tblW w:type="auto" w:w="0"/>
        <w:jc w:val="center"/>
        <w:tblLook w:firstColumn="1" w:firstRow="1" w:lastColumn="0" w:lastRow="0" w:noHBand="0" w:noVBand="1" w:val="04A0"/>
      </w:tblPr>
      <w:tblGrid>
        <w:gridCol w:w="4986"/>
        <w:gridCol w:w="4986"/>
      </w:tblGrid>
      <w:tr>
        <w:tc>
          <w:tcPr>
            <w:tcW w:type="dxa" w:w="5953"/>
            <w:shd w:fill="22B14C" w:val="clear"/>
          </w:tcPr>
          <w:p>
            <w:r/>
            <w:r>
              <w:rPr>
                <w:rFonts w:ascii="Calibri" w:hAnsi="Calibri"/>
                <w:b/>
                <w:i w:val="0"/>
                <w:color w:val="FFFFFF"/>
                <w:sz w:val="20"/>
              </w:rPr>
              <w:t>Situation</w:t>
            </w:r>
          </w:p>
        </w:tc>
        <w:tc>
          <w:tcPr>
            <w:tcW w:type="dxa" w:w="3402"/>
            <w:shd w:fill="22B14C" w:val="clear"/>
          </w:tcPr>
          <w:p>
            <w:r/>
            <w:r>
              <w:rPr>
                <w:rFonts w:ascii="Calibri" w:hAnsi="Calibri"/>
                <w:b/>
                <w:i w:val="0"/>
                <w:color w:val="FFFFFF"/>
                <w:sz w:val="20"/>
              </w:rPr>
              <w:t>Nudge</w:t>
            </w:r>
          </w:p>
        </w:tc>
      </w:tr>
      <w:tr>
        <w:tc>
          <w:tcPr>
            <w:tcW w:type="dxa" w:w="5953"/>
          </w:tcPr>
          <w:p>
            <w:r/>
            <w:r>
              <w:rPr>
                <w:rFonts w:ascii="Calibri" w:hAnsi="Calibri"/>
                <w:b w:val="0"/>
                <w:i w:val="0"/>
                <w:color w:val="111827"/>
                <w:sz w:val="20"/>
              </w:rPr>
              <w:t>Lawn + yellowing + iron product</w:t>
            </w:r>
          </w:p>
        </w:tc>
        <w:tc>
          <w:tcPr>
            <w:tcW w:type="dxa" w:w="3402"/>
          </w:tcPr>
          <w:p>
            <w:r/>
            <w:r>
              <w:rPr>
                <w:rFonts w:ascii="Calibri" w:hAnsi="Calibri"/>
                <w:b w:val="0"/>
                <w:i w:val="0"/>
                <w:color w:val="111827"/>
                <w:sz w:val="20"/>
              </w:rPr>
              <w:t>+0.90 (+1.15 if alkaline)</w:t>
            </w:r>
          </w:p>
        </w:tc>
      </w:tr>
      <w:tr>
        <w:tc>
          <w:tcPr>
            <w:tcW w:type="dxa" w:w="5953"/>
            <w:shd w:fill="F3FBF5" w:val="clear"/>
          </w:tcPr>
          <w:p>
            <w:r/>
            <w:r>
              <w:rPr>
                <w:rFonts w:ascii="Calibri" w:hAnsi="Calibri"/>
                <w:b w:val="0"/>
                <w:i w:val="0"/>
                <w:color w:val="111827"/>
                <w:sz w:val="20"/>
              </w:rPr>
              <w:t>Garden / general yellowing + iron</w:t>
            </w:r>
          </w:p>
        </w:tc>
        <w:tc>
          <w:tcPr>
            <w:tcW w:type="dxa" w:w="3402"/>
            <w:shd w:fill="F3FBF5" w:val="clear"/>
          </w:tcPr>
          <w:p>
            <w:r/>
            <w:r>
              <w:rPr>
                <w:rFonts w:ascii="Calibri" w:hAnsi="Calibri"/>
                <w:b w:val="0"/>
                <w:i w:val="0"/>
                <w:color w:val="111827"/>
                <w:sz w:val="20"/>
              </w:rPr>
              <w:t>+0.55</w:t>
            </w:r>
          </w:p>
        </w:tc>
      </w:tr>
      <w:tr>
        <w:tc>
          <w:tcPr>
            <w:tcW w:type="dxa" w:w="5953"/>
          </w:tcPr>
          <w:p>
            <w:r/>
            <w:r>
              <w:rPr>
                <w:rFonts w:ascii="Calibri" w:hAnsi="Calibri"/>
                <w:b w:val="0"/>
                <w:i w:val="0"/>
                <w:color w:val="111827"/>
                <w:sz w:val="20"/>
              </w:rPr>
              <w:t>Alkaline + yellowing + Kendon chelate</w:t>
            </w:r>
          </w:p>
        </w:tc>
        <w:tc>
          <w:tcPr>
            <w:tcW w:type="dxa" w:w="3402"/>
          </w:tcPr>
          <w:p>
            <w:r/>
            <w:r>
              <w:rPr>
                <w:rFonts w:ascii="Calibri" w:hAnsi="Calibri"/>
                <w:b w:val="0"/>
                <w:i w:val="0"/>
                <w:color w:val="111827"/>
                <w:sz w:val="20"/>
              </w:rPr>
              <w:t>extra +0.25</w:t>
            </w:r>
          </w:p>
        </w:tc>
      </w:tr>
      <w:tr>
        <w:tc>
          <w:tcPr>
            <w:tcW w:type="dxa" w:w="5953"/>
            <w:shd w:fill="F3FBF5" w:val="clear"/>
          </w:tcPr>
          <w:p>
            <w:r/>
            <w:r>
              <w:rPr>
                <w:rFonts w:ascii="Calibri" w:hAnsi="Calibri"/>
                <w:b w:val="0"/>
                <w:i w:val="0"/>
                <w:color w:val="111827"/>
                <w:sz w:val="20"/>
              </w:rPr>
              <w:t>Garden + poor flowering + FFR</w:t>
            </w:r>
          </w:p>
        </w:tc>
        <w:tc>
          <w:tcPr>
            <w:tcW w:type="dxa" w:w="3402"/>
            <w:shd w:fill="F3FBF5" w:val="clear"/>
          </w:tcPr>
          <w:p>
            <w:r/>
            <w:r>
              <w:rPr>
                <w:rFonts w:ascii="Calibri" w:hAnsi="Calibri"/>
                <w:b w:val="0"/>
                <w:i w:val="0"/>
                <w:color w:val="111827"/>
                <w:sz w:val="20"/>
              </w:rPr>
              <w:t>+1.05</w:t>
            </w:r>
          </w:p>
        </w:tc>
      </w:tr>
      <w:tr>
        <w:tc>
          <w:tcPr>
            <w:tcW w:type="dxa" w:w="5953"/>
          </w:tcPr>
          <w:p>
            <w:r/>
            <w:r>
              <w:rPr>
                <w:rFonts w:ascii="Calibri" w:hAnsi="Calibri"/>
                <w:b w:val="0"/>
                <w:i w:val="0"/>
                <w:color w:val="111827"/>
                <w:sz w:val="20"/>
              </w:rPr>
              <w:t>Garden + slow growth + Roots, Shoots &amp; Leaves or Activ8Mate</w:t>
            </w:r>
          </w:p>
        </w:tc>
        <w:tc>
          <w:tcPr>
            <w:tcW w:type="dxa" w:w="3402"/>
          </w:tcPr>
          <w:p>
            <w:r/>
            <w:r>
              <w:rPr>
                <w:rFonts w:ascii="Calibri" w:hAnsi="Calibri"/>
                <w:b w:val="0"/>
                <w:i w:val="0"/>
                <w:color w:val="111827"/>
                <w:sz w:val="20"/>
              </w:rPr>
              <w:t>+0.40</w:t>
            </w:r>
          </w:p>
        </w:tc>
      </w:tr>
      <w:tr>
        <w:tc>
          <w:tcPr>
            <w:tcW w:type="dxa" w:w="5953"/>
            <w:shd w:fill="F3FBF5" w:val="clear"/>
          </w:tcPr>
          <w:p>
            <w:r/>
            <w:r>
              <w:rPr>
                <w:rFonts w:ascii="Calibri" w:hAnsi="Calibri"/>
                <w:b w:val="0"/>
                <w:i w:val="0"/>
                <w:color w:val="111827"/>
                <w:sz w:val="20"/>
              </w:rPr>
              <w:t>Garden + weak roots + Roots, Shoots &amp; Leaves</w:t>
            </w:r>
          </w:p>
        </w:tc>
        <w:tc>
          <w:tcPr>
            <w:tcW w:type="dxa" w:w="3402"/>
            <w:shd w:fill="F3FBF5" w:val="clear"/>
          </w:tcPr>
          <w:p>
            <w:r/>
            <w:r>
              <w:rPr>
                <w:rFonts w:ascii="Calibri" w:hAnsi="Calibri"/>
                <w:b w:val="0"/>
                <w:i w:val="0"/>
                <w:color w:val="111827"/>
                <w:sz w:val="20"/>
              </w:rPr>
              <w:t>+0.90</w:t>
            </w:r>
          </w:p>
        </w:tc>
      </w:tr>
      <w:tr>
        <w:tc>
          <w:tcPr>
            <w:tcW w:type="dxa" w:w="5953"/>
          </w:tcPr>
          <w:p>
            <w:r/>
            <w:r>
              <w:rPr>
                <w:rFonts w:ascii="Calibri" w:hAnsi="Calibri"/>
                <w:b w:val="0"/>
                <w:i w:val="0"/>
                <w:color w:val="111827"/>
                <w:sz w:val="20"/>
              </w:rPr>
              <w:t>Garden + weak roots (no flowering) + FFR</w:t>
            </w:r>
          </w:p>
        </w:tc>
        <w:tc>
          <w:tcPr>
            <w:tcW w:type="dxa" w:w="3402"/>
          </w:tcPr>
          <w:p>
            <w:r/>
            <w:r>
              <w:rPr>
                <w:rFonts w:ascii="Calibri" w:hAnsi="Calibri"/>
                <w:b w:val="0"/>
                <w:i w:val="0"/>
                <w:color w:val="111827"/>
                <w:sz w:val="20"/>
              </w:rPr>
              <w:t>−0.45 (don’t use flower/fruit feed for transplant shock)</w:t>
            </w:r>
          </w:p>
        </w:tc>
      </w:tr>
    </w:tbl>
    <w:p>
      <w:pPr>
        <w:spacing w:after="120"/>
      </w:pPr>
    </w:p>
    <w:p>
      <w:pPr>
        <w:spacing w:after="80" w:before="120" w:line="276" w:lineRule="auto"/>
      </w:pPr>
      <w:r>
        <w:rPr>
          <w:rFonts w:ascii="Calibri" w:hAnsi="Calibri"/>
          <w:b/>
          <w:i w:val="0"/>
          <w:color w:val="111827"/>
          <w:sz w:val="22"/>
        </w:rPr>
        <w:t>Lawn vs garden context fit</w:t>
      </w:r>
    </w:p>
    <w:p>
      <w:pPr>
        <w:pStyle w:val="ListBullet"/>
        <w:spacing w:after="60"/>
        <w:ind w:left="425"/>
      </w:pPr>
      <w:r>
        <w:rPr>
          <w:rFonts w:ascii="Calibri" w:hAnsi="Calibri"/>
          <w:b w:val="0"/>
          <w:i w:val="0"/>
          <w:color w:val="111827"/>
          <w:sz w:val="22"/>
        </w:rPr>
        <w:t>Garden place: garden-only lines (FFR, RSL, garden kits, most humics) +0.55. Activ8Mate +0.35. Activ8EXTRA −0.12. Turf specialists −1.0 (and they are already blocked).</w:t>
      </w:r>
    </w:p>
    <w:p>
      <w:pPr>
        <w:pStyle w:val="ListBullet"/>
        <w:spacing w:after="60"/>
        <w:ind w:left="425"/>
      </w:pPr>
      <w:r>
        <w:rPr>
          <w:rFonts w:ascii="Calibri" w:hAnsi="Calibri"/>
          <w:b w:val="0"/>
          <w:i w:val="0"/>
          <w:color w:val="111827"/>
          <w:sz w:val="22"/>
        </w:rPr>
        <w:t>Lawn place: products with Lawn = 0 and Garden Beds = 1 get −0.55 (stops Roots, Shoots &amp; Leaves stealing turf density goals).</w:t>
      </w:r>
    </w:p>
    <w:p>
      <w:pPr>
        <w:spacing w:before="320" w:after="160"/>
      </w:pPr>
      <w:r>
        <w:rPr>
          <w:rFonts w:ascii="Calibri" w:hAnsi="Calibri"/>
          <w:b/>
          <w:i w:val="0"/>
          <w:color w:val="22B14C"/>
          <w:sz w:val="32"/>
        </w:rPr>
        <w:t>8. Optional soil test</w:t>
      </w:r>
    </w:p>
    <w:p>
      <w:pPr>
        <w:spacing w:after="160" w:before="0" w:line="276" w:lineRule="auto"/>
      </w:pPr>
      <w:r>
        <w:rPr>
          <w:rFonts w:ascii="Calibri" w:hAnsi="Calibri"/>
          <w:b w:val="0"/>
          <w:i w:val="0"/>
          <w:color w:val="111827"/>
          <w:sz w:val="22"/>
        </w:rPr>
        <w:t>Leave blank if unused. A measured pH overrides acidic/alkaline checkboxes.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551"/>
            <w:shd w:fill="22B14C" w:val="clear"/>
          </w:tcPr>
          <w:p>
            <w:r/>
            <w:r>
              <w:rPr>
                <w:rFonts w:ascii="Calibri" w:hAnsi="Calibri"/>
                <w:b/>
                <w:i w:val="0"/>
                <w:color w:val="FFFFFF"/>
                <w:sz w:val="20"/>
              </w:rPr>
              <w:t>Method</w:t>
            </w:r>
          </w:p>
        </w:tc>
        <w:tc>
          <w:tcPr>
            <w:tcW w:type="dxa" w:w="2268"/>
            <w:shd w:fill="22B14C" w:val="clear"/>
          </w:tcPr>
          <w:p>
            <w:r/>
            <w:r>
              <w:rPr>
                <w:rFonts w:ascii="Calibri" w:hAnsi="Calibri"/>
                <w:b/>
                <w:i w:val="0"/>
                <w:color w:val="FFFFFF"/>
                <w:sz w:val="20"/>
              </w:rPr>
              <w:t>Acidic</w:t>
            </w:r>
          </w:p>
        </w:tc>
        <w:tc>
          <w:tcPr>
            <w:tcW w:type="dxa" w:w="2268"/>
            <w:shd w:fill="22B14C" w:val="clear"/>
          </w:tcPr>
          <w:p>
            <w:r/>
            <w:r>
              <w:rPr>
                <w:rFonts w:ascii="Calibri" w:hAnsi="Calibri"/>
                <w:b/>
                <w:i w:val="0"/>
                <w:color w:val="FFFFFF"/>
                <w:sz w:val="20"/>
              </w:rPr>
              <w:t>Near-neutral</w:t>
            </w:r>
          </w:p>
        </w:tc>
        <w:tc>
          <w:tcPr>
            <w:tcW w:type="dxa" w:w="2268"/>
            <w:shd w:fill="22B14C" w:val="clear"/>
          </w:tcPr>
          <w:p>
            <w:r/>
            <w:r>
              <w:rPr>
                <w:rFonts w:ascii="Calibri" w:hAnsi="Calibri"/>
                <w:b/>
                <w:i w:val="0"/>
                <w:color w:val="FFFFFF"/>
                <w:sz w:val="20"/>
              </w:rPr>
              <w:t>Alkaline</w:t>
            </w:r>
          </w:p>
        </w:tc>
      </w:tr>
      <w:tr>
        <w:tc>
          <w:tcPr>
            <w:tcW w:type="dxa" w:w="2551"/>
          </w:tcPr>
          <w:p>
            <w:r/>
            <w:r>
              <w:rPr>
                <w:rFonts w:ascii="Calibri" w:hAnsi="Calibri"/>
                <w:b w:val="0"/>
                <w:i w:val="0"/>
                <w:color w:val="111827"/>
                <w:sz w:val="20"/>
              </w:rPr>
              <w:t>Water (home kit)</w:t>
            </w:r>
          </w:p>
        </w:tc>
        <w:tc>
          <w:tcPr>
            <w:tcW w:type="dxa" w:w="2268"/>
          </w:tcPr>
          <w:p>
            <w:r/>
            <w:r>
              <w:rPr>
                <w:rFonts w:ascii="Calibri" w:hAnsi="Calibri"/>
                <w:b w:val="0"/>
                <w:i w:val="0"/>
                <w:color w:val="111827"/>
                <w:sz w:val="20"/>
              </w:rPr>
              <w:t>below ~6.0</w:t>
            </w:r>
          </w:p>
        </w:tc>
        <w:tc>
          <w:tcPr>
            <w:tcW w:type="dxa" w:w="2268"/>
          </w:tcPr>
          <w:p>
            <w:r/>
            <w:r>
              <w:rPr>
                <w:rFonts w:ascii="Calibri" w:hAnsi="Calibri"/>
                <w:b w:val="0"/>
                <w:i w:val="0"/>
                <w:color w:val="111827"/>
                <w:sz w:val="20"/>
              </w:rPr>
              <w:t>6.0–7.2</w:t>
            </w:r>
          </w:p>
        </w:tc>
        <w:tc>
          <w:tcPr>
            <w:tcW w:type="dxa" w:w="2268"/>
          </w:tcPr>
          <w:p>
            <w:r/>
            <w:r>
              <w:rPr>
                <w:rFonts w:ascii="Calibri" w:hAnsi="Calibri"/>
                <w:b w:val="0"/>
                <w:i w:val="0"/>
                <w:color w:val="111827"/>
                <w:sz w:val="20"/>
              </w:rPr>
              <w:t>above ~7.2</w:t>
            </w:r>
          </w:p>
        </w:tc>
      </w:tr>
      <w:tr>
        <w:tc>
          <w:tcPr>
            <w:tcW w:type="dxa" w:w="2551"/>
            <w:shd w:fill="F3FBF5" w:val="clear"/>
          </w:tcPr>
          <w:p>
            <w:r/>
            <w:r>
              <w:rPr>
                <w:rFonts w:ascii="Calibri" w:hAnsi="Calibri"/>
                <w:b w:val="0"/>
                <w:i w:val="0"/>
                <w:color w:val="111827"/>
                <w:sz w:val="20"/>
              </w:rPr>
              <w:t>CaCl₂ (AU lab)</w:t>
            </w:r>
          </w:p>
        </w:tc>
        <w:tc>
          <w:tcPr>
            <w:tcW w:type="dxa" w:w="2268"/>
            <w:shd w:fill="F3FBF5" w:val="clear"/>
          </w:tcPr>
          <w:p>
            <w:r/>
            <w:r>
              <w:rPr>
                <w:rFonts w:ascii="Calibri" w:hAnsi="Calibri"/>
                <w:b w:val="0"/>
                <w:i w:val="0"/>
                <w:color w:val="111827"/>
                <w:sz w:val="20"/>
              </w:rPr>
              <w:t>below ~5.3</w:t>
            </w:r>
          </w:p>
        </w:tc>
        <w:tc>
          <w:tcPr>
            <w:tcW w:type="dxa" w:w="2268"/>
            <w:shd w:fill="F3FBF5" w:val="clear"/>
          </w:tcPr>
          <w:p>
            <w:r/>
            <w:r>
              <w:rPr>
                <w:rFonts w:ascii="Calibri" w:hAnsi="Calibri"/>
                <w:b w:val="0"/>
                <w:i w:val="0"/>
                <w:color w:val="111827"/>
                <w:sz w:val="20"/>
              </w:rPr>
              <w:t>5.3–6.5</w:t>
            </w:r>
          </w:p>
        </w:tc>
        <w:tc>
          <w:tcPr>
            <w:tcW w:type="dxa" w:w="2268"/>
            <w:shd w:fill="F3FBF5" w:val="clear"/>
          </w:tcPr>
          <w:p>
            <w:r/>
            <w:r>
              <w:rPr>
                <w:rFonts w:ascii="Calibri" w:hAnsi="Calibri"/>
                <w:b w:val="0"/>
                <w:i w:val="0"/>
                <w:color w:val="111827"/>
                <w:sz w:val="20"/>
              </w:rPr>
              <w:t>above ~6.5</w:t>
            </w:r>
          </w:p>
        </w:tc>
      </w:tr>
    </w:tbl>
    <w:p>
      <w:pPr>
        <w:spacing w:after="120"/>
      </w:pPr>
    </w:p>
    <w:p>
      <w:pPr>
        <w:spacing w:after="160" w:before="0" w:line="276" w:lineRule="auto"/>
      </w:pPr>
      <w:r>
        <w:rPr>
          <w:rFonts w:ascii="Calibri" w:hAnsi="Calibri"/>
          <w:b w:val="0"/>
          <w:i w:val="0"/>
          <w:color w:val="111827"/>
          <w:sz w:val="22"/>
        </w:rPr>
        <w:t>Organic matter below 2% is treated as low OM (biology / carbon products become more relevant). A soil-test entry also slightly increases confidence.</w:t>
      </w:r>
    </w:p>
    <w:p>
      <w:pPr>
        <w:spacing w:before="320" w:after="160"/>
      </w:pPr>
      <w:r>
        <w:rPr>
          <w:rFonts w:ascii="Calibri" w:hAnsi="Calibri"/>
          <w:b/>
          <w:i w:val="0"/>
          <w:color w:val="22B14C"/>
          <w:sz w:val="32"/>
        </w:rPr>
        <w:t>9. Champion pair (lawns only)</w:t>
      </w:r>
    </w:p>
    <w:p>
      <w:pPr>
        <w:spacing w:after="160" w:before="0" w:line="276" w:lineRule="auto"/>
      </w:pPr>
      <w:r>
        <w:rPr>
          <w:rFonts w:ascii="Calibri" w:hAnsi="Calibri"/>
          <w:b w:val="0"/>
          <w:i w:val="0"/>
          <w:color w:val="111827"/>
          <w:sz w:val="22"/>
        </w:rPr>
        <w:t>Champion Fairway and Greens Grade are two intensities of the same turf fertiliser, not competing SKUs. The UI may show both:</w:t>
      </w:r>
    </w:p>
    <w:p>
      <w:pPr>
        <w:pStyle w:val="ListBullet"/>
        <w:spacing w:after="60"/>
        <w:ind w:left="425"/>
      </w:pPr>
      <w:r>
        <w:rPr>
          <w:rFonts w:ascii="Calibri" w:hAnsi="Calibri"/>
          <w:b w:val="0"/>
          <w:i w:val="0"/>
          <w:color w:val="111827"/>
          <w:sz w:val="22"/>
        </w:rPr>
        <w:t>Everyday lawns — Fairway</w:t>
      </w:r>
    </w:p>
    <w:p>
      <w:pPr>
        <w:pStyle w:val="ListBullet"/>
        <w:spacing w:after="60"/>
        <w:ind w:left="425"/>
      </w:pPr>
      <w:r>
        <w:rPr>
          <w:rFonts w:ascii="Calibri" w:hAnsi="Calibri"/>
          <w:b w:val="0"/>
          <w:i w:val="0"/>
          <w:color w:val="111827"/>
          <w:sz w:val="22"/>
        </w:rPr>
        <w:t>Fine / low-cut — Greens Grade</w:t>
      </w:r>
    </w:p>
    <w:p>
      <w:pPr>
        <w:spacing w:after="160" w:before="120" w:line="276" w:lineRule="auto"/>
      </w:pPr>
      <w:r>
        <w:rPr>
          <w:rFonts w:ascii="Calibri" w:hAnsi="Calibri"/>
          <w:b w:val="0"/>
          <w:i w:val="0"/>
          <w:color w:val="111827"/>
          <w:sz w:val="22"/>
        </w:rPr>
        <w:t>This block is off for garden beds, pots, and indoor. It appears when the user is in a lawn context and Champion is competitive vs the rest of the catalog (not on every lawn click). In lawn goals mode it must also be near the best goal-match in the catalog.</w:t>
      </w:r>
    </w:p>
    <w:p>
      <w:pPr>
        <w:spacing w:before="320" w:after="160"/>
      </w:pPr>
      <w:r>
        <w:rPr>
          <w:rFonts w:ascii="Calibri" w:hAnsi="Calibri"/>
          <w:b/>
          <w:i w:val="0"/>
          <w:color w:val="22B14C"/>
          <w:sz w:val="32"/>
        </w:rPr>
        <w:t>10. Kits</w:t>
      </w:r>
    </w:p>
    <w:p>
      <w:pPr>
        <w:spacing w:after="160" w:before="0" w:line="276" w:lineRule="auto"/>
      </w:pPr>
      <w:r>
        <w:rPr>
          <w:rFonts w:ascii="Calibri" w:hAnsi="Calibri"/>
          <w:b w:val="0"/>
          <w:i w:val="0"/>
          <w:color w:val="111827"/>
          <w:sz w:val="22"/>
        </w:rPr>
        <w:t>Kits are scored like other products but never become the default plan, even if many symptoms are ticked. They only appear under “Or use a kit”. Lawn kits for lawns; garden kits (Gardener’s Choice, soil enhancer packs) for garden users.</w:t>
      </w:r>
    </w:p>
    <w:p>
      <w:pPr>
        <w:spacing w:before="320" w:after="160"/>
      </w:pPr>
      <w:r>
        <w:rPr>
          <w:rFonts w:ascii="Calibri" w:hAnsi="Calibri"/>
          <w:b/>
          <w:i w:val="0"/>
          <w:color w:val="22B14C"/>
          <w:sz w:val="32"/>
        </w:rPr>
        <w:t>11. What testers should usually see</w:t>
      </w:r>
    </w:p>
    <w:p>
      <w:pPr>
        <w:spacing w:after="160" w:before="0" w:line="276" w:lineRule="auto"/>
      </w:pPr>
      <w:r>
        <w:rPr>
          <w:rFonts w:ascii="Calibri" w:hAnsi="Calibri"/>
          <w:b w:val="0"/>
          <w:i w:val="0"/>
          <w:color w:val="111827"/>
          <w:sz w:val="22"/>
        </w:rPr>
        <w:t>These are expected leads, not the only legal stack. Supporting seaweed / humic / Stimulizer is normal.</w:t>
      </w:r>
    </w:p>
    <w:tbl>
      <w:tblPr>
        <w:tblStyle w:val="TableGrid"/>
        <w:tblW w:type="auto" w:w="0"/>
        <w:jc w:val="center"/>
        <w:tblLook w:firstColumn="1" w:firstRow="1" w:lastColumn="0" w:lastRow="0" w:noHBand="0" w:noVBand="1" w:val="04A0"/>
      </w:tblPr>
      <w:tblGrid>
        <w:gridCol w:w="4986"/>
        <w:gridCol w:w="4986"/>
      </w:tblGrid>
      <w:tr>
        <w:tc>
          <w:tcPr>
            <w:tcW w:type="dxa" w:w="3685"/>
            <w:shd w:fill="22B14C" w:val="clear"/>
          </w:tcPr>
          <w:p>
            <w:r/>
            <w:r>
              <w:rPr>
                <w:rFonts w:ascii="Calibri" w:hAnsi="Calibri"/>
                <w:b/>
                <w:i w:val="0"/>
                <w:color w:val="FFFFFF"/>
                <w:sz w:val="20"/>
              </w:rPr>
              <w:t>Test</w:t>
            </w:r>
          </w:p>
        </w:tc>
        <w:tc>
          <w:tcPr>
            <w:tcW w:type="dxa" w:w="5669"/>
            <w:shd w:fill="22B14C" w:val="clear"/>
          </w:tcPr>
          <w:p>
            <w:r/>
            <w:r>
              <w:rPr>
                <w:rFonts w:ascii="Calibri" w:hAnsi="Calibri"/>
                <w:b/>
                <w:i w:val="0"/>
                <w:color w:val="FFFFFF"/>
                <w:sz w:val="20"/>
              </w:rPr>
              <w:t>Expect to start with (or feed with)</w:t>
            </w:r>
          </w:p>
        </w:tc>
      </w:tr>
      <w:tr>
        <w:tc>
          <w:tcPr>
            <w:tcW w:type="dxa" w:w="3685"/>
          </w:tcPr>
          <w:p>
            <w:r/>
            <w:r>
              <w:rPr>
                <w:rFonts w:ascii="Calibri" w:hAnsi="Calibri"/>
                <w:b w:val="0"/>
                <w:i w:val="0"/>
                <w:color w:val="111827"/>
                <w:sz w:val="20"/>
              </w:rPr>
              <w:t>Lawn + yellowing</w:t>
            </w:r>
          </w:p>
        </w:tc>
        <w:tc>
          <w:tcPr>
            <w:tcW w:type="dxa" w:w="5669"/>
          </w:tcPr>
          <w:p>
            <w:r/>
            <w:r>
              <w:rPr>
                <w:rFonts w:ascii="Calibri" w:hAnsi="Calibri"/>
                <w:b w:val="0"/>
                <w:i w:val="0"/>
                <w:color w:val="111827"/>
                <w:sz w:val="20"/>
              </w:rPr>
              <w:t>Liquid Iron. Champion pair may also show. Kit fold, not the hero.</w:t>
            </w:r>
          </w:p>
        </w:tc>
      </w:tr>
      <w:tr>
        <w:tc>
          <w:tcPr>
            <w:tcW w:type="dxa" w:w="3685"/>
            <w:shd w:fill="F3FBF5" w:val="clear"/>
          </w:tcPr>
          <w:p>
            <w:r/>
            <w:r>
              <w:rPr>
                <w:rFonts w:ascii="Calibri" w:hAnsi="Calibri"/>
                <w:b w:val="0"/>
                <w:i w:val="0"/>
                <w:color w:val="111827"/>
                <w:sz w:val="20"/>
              </w:rPr>
              <w:t>Lawn + yellowing + alkaline pH (~7.8 water)</w:t>
            </w:r>
          </w:p>
        </w:tc>
        <w:tc>
          <w:tcPr>
            <w:tcW w:type="dxa" w:w="5669"/>
            <w:shd w:fill="F3FBF5" w:val="clear"/>
          </w:tcPr>
          <w:p>
            <w:r/>
            <w:r>
              <w:rPr>
                <w:rFonts w:ascii="Calibri" w:hAnsi="Calibri"/>
                <w:b w:val="0"/>
                <w:i w:val="0"/>
                <w:color w:val="111827"/>
                <w:sz w:val="20"/>
              </w:rPr>
              <w:t>Kendon Iron Chelate preferred over sulphate. No lime.</w:t>
            </w:r>
          </w:p>
        </w:tc>
      </w:tr>
      <w:tr>
        <w:tc>
          <w:tcPr>
            <w:tcW w:type="dxa" w:w="3685"/>
          </w:tcPr>
          <w:p>
            <w:r/>
            <w:r>
              <w:rPr>
                <w:rFonts w:ascii="Calibri" w:hAnsi="Calibri"/>
                <w:b w:val="0"/>
                <w:i w:val="0"/>
                <w:color w:val="111827"/>
                <w:sz w:val="20"/>
              </w:rPr>
              <w:t>Lawn + acidic pH (~5.2 water)</w:t>
            </w:r>
          </w:p>
        </w:tc>
        <w:tc>
          <w:tcPr>
            <w:tcW w:type="dxa" w:w="5669"/>
          </w:tcPr>
          <w:p>
            <w:r/>
            <w:r>
              <w:rPr>
                <w:rFonts w:ascii="Calibri" w:hAnsi="Calibri"/>
                <w:b w:val="0"/>
                <w:i w:val="0"/>
                <w:color w:val="111827"/>
                <w:sz w:val="20"/>
              </w:rPr>
              <w:t>Lime/dolomite allowed if chemistry is in play; skip extra lime if pH is already OK.</w:t>
            </w:r>
          </w:p>
        </w:tc>
      </w:tr>
      <w:tr>
        <w:tc>
          <w:tcPr>
            <w:tcW w:type="dxa" w:w="3685"/>
            <w:shd w:fill="F3FBF5" w:val="clear"/>
          </w:tcPr>
          <w:p>
            <w:r/>
            <w:r>
              <w:rPr>
                <w:rFonts w:ascii="Calibri" w:hAnsi="Calibri"/>
                <w:b w:val="0"/>
                <w:i w:val="0"/>
                <w:color w:val="111827"/>
                <w:sz w:val="20"/>
              </w:rPr>
              <w:t>Lawn + thickening / density goal</w:t>
            </w:r>
          </w:p>
        </w:tc>
        <w:tc>
          <w:tcPr>
            <w:tcW w:type="dxa" w:w="5669"/>
            <w:shd w:fill="F3FBF5" w:val="clear"/>
          </w:tcPr>
          <w:p>
            <w:r/>
            <w:r>
              <w:rPr>
                <w:rFonts w:ascii="Calibri" w:hAnsi="Calibri"/>
                <w:b w:val="0"/>
                <w:i w:val="0"/>
                <w:color w:val="111827"/>
                <w:sz w:val="20"/>
              </w:rPr>
              <w:t>Champion pair as the fertiliser choice; not Flowers, Fruits &amp; Roots.</w:t>
            </w:r>
          </w:p>
        </w:tc>
      </w:tr>
      <w:tr>
        <w:tc>
          <w:tcPr>
            <w:tcW w:type="dxa" w:w="3685"/>
          </w:tcPr>
          <w:p>
            <w:r/>
            <w:r>
              <w:rPr>
                <w:rFonts w:ascii="Calibri" w:hAnsi="Calibri"/>
                <w:b w:val="0"/>
                <w:i w:val="0"/>
                <w:color w:val="111827"/>
                <w:sz w:val="20"/>
              </w:rPr>
              <w:t>Garden beds + yellowing</w:t>
            </w:r>
          </w:p>
        </w:tc>
        <w:tc>
          <w:tcPr>
            <w:tcW w:type="dxa" w:w="5669"/>
          </w:tcPr>
          <w:p>
            <w:r/>
            <w:r>
              <w:rPr>
                <w:rFonts w:ascii="Calibri" w:hAnsi="Calibri"/>
                <w:b w:val="0"/>
                <w:i w:val="0"/>
                <w:color w:val="111827"/>
                <w:sz w:val="20"/>
              </w:rPr>
              <w:t>Liquid iron is still valid (chlorosis). Kits should be garden kits, not Lawn Lovers. No Champion.</w:t>
            </w:r>
          </w:p>
        </w:tc>
      </w:tr>
      <w:tr>
        <w:tc>
          <w:tcPr>
            <w:tcW w:type="dxa" w:w="3685"/>
            <w:shd w:fill="F3FBF5" w:val="clear"/>
          </w:tcPr>
          <w:p>
            <w:r/>
            <w:r>
              <w:rPr>
                <w:rFonts w:ascii="Calibri" w:hAnsi="Calibri"/>
                <w:b w:val="0"/>
                <w:i w:val="0"/>
                <w:color w:val="111827"/>
                <w:sz w:val="20"/>
              </w:rPr>
              <w:t>Garden beds + slow growth</w:t>
            </w:r>
          </w:p>
        </w:tc>
        <w:tc>
          <w:tcPr>
            <w:tcW w:type="dxa" w:w="5669"/>
            <w:shd w:fill="F3FBF5" w:val="clear"/>
          </w:tcPr>
          <w:p>
            <w:r/>
            <w:r>
              <w:rPr>
                <w:rFonts w:ascii="Calibri" w:hAnsi="Calibri"/>
                <w:b w:val="0"/>
                <w:i w:val="0"/>
                <w:color w:val="111827"/>
                <w:sz w:val="20"/>
              </w:rPr>
              <w:t>Roots, Shoots &amp; Leaves (or Activ8Mate).</w:t>
            </w:r>
          </w:p>
        </w:tc>
      </w:tr>
      <w:tr>
        <w:tc>
          <w:tcPr>
            <w:tcW w:type="dxa" w:w="3685"/>
          </w:tcPr>
          <w:p>
            <w:r/>
            <w:r>
              <w:rPr>
                <w:rFonts w:ascii="Calibri" w:hAnsi="Calibri"/>
                <w:b w:val="0"/>
                <w:i w:val="0"/>
                <w:color w:val="111827"/>
                <w:sz w:val="20"/>
              </w:rPr>
              <w:t>Garden beds + poor flowering, or flowering goal</w:t>
            </w:r>
          </w:p>
        </w:tc>
        <w:tc>
          <w:tcPr>
            <w:tcW w:type="dxa" w:w="5669"/>
          </w:tcPr>
          <w:p>
            <w:r/>
            <w:r>
              <w:rPr>
                <w:rFonts w:ascii="Calibri" w:hAnsi="Calibri"/>
                <w:b w:val="0"/>
                <w:i w:val="0"/>
                <w:color w:val="111827"/>
                <w:sz w:val="20"/>
              </w:rPr>
              <w:t>Flowers, Fruits &amp; Roots liquid.</w:t>
            </w:r>
          </w:p>
        </w:tc>
      </w:tr>
      <w:tr>
        <w:tc>
          <w:tcPr>
            <w:tcW w:type="dxa" w:w="3685"/>
            <w:shd w:fill="F3FBF5" w:val="clear"/>
          </w:tcPr>
          <w:p>
            <w:r/>
            <w:r>
              <w:rPr>
                <w:rFonts w:ascii="Calibri" w:hAnsi="Calibri"/>
                <w:b w:val="0"/>
                <w:i w:val="0"/>
                <w:color w:val="111827"/>
                <w:sz w:val="20"/>
              </w:rPr>
              <w:t>Garden beds + planting + root goal</w:t>
            </w:r>
          </w:p>
        </w:tc>
        <w:tc>
          <w:tcPr>
            <w:tcW w:type="dxa" w:w="5669"/>
            <w:shd w:fill="F3FBF5" w:val="clear"/>
          </w:tcPr>
          <w:p>
            <w:r/>
            <w:r>
              <w:rPr>
                <w:rFonts w:ascii="Calibri" w:hAnsi="Calibri"/>
                <w:b w:val="0"/>
                <w:i w:val="0"/>
                <w:color w:val="111827"/>
                <w:sz w:val="20"/>
              </w:rPr>
              <w:t>Roots, Shoots &amp; Leaves leads.</w:t>
            </w:r>
          </w:p>
        </w:tc>
      </w:tr>
      <w:tr>
        <w:tc>
          <w:tcPr>
            <w:tcW w:type="dxa" w:w="3685"/>
          </w:tcPr>
          <w:p>
            <w:r/>
            <w:r>
              <w:rPr>
                <w:rFonts w:ascii="Calibri" w:hAnsi="Calibri"/>
                <w:b w:val="0"/>
                <w:i w:val="0"/>
                <w:color w:val="111827"/>
                <w:sz w:val="20"/>
              </w:rPr>
              <w:t>Garden beds + richer soil goal</w:t>
            </w:r>
          </w:p>
        </w:tc>
        <w:tc>
          <w:tcPr>
            <w:tcW w:type="dxa" w:w="5669"/>
          </w:tcPr>
          <w:p>
            <w:r/>
            <w:r>
              <w:rPr>
                <w:rFonts w:ascii="Calibri" w:hAnsi="Calibri"/>
                <w:b w:val="0"/>
                <w:i w:val="0"/>
                <w:color w:val="111827"/>
                <w:sz w:val="20"/>
              </w:rPr>
              <w:t>Humic / seaweed first; Activ8Mate as the feed.</w:t>
            </w:r>
          </w:p>
        </w:tc>
      </w:tr>
      <w:tr>
        <w:tc>
          <w:tcPr>
            <w:tcW w:type="dxa" w:w="3685"/>
            <w:shd w:fill="F3FBF5" w:val="clear"/>
          </w:tcPr>
          <w:p>
            <w:r/>
            <w:r>
              <w:rPr>
                <w:rFonts w:ascii="Calibri" w:hAnsi="Calibri"/>
                <w:b w:val="0"/>
                <w:i w:val="0"/>
                <w:color w:val="111827"/>
                <w:sz w:val="20"/>
              </w:rPr>
              <w:t>Pots + flowering</w:t>
            </w:r>
          </w:p>
        </w:tc>
        <w:tc>
          <w:tcPr>
            <w:tcW w:type="dxa" w:w="5669"/>
            <w:shd w:fill="F3FBF5" w:val="clear"/>
          </w:tcPr>
          <w:p>
            <w:r/>
            <w:r>
              <w:rPr>
                <w:rFonts w:ascii="Calibri" w:hAnsi="Calibri"/>
                <w:b w:val="0"/>
                <w:i w:val="0"/>
                <w:color w:val="111827"/>
                <w:sz w:val="20"/>
              </w:rPr>
              <w:t>FFR liquid, not granular RSL/FFR.</w:t>
            </w:r>
          </w:p>
        </w:tc>
      </w:tr>
      <w:tr>
        <w:tc>
          <w:tcPr>
            <w:tcW w:type="dxa" w:w="3685"/>
          </w:tcPr>
          <w:p>
            <w:r/>
            <w:r>
              <w:rPr>
                <w:rFonts w:ascii="Calibri" w:hAnsi="Calibri"/>
                <w:b w:val="0"/>
                <w:i w:val="0"/>
                <w:color w:val="111827"/>
                <w:sz w:val="20"/>
              </w:rPr>
              <w:t>Clay + compaction (any place)</w:t>
            </w:r>
          </w:p>
        </w:tc>
        <w:tc>
          <w:tcPr>
            <w:tcW w:type="dxa" w:w="5669"/>
          </w:tcPr>
          <w:p>
            <w:r/>
            <w:r>
              <w:rPr>
                <w:rFonts w:ascii="Calibri" w:hAnsi="Calibri"/>
                <w:b w:val="0"/>
                <w:i w:val="0"/>
                <w:color w:val="111827"/>
                <w:sz w:val="20"/>
              </w:rPr>
              <w:t>Gypsum is allowed.</w:t>
            </w:r>
          </w:p>
        </w:tc>
      </w:tr>
      <w:tr>
        <w:tc>
          <w:tcPr>
            <w:tcW w:type="dxa" w:w="3685"/>
            <w:shd w:fill="F3FBF5" w:val="clear"/>
          </w:tcPr>
          <w:p>
            <w:r/>
            <w:r>
              <w:rPr>
                <w:rFonts w:ascii="Calibri" w:hAnsi="Calibri"/>
                <w:b w:val="0"/>
                <w:i w:val="0"/>
                <w:color w:val="111827"/>
                <w:sz w:val="20"/>
              </w:rPr>
              <w:t>Weak roots without clay/compaction</w:t>
            </w:r>
          </w:p>
        </w:tc>
        <w:tc>
          <w:tcPr>
            <w:tcW w:type="dxa" w:w="5669"/>
            <w:shd w:fill="F3FBF5" w:val="clear"/>
          </w:tcPr>
          <w:p>
            <w:r/>
            <w:r>
              <w:rPr>
                <w:rFonts w:ascii="Calibri" w:hAnsi="Calibri"/>
                <w:b w:val="0"/>
                <w:i w:val="0"/>
                <w:color w:val="111827"/>
                <w:sz w:val="20"/>
              </w:rPr>
              <w:t>Not gypsum; garden → seaweed / RSL style feed.</w:t>
            </w:r>
          </w:p>
        </w:tc>
      </w:tr>
      <w:tr>
        <w:tc>
          <w:tcPr>
            <w:tcW w:type="dxa" w:w="3685"/>
          </w:tcPr>
          <w:p>
            <w:r/>
            <w:r>
              <w:rPr>
                <w:rFonts w:ascii="Calibri" w:hAnsi="Calibri"/>
                <w:b w:val="0"/>
                <w:i w:val="0"/>
                <w:color w:val="111827"/>
                <w:sz w:val="20"/>
              </w:rPr>
              <w:t>Nutrient lockout</w:t>
            </w:r>
          </w:p>
        </w:tc>
        <w:tc>
          <w:tcPr>
            <w:tcW w:type="dxa" w:w="5669"/>
          </w:tcPr>
          <w:p>
            <w:r/>
            <w:r>
              <w:rPr>
                <w:rFonts w:ascii="Calibri" w:hAnsi="Calibri"/>
                <w:b w:val="0"/>
                <w:i w:val="0"/>
                <w:color w:val="111827"/>
                <w:sz w:val="20"/>
              </w:rPr>
              <w:t>Don’t lead with NPK; biology/uptake/chemistry first.</w:t>
            </w:r>
          </w:p>
        </w:tc>
      </w:tr>
      <w:tr>
        <w:tc>
          <w:tcPr>
            <w:tcW w:type="dxa" w:w="3685"/>
            <w:shd w:fill="F3FBF5" w:val="clear"/>
          </w:tcPr>
          <w:p>
            <w:r/>
            <w:r>
              <w:rPr>
                <w:rFonts w:ascii="Calibri" w:hAnsi="Calibri"/>
                <w:b w:val="0"/>
                <w:i w:val="0"/>
                <w:color w:val="111827"/>
                <w:sz w:val="20"/>
              </w:rPr>
              <w:t>Iron + seaweed in the same plan</w:t>
            </w:r>
          </w:p>
        </w:tc>
        <w:tc>
          <w:tcPr>
            <w:tcW w:type="dxa" w:w="5669"/>
            <w:shd w:fill="F3FBF5" w:val="clear"/>
          </w:tcPr>
          <w:p>
            <w:r/>
            <w:r>
              <w:rPr>
                <w:rFonts w:ascii="Calibri" w:hAnsi="Calibri"/>
                <w:b w:val="0"/>
                <w:i w:val="0"/>
                <w:color w:val="111827"/>
                <w:sz w:val="20"/>
              </w:rPr>
              <w:t>Warning to apply iron on a different day.</w:t>
            </w:r>
          </w:p>
        </w:tc>
      </w:tr>
    </w:tbl>
    <w:p>
      <w:pPr>
        <w:spacing w:after="120"/>
      </w:pPr>
    </w:p>
    <w:p>
      <w:pPr>
        <w:spacing w:before="320" w:after="160"/>
      </w:pPr>
      <w:r>
        <w:rPr>
          <w:rFonts w:ascii="Calibri" w:hAnsi="Calibri"/>
          <w:b/>
          <w:i w:val="0"/>
          <w:color w:val="22B14C"/>
          <w:sz w:val="32"/>
        </w:rPr>
        <w:t>12. How to review a run</w:t>
      </w:r>
    </w:p>
    <w:p>
      <w:pPr>
        <w:pStyle w:val="ListNumber"/>
        <w:spacing w:after="60"/>
        <w:ind w:left="425"/>
      </w:pPr>
      <w:r>
        <w:rPr>
          <w:rFonts w:ascii="Calibri" w:hAnsi="Calibri"/>
          <w:b w:val="0"/>
          <w:i w:val="0"/>
          <w:color w:val="111827"/>
          <w:sz w:val="22"/>
        </w:rPr>
        <w:t>Check “Where are you using it?” — lawn vs garden changes the catalog more than any weighting.</w:t>
      </w:r>
    </w:p>
    <w:p>
      <w:pPr>
        <w:pStyle w:val="ListNumber"/>
        <w:spacing w:after="60"/>
        <w:ind w:left="425"/>
      </w:pPr>
      <w:r>
        <w:rPr>
          <w:rFonts w:ascii="Calibri" w:hAnsi="Calibri"/>
          <w:b w:val="0"/>
          <w:i w:val="0"/>
          <w:color w:val="111827"/>
          <w:sz w:val="22"/>
        </w:rPr>
        <w:t>Read the hero + numbered steps. Roles should match the table in section 5.</w:t>
      </w:r>
    </w:p>
    <w:p>
      <w:pPr>
        <w:pStyle w:val="ListNumber"/>
        <w:spacing w:after="60"/>
        <w:ind w:left="425"/>
      </w:pPr>
      <w:r>
        <w:rPr>
          <w:rFonts w:ascii="Calibri" w:hAnsi="Calibri"/>
          <w:b w:val="0"/>
          <w:i w:val="0"/>
          <w:color w:val="111827"/>
          <w:sz w:val="22"/>
        </w:rPr>
        <w:t>Open “Why we chose these” — it should mention the place, the symptoms or goals, and each step’s job.</w:t>
      </w:r>
    </w:p>
    <w:p>
      <w:pPr>
        <w:pStyle w:val="ListNumber"/>
        <w:spacing w:after="60"/>
        <w:ind w:left="425"/>
      </w:pPr>
      <w:r>
        <w:rPr>
          <w:rFonts w:ascii="Calibri" w:hAnsi="Calibri"/>
          <w:b w:val="0"/>
          <w:i w:val="0"/>
          <w:color w:val="111827"/>
          <w:sz w:val="22"/>
        </w:rPr>
        <w:t>Open “Or use a kit” only if you are checking bundles.</w:t>
      </w:r>
    </w:p>
    <w:p>
      <w:pPr>
        <w:pStyle w:val="ListNumber"/>
        <w:spacing w:after="60"/>
        <w:ind w:left="425"/>
      </w:pPr>
      <w:r>
        <w:rPr>
          <w:rFonts w:ascii="Calibri" w:hAnsi="Calibri"/>
          <w:b w:val="0"/>
          <w:i w:val="0"/>
          <w:color w:val="111827"/>
          <w:sz w:val="22"/>
        </w:rPr>
        <w:t>If a product feels wrong, ask: was it scored high, or was a better product blocked (section 6)? Blocked products cannot appear no matter how well they score.</w:t>
      </w:r>
    </w:p>
    <w:p>
      <w:pPr>
        <w:spacing w:after="160" w:before="160" w:line="276" w:lineRule="auto"/>
      </w:pPr>
      <w:r>
        <w:rPr>
          <w:rFonts w:ascii="Calibri" w:hAnsi="Calibri"/>
          <w:b w:val="0"/>
          <w:i w:val="0"/>
          <w:color w:val="111827"/>
          <w:sz w:val="22"/>
        </w:rPr>
        <w:t>CSV columns testers care about: Yellowing Leaves, Slow Growth, Weak Roots, Nutrient Lockout, Patchy Lawn, Fungal Issues, Compacted Soil, Poor Water Retention, Lawn / Garden Beds / Pots / Indoor / Farms, the soil columns, season columns, and the goal columns for that vertical.</w:t>
      </w:r>
    </w:p>
    <w:p>
      <w:pPr>
        <w:spacing w:after="160" w:before="80" w:line="276" w:lineRule="auto"/>
      </w:pPr>
      <w:r>
        <w:rPr>
          <w:rFonts w:ascii="Calibri" w:hAnsi="Calibri"/>
          <w:b w:val="0"/>
          <w:i w:val="0"/>
          <w:color w:val="6B7280"/>
          <w:sz w:val="22"/>
        </w:rPr>
        <w:t>Catalog file: plant_doctor_recommendation_engine_template.csv. Engine rules: pd_engine/. Changing a CSV cell changes ranking; changing code changes when a product is allowed in at all.</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