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rFonts w:ascii="Leelawadee UI" w:hAnsi="Leelawadee UI" w:cs="Leelawadee UI"/>
        <w:spacing w:before="480" w:after="240"/>
        <w:jc w:val="center"/>
      </w:pPr>
      <w:r>
        <w:rPr>
          <w:rFonts w:ascii="Leelawadee UI" w:hAnsi="Leelawadee UI" w:cs="Leelawadee UI"/>
        </w:rPr>
        <w:drawing>
          <wp:inline xmlns:wp="http://schemas.openxmlformats.org/drawingml/2006/wordprocessingDrawing" distT="0" distB="0" distL="0" distR="0">
            <wp:extent cx="1619250" cy="799690"/>
            <wp:effectExtent l="0" t="0" r="0" b="0"/>
            <wp:docPr id="500" name="cover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" name="cover_logo"/>
                    <pic:cNvPicPr/>
                  </pic:nvPicPr>
                  <pic:blipFill>
                    <a:blip xmlns:r="http://schemas.openxmlformats.org/officeDocument/2006/relationships"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Fonts w:ascii="Leelawadee UI" w:hAnsi="Leelawadee UI" w:cs="Leelawadee UI"/>
        <w:spacing w:before="12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บริษัท เคมีแมน จำกัด (มหาชน)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เอกสารยืนยันข้อกำหนด เพื่อลงนามอนุมัติ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(User Sign-off Specification)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Spec C การจัดการตารางข้อมูลหลัก (Master Tables)</w:t>
      </w:r>
    </w:p>
    <w:p>
      <w:pPr>
        <w:rFonts w:ascii="Leelawadee UI" w:hAnsi="Leelawadee UI" w:cs="Leelawadee UI"/>
        <w:spacing w:before="40" w:after="40"/>
        <w:jc w:val="center"/>
      </w:pPr>
      <w:r>
        <w:rPr>
          <w:rFonts w:ascii="Leelawadee UI" w:hAnsi="Leelawadee UI" w:cs="Leelawadee UI"/>
          <w:b/>
          <w:bCs/>
          <w:color w:val="000000"/>
          <w:sz w:val="28"/>
          <w:szCs w:val="28"/>
        </w:rPr>
        <w:t xml:space="preserve">Data Warehouse and BI Dashboard Budgeting and Management</w:t>
      </w:r>
    </w:p>
    <w:p>
      <w:pPr>
        <w:rFonts w:ascii="Leelawadee UI" w:hAnsi="Leelawadee UI" w:cs="Leelawadee UI"/>
        <w:spacing w:before="240" w:after="40"/>
        <w:jc w:val="center"/>
      </w:pPr>
      <w:r>
        <w:rPr>
          <w:rFonts w:ascii="Leelawadee UI" w:hAnsi="Leelawadee UI" w:cs="Leelawadee UI"/>
          <w:color w:val="6B7280"/>
          <w:sz w:val="22"/>
          <w:szCs w:val="22"/>
        </w:rPr>
        <w:t xml:space="preserve">เอกสารฉบับนี้อธิบายข้อมูลหลัก (Master Tables) จำนวน 6 ชุด ที่ผู้ดูแลระบบดูแลผ่าน ไฟล์ Excel บน SharePoint (site CMANDWPRD) และซิงค์เข้าสู่ Microsoft Fabric เพื่อให้ระบบงบประมาณและรายงานนำไปใช้งาน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ข้อมูลทั่วไป (ใช้ร่วมกับข้อมูลหลักทั้ง 6 ชุด)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ส่วนนี้ระบุผู้ที่มีสิทธิ์แก้ไขไฟล์และวิธีการซิงค์ข้อมูล ซึ่งใช้ร่วมกันกับข้อมูลหลักทั้ง 6 ชุด (Spec C-1 ถึง C-6) ในเอกสารนี้ รายละเอียดเฉพาะของแต่ละชุดอยู่ในหัวข้อของชุดนั้น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ผู้ที่ได้รับสิทธิ์แก้ไขไฟล์ Excel บน SharePoint (4 คน)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นิภาพร ทองกิ่ง — nipapornt@chememan.com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วราพร ติรสิทธิ์ — warapornt@chememan.com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ปิยะดา ดวงพลจันทร์ — piyadad@chememan.com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ทีม Data and Analytics — jakkaritw@chememan.com</w:t>
      </w:r>
    </w:p>
    <w:p>
      <w:pPr>
        <w:rFonts w:ascii="Leelawadee UI" w:hAnsi="Leelawadee UI" w:cs="Leelawadee UI"/>
        <w:spacing w:before="0" w:after="140"/>
      </w:pPr>
      <w:r>
        <w:rPr>
          <w:rFonts w:ascii="Leelawadee UI" w:hAnsi="Leelawadee UI" w:cs="Leelawadee UI"/>
          <w:sz w:val="24"/>
          <w:szCs w:val="24"/>
        </w:rPr>
        <w:t xml:space="preserve">การเข้าถึงและสิทธิ์แก้ไขไฟล์ทั้ง 6 ชุดนี้ควบคุมด้วยสิทธิ์ของไฟล์/โฟลเดอร์บน SharePoint (site CMANDWPRD) โดยตรง เฉพาะผู้ที่ได้รับสิทธิ์ข้างต้นเท่านั้นที่แก้ไขไฟล์ได้ ทั้งนี้ SharePoint บันทึกประวัติการแก้ไข (version history) ของไฟล์ให้อัตโนมัติ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การซิงค์ข้อมูลเข้าใช้งานจริง (Data sync)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ข้อมูลในไฟล์ Excel ทั้ง 6 ชุดนี้จะถูกซิงค์เข้าสู่คลังข้อมูลกลางบน Microsoft Fabric (workspace `cman-dw-ws`, lakehouse `modern_lh_cman_dw`) เพื่อให้ระบบงบประมาณและรายงานนำไปใช้งานจริง รอบเวลาการซิงค์และการตรวจสอบความถูกต้องของข้อมูล (validation) อยู่ระหว่างการออกแบบ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C-1: กลุ่มรหัสบัญชี (GL Account Group)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ข้อมูลชุดนี้ใช้จับคู่รหัสบัญชี (GL Code ซึ่งอ้างอิงจาก SAP) เข้ากับกลุ่มรหัสบัญชี (GL Group) เพื่อจัดหมวดหมู่รายการบัญชีในรายงานงบประมาณ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https://chememan.sharepoint.com/:x:/s/CMANDWPRD/IQC_moVDDg3hTLkmVE8i-KYBAeVh14KV4uhYkSRbGEVa_ms?e=hcrYBo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รหัสบัญชี (GL Code)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รหัสบัญชีจาก SAP ที่ต้องการจัดกลุ่ม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ต้องเป็นรหัสที่มีอยู่จริงใน SAP · 1 รหัสบัญชีมีได้เพียง 1 แถว (ห้ามซ้ำ)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กลุ่มรหัสบัญชี (GL Group)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ชื่อกลุ่มที่รหัสบัญชีนั้นสังกัด พิมพ์ชื่อกลุ่มลงในเซลล์ได้โดยตรง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ใช้ชื่อกลุ่มเดิมซ้ำได้ในหลายแถว (หลายรหัสอยู่กลุ่มเดียวกัน) · ต้องสะกดชื่อกลุ่มให้ตรงกันทุกแถว เพราะชื่อที่สะกดต่างกันถือเป็นคนละกลุ่ม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รหัสบัญชี จับคู่กับกลุ่มได้เพียง 1 กลุ่มเท่านั้น — ห้ามมีรหัสบัญชีซ้ำหลายแถว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รหัสบัญชีทุกตัวต้องมีอยู่จริงใน SAP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ชื่อกลุ่มพิมพ์ลงในเซลล์โดยตรง (ไม่มีตารางรหัสกลุ่มแยกต่างหาก) จึงต้องสะกดชื่อกลุ่มให้ตรงกัน ทุกแถวที่อยู่กลุ่มเดียวกัน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ปัจจุบันมี 18 กลุ่ม ครอบคลุมรหัสบัญชี 137 รายการ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C-2: วันปิดรับข้อมูลงบประมาณ (Budget Closing Date)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ข้อมูลชุดนี้ใช้กำหนดวันปิดรับข้อมูลงบประมาณของแต่ละปีงบประมาณ โดยกำหนดได้ปีละ 1 วัน วันปิดรับไม่ตายตัวและเปลี่ยนแปลงได้ทุกปีตามแผนการจัดทำงบประมาณ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https://chememan.sharepoint.com/:x:/s/CMANDWPRD/IQDwbW1vIBaHQbSIzrv7vwo9AfTn_dPM9PmCx2FokcR9HGg?e=ha7NC4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ที่จะกำหนดวันปิด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ปีงบประมาณมีได้เพียง 1 แถว (ห้ามซ้ำปี)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วันปิดรับข้อมูล (Closing Date)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วันสุดท้ายที่ผู้กรอกทั่วไปกรอกหรือแก้ไขงบของปีนั้นได้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รูปแบบวันที่ · 1 ปีงบประมาณ = 1 วันปิด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ปีงบประมาณกำหนดวันปิดได้เพียง 1 วัน (ห้ามมีปีซ้ำ)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วันปิดของแต่ละปีเปลี่ยนแปลงได้ตามแผนการจัดทำงบประมาณของปีนั้น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การนำไปใช้ปลายทาง (Downstream)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เมื่อถึงวันปิดรับของปีนั้น ระบบจะล็อกฟอร์มกรอกงบประมาณ (Submit Budget Form) ให้เป็นอ่านอย่างเดียวสำหรับผู้กรอกทั่วไป (ผู้ที่ถูกกำหนดเป็นผู้กรอกในไฟล์ Cost Center ↔ ผู้กรอก ตาม Spec C-6 และไม่ใช่ผู้ดูแลระบบ) ไม่ให้กรอกหรือแก้ไขเพิ่มเติม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ข้อยกเว้นสำคัญ (ตาม ADR-0012): การล็อกนี้ไม่ใช่การล็อกทั้งระบบ ผู้ดูแลระบบทั้ง 4 คน ยังสามารถแก้ไขและส่งงบของฝ่ายใดก็ได้หลังวันปิด โดยงบจะเข้าสถานะ APPROVED โดยตรง (ADMIN_OVERRIDE) ไม่ผ่านสายการอนุมัติ เนื่องจากผู้ดูแลระบบเป็นผู้มีอำนาจงบประมาณและเป็น ผู้เดียวที่ใช้งานระบบได้หลังวันปิด นอกจากนี้ การนำเข้างบอนุมัติ (board budget) ไม่ถูกล็อก ด้วยวันปิดนี้ เนื่องจากเป็นคนละกระบวนการกัน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C-3: การจับคู่หน่วยงานกับ Cost Center (Org Code ↔ Cost Center)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ข้อมูลชุดนี้เป็นการจับคู่หน่วยงาน (Orgcode) กับ Cost Center แบบหลายต่อหลาย (many-to-many) ใช้เป็นข้อมูลอ้างอิงเชิงองค์กร (organizational reference) สำหรับการจัดกลุ่ม และอ้างอิงหน่วยงานในรายงานงบประมาณ</w:t>
      </w:r>
    </w:p>
    <w:p>
      <w:pPr>
        <w:rFonts w:ascii="Leelawadee UI" w:hAnsi="Leelawadee UI" w:cs="Leelawadee UI"/>
        <w:spacing w:before="0" w:after="140"/>
      </w:pPr>
      <w:r>
        <w:rPr>
          <w:rFonts w:ascii="Leelawadee UI" w:hAnsi="Leelawadee UI" w:cs="Leelawadee UI"/>
          <w:sz w:val="24"/>
          <w:szCs w:val="24"/>
        </w:rPr>
        <w:t xml:space="preserve">หมายเหตุ: การกำหนดสิทธิ์การมองเห็นและกรอกข้อมูล (RLS) ของระบบงบประมาณ ใช้ไฟล์ "Cost Center ↔ ผู้กรอก" (Spec C-6) เป็นแหล่งข้อมูลเดียว ไม่ได้ใช้ไฟล์ชุดนี้ ไฟล์ชุดนี้จึงมีบทบาทเป็นข้อมูลอ้างอิงและการจัดกลุ่มในรายงานเท่านั้น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https://chememan.sharepoint.com/:x:/s/CMANDWPRD/IQDVasYILWvzSaH8sgE9lqUAAcJPgGg0B1xBJJpPZBwc1gk?e=cGfeL0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หน่วยงาน (Orgcode)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รหัสหน่วยงานจาก SAP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หน่วยงานผูกกับ Cost Center ได้หลายตัว (แยกเป็นหลายแถว)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Cost Center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 Cost Center ที่ผูกกับหน่วยงานในแถวนั้น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Cost Center ผูกกับหลายหน่วยงานได้เช่นกัน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แถว = 1 คู่ (หน่วยงาน, Cost Center) — ห้ามมีคู่ซ้ำกัน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ความสัมพันธ์เป็นแบบหลายต่อหลาย: 1 หน่วยงานผูกได้หลาย Cost Center และในทางกลับกัน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หน่วยงานหรือ Cost Center ที่ยังไม่ถูกจับคู่ มีผลเฉพาะความครบถ้วนของข้อมูลอ้างอิงในรายงานเท่านั้น ไม่กระทบต่อสิทธิ์การมองเห็นหรือกรอกข้อมูล (ซึ่งกำหนดโดยไฟล์ Spec C-6)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C-4: การซ่อนเลขที่เอกสาร (Hide Document Number)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ข้อมูลชุดนี้ใช้กำหนดว่าเลขที่เอกสาร SAP รายการใด ในงวดใด (ปี + เดือน) ที่ไม่ต้องการให้นับรวม ในยอด Actuals ของรายงานงบประมาณและ Dashboard ตัวอย่างการใช้งาน เช่น งวดที่ปิดบัญชีแล้ว รายการที่อยู่ระหว่างการตรวจสอบ หรือรายการปรับปรุงที่ไม่ควรนำมาเปรียบเทียบกับงบประมาณ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https://chememan.sharepoint.com/:x:/s/CMANDWPRD/IQCKsUvacFkxR7bsed47XApVAbIvUW7EUHdQ5JqDVI4v83U?e=klfvSS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เลขที่เอกสาร (Document Number)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เลขที่เอกสาร SAP ที่ต้องการซ่อนออกจากการคำนวณ Actuals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ต้องเป็นตัวเลข 10 หลัก · ต้องมีอยู่จริงใน SAP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ของงวดที่จะซ่อน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ระบุร่วมกับเดือนเพื่อกำหนดงวด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เดือน (Month)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เดือนของงวดที่จะซ่อน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ค่า 1–12 ตามปฏิทินงบประมาณ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ระบบไม่ได้ลบข้อมูลใน SAP แต่เพิ่มเงื่อนไขกรองออกตอนคำนวณยอด Actuals เท่านั้น ข้อมูลต้นทางใน SAP/Lakehouse ยังคงอยู่ครบถ้วน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เอกสาร + 1 งวด = 1 แถว หากต้องการซ่อนเอกสารเดิมในหลายงวด ต้องบันทึกแยกทีละแถว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เลขที่เอกสารเป็นตัวเลข 10 หลัก และต้องมีอยู่จริงใน SAP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การนำไปใช้ปลายทาง (Downstream consumption)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เมื่อบันทึกกฎการซ่อนแล้ว ระบบจะตัดเอกสารที่ซ่อนออกจากการคำนวณ Actuals โดยอัตโนมัติทุกครั้ง ที่มีการ Query ข้อมูล ผลลัพธ์คือเอกสารเหล่านั้นจะไม่ปรากฏในยอด Actuals ที่นำไปเปรียบเทียบ กับงบประมาณบน Dashboard และรายงาน</w:t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กฎนี้ทำงานร่วมกับตัวกรอง Actuals มาตรฐานอื่นที่มีอยู่แล้ว เช่น การตัดรายการประเภท doc_type = 'CO', Cost Center ที่ยกเว้น และ assignment = 'TFRS16'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C-5: อัตราแลกเปลี่ยนหลัก (Master Currency)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ข้อมูลชุดนี้ใช้กำหนดอัตราแลกเปลี่ยนเฉลี่ยรายปี (USD → THB) โดยกำหนดได้ปีละ 1 ค่า เพื่อนำไปคำนวณเบี้ยเลี้ยงการเดินทางต่างประเทศในกลุ่มค่าใช้จ่าย Travelling Expense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https://chememan.sharepoint.com/:x:/s/CMANDWPRD/IQA0wcT05ktLSrjC-K-gadGmAd7yL95o84OkEBkTsZK0pzo?e=S1seqp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(Fiscal Year)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ปีงบประมาณ (ค.ศ.) ที่จะกำหนดอัตรา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ปีงบประมาณมีได้เพียง 1 แถว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อัตราแลกเปลี่ยนเฉลี่ย USD → THB (Avg Rate)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อัตราเฉลี่ยทั้งปี เช่น 32.45 หมายถึง 1 USD = 32.45 THB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 ปีงบประมาณ = 1 อัตรา · ค่าที่รับได้อยู่ในช่วง 20.00–60.00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1 ปีงบประมาณกำหนดอัตราได้เพียง 1 ค่า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ค่าที่รับได้อยู่ในช่วง 20.00–60.00 (บาทต่อ 1 ดอลลาร์สหรัฐ)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ผลกระทบเมื่อแก้ไขอัตรา (Impact of changing a rate)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อัตราในไฟล์นี้ใช้คำนวณเฉพาะเบี้ยเลี้ยง (per-diem) การเดินทางต่างประเทศเท่านั้น ตามสูตร: จำนวนวัน × อัตราเบี้ยเลี้ยงต่อวัน (USD) × อัตราแลกเปลี่ยน ส่วนค่าตั๋วเครื่องบิน ค่าที่พัก และ ค่าใช้จ่ายเดินทางอื่น ผู้ใช้กรอกเป็นเงินบาท (THB) เองโดยตรง จึงไม่ผูกกับอัตรานี้และไม่เปลี่ยนแปลง ตามอัตรา รายการในประเทศ (สกุล THB) ก็ไม่ใช้อัตรานี้เช่นกัน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หลักการสำคัญ: เบี้ยเลี้ยงต่างประเทศคำนวณใหม่ทุกครั้งจากอัตราของปีนั้น ไม่มีการเก็บตัวเลขตายตัว (ไม่มี snapshot และไม่มีคอลัมน์ fx_rate_used) ระบบเก็บเฉพาะข้อมูลทริป (ผู้เดินทาง ตำแหน่ง ปลายทาง จำนวนวัน เดือน) ส่วนยอดเบี้ยเลี้ยง THB คำนวณจากอัตราของปีนั้นเสมอ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900"/>
        <w:gridCol w:w="3900"/>
        <w:gridCol w:w="4800"/>
      </w:tblGrid>
      <w:tr>
        <w:trPr>
          <w:tblHeader/>
        </w:trPr>
        <w:tc>
          <w:tcPr>
            <w:tcW w:w="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ลำดับ</w:t>
            </w:r>
          </w:p>
        </w:tc>
        <w:tc>
          <w:tcPr>
            <w:tcW w:w="3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เหตุการณ์</w:t>
            </w:r>
          </w:p>
        </w:tc>
        <w:tc>
          <w:tcPr>
            <w:tcW w:w="48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ผลที่เกิดขึ้น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ผู้ดูแลระบบแก้ไขอัตราของปีในไฟล์ Excel เช่น จาก 30 เป็น 35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อัตราใหม่ถูกซิงค์เข้าระบบ โดยแก้ไขได้ที่ไฟล์นี้เพียงที่เดียว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2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เบี้ยเลี้ยงต่างประเทศของปีนั้นทุกหน่วยงาน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คำนวณใหม่ทันทีด้วยอัตรา 35 รวมถึงงบที่อนุมัติแล้ว (APPROVED) โดยไม่ต้องเปิดฟอร์ม ไม่ต้อง Save และไม่ต้อง Submit ใหม่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3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ค่าตั๋ว / ค่าที่พัก / ค่าใช้จ่ายเดินทางอื่น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ไม่เปลี่ยนแปลง เนื่องจากเป็นยอด THB ที่กรอกเองโดยตรง ไม่ผูกกับอัตรา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4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ฟอร์มกรอกงบ (OPEX) ส่วนการเดินทางต่างประเทศ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แสดงอัตราแบบอ่านอย่างเดียว และคำนวณเบี้ยเลี้ยงสดตามอัตราปัจจุบัน ฟอร์มกรอกงบไม่มีช่องแก้ไขอัตรา</w:t>
            </w:r>
          </w:p>
        </w:tc>
      </w:tr>
      <w:tr>
        <w:tc>
          <w:tcPr>
            <w:tcW w:w="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5</w:t>
            </w:r>
          </w:p>
        </w:tc>
        <w:tc>
          <w:tcPr>
            <w:tcW w:w="3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Dashboard / Gold (Phase 2)</w:t>
            </w:r>
          </w:p>
        </w:tc>
        <w:tc>
          <w:tcPr>
            <w:tcW w:w="48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ยอดเบี้ยเลี้ยงเป็นค่า ณ อัตราที่ Pipeline รันรอบนั้น ซึ่งอาจเปลี่ยนได้แม้ไม่มีการส่งอนุมัติใหม่ โดยอธิบายการกระทบยอดด้วยเหตุผล "อัตราของปีถูกแก้ไข"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0" w:after="160"/>
      </w:pPr>
      <w:r>
        <w:rPr>
          <w:rFonts w:ascii="Leelawadee UI" w:hAnsi="Leelawadee UI" w:cs="Leelawadee UI"/>
          <w:sz w:val="24"/>
          <w:szCs w:val="24"/>
        </w:rPr>
        <w:t xml:space="preserve">เหตุผล (ADR-0015): อัตราแลกเปลี่ยนหลักกำหนดอัตราเดียวต่อปี และแก้ไขได้เฉพาะผู้ดูแลฝ่ายงบประมาณ ที่ได้รับสิทธิ์เท่านั้น การคำนวณใหม่ทันทีทำให้งบของปีเดียวกันทุกหน่วยงานสอดคล้องกับอัตราจริง โดยไม่ต้องเปิดหรือส่งอนุมัติทีละงบ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Spec C-6: การกำหนดผู้กรอกงบต่อ Cost Center (Cost Center ↔ ผู้กรอก)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บริบทและขอบเขต (Context)</w:t>
      </w:r>
    </w:p>
    <w:p>
      <w:pPr>
        <w:rFonts w:ascii="Leelawadee UI" w:hAnsi="Leelawadee UI" w:cs="Leelawadee UI"/>
        <w:spacing w:before="0" w:after="120"/>
      </w:pPr>
      <w:r>
        <w:rPr>
          <w:rFonts w:ascii="Leelawadee UI" w:hAnsi="Leelawadee UI" w:cs="Leelawadee UI"/>
          <w:sz w:val="24"/>
          <w:szCs w:val="24"/>
        </w:rPr>
        <w:t xml:space="preserve">ข้อมูลชุดนี้กำหนดว่าแต่ละ Cost Center ใครมีสิทธิ์กรอก (fill) ข้อมูลงบประมาณของ Cost Center นั้น และใครมีสิทธิ์มองเห็น (see) เป็นแหล่งข้อมูลเดียว (single source of truth) สำหรับสิทธิ์ การมองเห็นและการกรอกข้อมูลในระบบงบประมาณหลัก การถูกระบุเป็นผู้กรอกของ Cost Center ใด จะได้สิทธิ์กรอกของ Cost Center นั้นโดยตรง ไม่มีการตรวจสอบระดับตำแหน่งหรือ role เพิ่มเติม</w:t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ไฟล์ Excel</w:t>
      </w:r>
    </w:p>
    <w:p>
      <w:pPr>
        <w:rFonts w:ascii="Leelawadee UI" w:hAnsi="Leelawadee UI" w:cs="Leelawadee UI"/>
        <w:spacing w:before="40" w:after="12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ตำแหน่งไฟล์ — cc dept.xlsx (SharePoint site CMANDWPRD):  </w:t>
      </w:r>
      <w:r>
        <w:rPr>
          <w:rFonts w:ascii="Leelawadee UI" w:hAnsi="Leelawadee UI" w:cs="Leelawadee UI"/>
          <w:color w:val="0563C1"/>
          <w:sz w:val="20"/>
          <w:szCs w:val="20"/>
        </w:rPr>
        <w:t xml:space="preserve">https://chememan.sharepoint.com/:x:/r/sites/CMANDWPRD/_layouts/15/Doc.aspx?sourcedoc=%7B0A67CF18-2BFB-4D99-A8A4-BF2E9EF3A000%7D&amp;file=cc%20dept.xlsx</w:t>
      </w:r>
    </w:p>
    <w:p>
      <w:pPr>
        <w:rFonts w:ascii="Leelawadee UI" w:hAnsi="Leelawadee UI" w:cs="Leelawadee UI"/>
        <w:spacing w:before="100" w:after="40"/>
      </w:pPr>
      <w:r>
        <w:rPr>
          <w:rFonts w:ascii="Leelawadee UI" w:hAnsi="Leelawadee UI" w:cs="Leelawadee UI"/>
          <w:b/>
          <w:bCs/>
          <w:color w:val="000000"/>
          <w:sz w:val="24"/>
          <w:szCs w:val="24"/>
        </w:rPr>
        <w:t xml:space="preserve">โครงสร้างคอลัมน์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2500"/>
        <w:gridCol w:w="3400"/>
        <w:gridCol w:w="3700"/>
      </w:tblGrid>
      <w:tr>
        <w:trPr>
          <w:tblHeader/>
        </w:trPr>
        <w:tc>
          <w:tcPr>
            <w:tcW w:w="2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คอลัมน์</w:t>
            </w:r>
          </w:p>
        </w:tc>
        <w:tc>
          <w:tcPr>
            <w:tcW w:w="34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ความหมาย</w:t>
            </w:r>
          </w:p>
        </w:tc>
        <w:tc>
          <w:tcPr>
            <w:tcW w:w="3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กติกา / เงื่อนไขข้อมูล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Cost Center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รหัส Cost Center ที่ต้องการกำหนดผู้กรอก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คีย์หลัก · 1 Cost Center มีได้เพียง 1 แถว</w:t>
            </w:r>
          </w:p>
        </w:tc>
      </w:tr>
      <w:tr>
        <w:tc>
          <w:tcPr>
            <w:tcW w:w="2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คนกรอกข้อมูล (Filler)</w:t>
            </w:r>
          </w:p>
        </w:tc>
        <w:tc>
          <w:tcPr>
            <w:tcW w:w="34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อีเมลของผู้ที่ได้รับสิทธิ์กรอกงบของ Cost Center นั้น</w:t>
            </w:r>
          </w:p>
        </w:tc>
        <w:tc>
          <w:tcPr>
            <w:tcW w:w="3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ระบุได้ตั้งแต่ 1 อีเมลขึ้นไปในเซลล์เดียว โดยคั่นแต่ละอีเมลด้วยเครื่องหมายจุลภาค (,)</w:t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p>
      <w:pPr>
        <w:rFonts w:ascii="Leelawadee UI" w:hAnsi="Leelawadee UI" w:cs="Leelawadee UI"/>
        <w:spacing w:before="160" w:after="60"/>
        <w:keepNext/>
      </w:pPr>
      <w:r>
        <w:rPr>
          <w:rFonts w:ascii="Leelawadee UI" w:hAnsi="Leelawadee UI" w:cs="Leelawadee UI"/>
          <w:b/>
          <w:bCs/>
          <w:color w:val="1F3864"/>
          <w:sz w:val="26"/>
          <w:szCs w:val="26"/>
        </w:rPr>
        <w:t xml:space="preserve">หลักการสำคัญ / กติกาการกรอกข้อมูล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สิทธิ์กรอก (fill) = อีเมลที่ปรากฏในแถวของ Cost Center นั้นเท่านั้น — ถูกระบุคือได้สิทธิ์กรอกทันที ไม่มีเงื่อนไขระดับตำแหน่งเพิ่มเติม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สิทธิ์มองเห็น (see) = ผู้กรอกของ Cost Center นั้น รวมกับผู้จัดการโดยตรงของผู้กรอกแต่ละคน (ดูจากข้อมูลพนักงาน `mas_employee_data.managerempcode`) โดยผู้จัดการมองเห็นได้แต่กรอกไม่ได้ เว้นแต่จะถูกระบุเป็นผู้กรอกด้วย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Cost Center ที่ไม่มีผู้กรอกเลย จะไม่มีผู้รับผิดชอบ — ไม่มีใครกรอก/มองเห็นได้จนกว่าจะเพิ่มอีเมลผู้กรอกลงในแถวนั้น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การกำหนดสายการอนุมัติหลังส่งงบ (ผู้จัดการโดยตรงของผู้ส่ง → คุณนิภาพร → คุณวราพร) ไม่เปลี่ยนแปลง ไฟล์นี้กำหนดเฉพาะว่าใครกรอก/มองเห็นได้ ไม่เกี่ยวกับผู้อนุมัติ</w:t>
      </w:r>
    </w:p>
    <w:p>
      <w:pPr>
        <w:rFonts w:ascii="Leelawadee UI" w:hAnsi="Leelawadee UI" w:cs="Leelawadee UI"/>
        <w:spacing w:before="0" w:after="50"/>
      </w:pPr>
      <w:r>
        <w:rPr>
          <w:rFonts w:ascii="Leelawadee UI" w:hAnsi="Leelawadee UI" w:cs="Leelawadee UI"/>
          <w:sz w:val="24"/>
          <w:szCs w:val="24"/>
        </w:rPr>
        <w:t xml:space="preserve">•  ตอนซิงค์ข้อมูล แถวที่เว้นช่องผู้กรอกว่างไว้จะถูกข้ามเฉพาะแถวนั้น ส่วนแถวอื่นในไฟล์ยังซิงค์ตามปกติ (ตัวอย่าง: ไฟล์มี 200 แถว มี 3 แถวที่เว้นช่องผู้กรอกว่าง → ระบบซิงค์ 197 แถว และข้าม 3 แถวนั้นไป จนกว่าจะเติมอีเมลผู้กรอกให้ครบ)</w:t>
      </w:r>
    </w:p>
    <w:p>
      <w:pPr>
        <w:pageBreakBefore/>
        <w:rFonts w:ascii="Leelawadee UI" w:hAnsi="Leelawadee UI" w:cs="Leelawadee UI"/>
        <w:spacing w:before="0" w:after="120"/>
        <w:keepNext/>
      </w:pPr>
      <w:r>
        <w:rPr>
          <w:rFonts w:ascii="Leelawadee UI" w:hAnsi="Leelawadee UI" w:cs="Leelawadee UI"/>
          <w:b/>
          <w:bCs/>
          <w:color w:val="0F4761"/>
          <w:sz w:val="32"/>
          <w:szCs w:val="32"/>
        </w:rPr>
        <w:t xml:space="preserve">ช่องลงนามอนุมัติ</w:t>
      </w:r>
    </w:p>
    <w:tbl>
      <w:tblPr>
        <w:tblW w:w="5000" w:type="pct"/>
        <w:tblBorders>
          <w:top w:val="single" w:sz="4" w:space="0" w:color="9DB7D5"/>
          <w:left w:val="single" w:sz="4" w:space="0" w:color="9DB7D5"/>
          <w:bottom w:val="single" w:sz="4" w:space="0" w:color="9DB7D5"/>
          <w:right w:val="single" w:sz="4" w:space="0" w:color="9DB7D5"/>
          <w:insideH w:val="single" w:sz="4" w:space="0" w:color="C7D6EA"/>
          <w:insideV w:val="single" w:sz="4" w:space="0" w:color="C7D6EA"/>
        </w:tblBorders>
        <w:tblLayout w:type="fixed"/>
      </w:tblPr>
      <w:tblGrid>
        <w:gridCol w:w="1500"/>
        <w:gridCol w:w="2700"/>
        <w:gridCol w:w="2900"/>
        <w:gridCol w:w="1300"/>
        <w:gridCol w:w="1200"/>
      </w:tblGrid>
      <w:tr>
        <w:trPr>
          <w:tblHeader/>
        </w:trPr>
        <w:tc>
          <w:tcPr>
            <w:tcW w:w="15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บทบาท</w:t>
            </w:r>
          </w:p>
        </w:tc>
        <w:tc>
          <w:tcPr>
            <w:tcW w:w="27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ชื่อ-นามสกุล</w:t>
            </w:r>
          </w:p>
        </w:tc>
        <w:tc>
          <w:tcPr>
            <w:tcW w:w="29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ตำแหน่ง</w:t>
            </w:r>
          </w:p>
        </w:tc>
        <w:tc>
          <w:tcPr>
            <w:tcW w:w="13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ลายเซ็น</w:t>
            </w:r>
          </w:p>
        </w:tc>
        <w:tc>
          <w:tcPr>
            <w:tcW w:w="1200" w:type="dxa"/>
            <w:shd w:val="clear" w:color="auto" w:fill="D6E4F0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b/>
                <w:bCs/>
                <w:color w:val="0F4761"/>
                <w:sz w:val="20"/>
                <w:szCs w:val="20"/>
              </w:rPr>
              <w:t xml:space="preserve">วันที่</w:t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ผู้จัดทำ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Jakkarit Wanichkamonnull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STEM - Data &amp; Analytics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11/07/2026</w:t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Laddawan Kearnoi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Data &amp; Analytic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ผู้ตรวจสอบ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Nipaporn Tongking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Senior Associate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w="15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ผู้อนุมัติ</w:t>
            </w:r>
          </w:p>
        </w:tc>
        <w:tc>
          <w:tcPr>
            <w:tcW w:w="27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Waraporn Tirasit</w:t>
            </w:r>
          </w:p>
        </w:tc>
        <w:tc>
          <w:tcPr>
            <w:tcW w:w="29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>Assistant Department Head - Budgeting and Management Accounting</w:t>
            </w:r>
          </w:p>
        </w:tc>
        <w:tc>
          <w:tcPr>
            <w:tcW w:w="13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  <w:tc>
          <w:tcPr>
            <w:tcW w:w="1200" w:type="dxa"/>
            <w:tcMar>
              <w:top w:w="40" w:type="dxa"/>
              <w:bottom w:w="40" w:type="dxa"/>
              <w:left w:w="90" w:type="dxa"/>
              <w:right w:w="90" w:type="dxa"/>
            </w:tcMar>
            <w:vAlign w:val="center"/>
          </w:tcPr>
          <w:p>
            <w:pPr>
              <w:rFonts w:ascii="Leelawadee UI" w:hAnsi="Leelawadee UI" w:cs="Leelawadee UI"/>
              <w:spacing w:before="20" w:after="20"/>
            </w:pPr>
            <w:r>
              <w:rPr>
                <w:rFonts w:ascii="Leelawadee UI" w:hAnsi="Leelawadee UI" w:cs="Leelawadee UI"/>
                <w:sz w:val="20"/>
                <w:szCs w:val="20"/>
              </w:rPr>
              <w:t xml:space="preserve"/>
            </w:r>
          </w:p>
        </w:tc>
      </w:tr>
    </w:tbl>
    <w:p>
      <w:pPr>
        <w:rFonts w:ascii="Leelawadee UI" w:hAnsi="Leelawadee UI" w:cs="Leelawadee UI"/>
        <w:spacing w:before="0" w:after="80"/>
      </w:pPr>
      <w:r>
        <w:rPr>
          <w:rFonts w:ascii="Leelawadee UI" w:hAnsi="Leelawadee UI" w:cs="Leelawadee UI"/>
          <w:sz w:val="8"/>
          <w:szCs w:val="8"/>
        </w:rPr>
        <w:t xml:space="preserve"/>
      </w:r>
    </w:p>
    <w:sectPr>
      <w:headerReference w:type="default" r:id="rIdHdr"/>
      <w:footerReference w:type="default" r:id="rIdFtr"/>
      <w:pgSz w:w="11906" w:h="16838"/>
      <w:pgMar w:top="1440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val="single" w:sz="4" w:space="0" w:color="C7D6EA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</w:tblPr>
    <w:tblGrid>
      <w:gridCol w:w="7600"/>
      <w:gridCol w:w="2000"/>
    </w:tblGrid>
    <w:tr>
      <w:tc>
        <w:tcPr>
          <w:tcW w:w="7600" w:type="dxa"/>
        </w:tcPr>
        <w:p>
          <w:pPr>
            <w:spacing w:after="0"/>
          </w:pPr>
          <w:r>
            <w:rPr>
              <w:rFonts w:ascii="Leelawadee UI" w:hAnsi="Leelawadee UI" w:cs="Leelawadee UI"/>
              <w:color w:val="6B7280"/>
              <w:sz w:val="18"/>
              <w:szCs w:val="18"/>
            </w:rPr>
            <w:t xml:space="preserve">Data Warehouse and BI Dashboard Budgeting and Management</w:t>
          </w:r>
        </w:p>
      </w:tc>
      <w:tc>
        <w:tcPr>
          <w:tcW w:w="2000" w:type="dxa"/>
        </w:tcPr>
        <w:p>
          <w:pPr>
            <w:spacing w:after="0"/>
            <w:jc w:val="right"/>
          </w:pPr>
          <w:r>
            <w:rPr>
              <w:rFonts w:ascii="Leelawadee UI" w:hAnsi="Leelawadee UI" w:cs="Leelawadee UI"/>
              <w:sz w:val="18"/>
              <w:szCs w:val="18"/>
              <w:color w:val="6B7280"/>
            </w:rPr>
            <w:t xml:space="preserve">หน้าที่ </w:t>
          </w:r>
          <w:r>
            <w:rPr>
              <w:sz w:val="18"/>
              <w:szCs w:val="18"/>
              <w:color w:val="6B7280"/>
            </w:rPr>
            <w:fldChar w:fldCharType="begin"/>
          </w:r>
          <w:r>
            <w:rPr>
              <w:sz w:val="18"/>
              <w:szCs w:val="18"/>
              <w:color w:val="6B7280"/>
            </w:rPr>
            <w:instrText xml:space="preserve"> PAGE </w:instrText>
          </w:r>
          <w:r>
            <w:rPr>
              <w:sz w:val="18"/>
              <w:szCs w:val="18"/>
              <w:color w:val="6B7280"/>
            </w:rPr>
            <w:fldChar w:fldCharType="separate"/>
          </w:r>
          <w:r>
            <w:rPr>
              <w:sz w:val="18"/>
              <w:szCs w:val="18"/>
              <w:color w:val="6B7280"/>
            </w:rPr>
            <w:t>1</w:t>
          </w:r>
          <w:r>
            <w:rPr>
              <w:sz w:val="18"/>
              <w:szCs w:val="18"/>
              <w:color w:val="6B7280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rFonts w:ascii="Leelawadee UI" w:hAnsi="Leelawadee UI" w:cs="Leelawadee UI"/>
      <w:spacing w:after="0"/>
    </w:pPr>
    <w:r>
      <w:rPr>
        <w:rFonts w:ascii="Leelawadee UI" w:hAnsi="Leelawadee UI" w:cs="Leelawadee UI"/>
      </w:rPr>
      <w:drawing>
        <wp:inline xmlns:wp="http://schemas.openxmlformats.org/drawingml/2006/wordprocessingDrawing" distT="0" distB="0" distL="0" distR="0">
          <wp:extent cx="857250" cy="423365"/>
          <wp:effectExtent l="0" t="0" r="0" b="0"/>
          <wp:docPr id="600" name="header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0" name="header_logo"/>
                  <pic:cNvPicPr/>
                </pic:nvPicPr>
                <pic:blipFill>
                  <a:blip xmlns:r="http://schemas.openxmlformats.org/officeDocument/2006/relationships" r:embed="rIdHdrLogo"/>
                  <a:stretch>
                    <a:fillRect/>
                  </a:stretch>
                </pic:blipFill>
                <pic:spPr>
                  <a:xfrm>
                    <a:off x="0" y="0"/>
                    <a:ext cx="857250" cy="4233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เอกสารยืนยันข้อกำหนด เพื่อลงนามอนุมัติ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Data Warehouse and BI Dashboard Budgeting and Management</w:t>
    </w:r>
  </w:p>
  <w:p>
    <w:pPr>
      <w:rFonts w:ascii="Leelawadee UI" w:hAnsi="Leelawadee UI" w:cs="Leelawadee UI"/>
      <w:spacing w:before="0" w:after="0"/>
      <w:jc w:val="right"/>
    </w:pPr>
    <w:r>
      <w:rPr>
        <w:rFonts w:ascii="Leelawadee UI" w:hAnsi="Leelawadee UI" w:cs="Leelawadee UI"/>
        <w:color w:val="6B7280"/>
        <w:sz w:val="16"/>
        <w:szCs w:val="16"/>
      </w:rPr>
      <w:t xml:space="preserve">Spec C การจัดการตารางข้อมูลหลัก (Master Tables)</w:t>
    </w:r>
  </w:p>
</w:hdr>
</file>

<file path=word/_rels/document.xml.rels><?xml version="1.0" encoding="UTF-8" standalone="yes"?><Relationships xmlns="http://schemas.openxmlformats.org/package/2006/relationships"><Relationship Id="rIdImg" Type="http://schemas.openxmlformats.org/officeDocument/2006/relationships/image" Target="media/image1.jpeg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HdrLogo" Type="http://schemas.openxmlformats.org/officeDocument/2006/relationships/image" Target="media/image1.jpeg"/></Relationships>
</file>