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 Load all packages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library(reshape2)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library(ggthemes)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 Script generalized into a function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mosaicGG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 BMI described by age (as previously seen)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mosaicGG(adult, X = "SRAGE_P", FILL = "RBMI")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 Poverty described by 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mosaicGG(adult, X = "SRAGE_P", FILL = "POVLL")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 mtcars: am described by cyl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mosaicGG(mtcars, X ="cyl", FILL ="am")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 Vocab: vocabulary described by education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library(carData)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mosaicGG(Vocab, X = "education", FILL = "vocabulary")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