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B0" w:rsidRPr="0027357F" w:rsidRDefault="007F56B0" w:rsidP="007F56B0">
      <w:pPr>
        <w:spacing w:after="120"/>
        <w:jc w:val="center"/>
        <w:rPr>
          <w:rFonts w:ascii="Calibri" w:hAnsi="Calibri" w:cs="Arial"/>
          <w:b/>
          <w:sz w:val="28"/>
          <w:szCs w:val="28"/>
        </w:rPr>
      </w:pPr>
      <w:r w:rsidRPr="0027357F">
        <w:rPr>
          <w:rFonts w:ascii="Calibri" w:hAnsi="Calibri" w:cs="Arial"/>
          <w:b/>
          <w:sz w:val="28"/>
          <w:szCs w:val="28"/>
        </w:rPr>
        <w:t>Perdidos en la Luna</w:t>
      </w:r>
      <w:bookmarkStart w:id="0" w:name="_GoBack"/>
      <w:bookmarkEnd w:id="0"/>
    </w:p>
    <w:p w:rsidR="007F56B0" w:rsidRPr="0027357F" w:rsidRDefault="007F56B0" w:rsidP="007F56B0">
      <w:pPr>
        <w:spacing w:after="120"/>
        <w:ind w:firstLine="708"/>
        <w:jc w:val="both"/>
        <w:rPr>
          <w:rFonts w:ascii="Calibri" w:eastAsia="Arial Unicode MS" w:hAnsi="Calibri"/>
        </w:rPr>
      </w:pPr>
      <w:r w:rsidRPr="0027357F">
        <w:rPr>
          <w:rFonts w:ascii="Calibri" w:eastAsia="Arial Unicode MS" w:hAnsi="Calibri"/>
        </w:rPr>
        <w:t>Imagínate que eres un miembro de una tripulación espacial que originariamente debía reunirse con el vehículo madre en la cara iluminada de la Luna. Debido a dificultades técnicas, tu vehículo se vio obligado a alunizar a unos 150 kilómetros del punto previsto, donde se encuentra el vehículo madre. Durante el alunizaje, gran parte del material de a bordo se estropeó, y dado que la supervivencia depende de que se llegue al vehículo madre, debes escoger de entre los materiales disponibles los más necesarios para el trayecto de los 150 Km. A continuación hay una lista de 15 elementos que han quedado intactos, sin estropearse, después del alunizaje. Tu tarea consiste en ponerlos por orden de prioridad para que tu tripulación pueda llegar al punto de destino. Coloca el número 1 ante el elemento más necesario, 2 ante el siguiente, y así con los demás hasta que llegues al número 15, el menos necesario.</w:t>
      </w:r>
    </w:p>
    <w:p w:rsidR="007F56B0" w:rsidRPr="0027357F" w:rsidRDefault="007F56B0" w:rsidP="007F56B0">
      <w:pPr>
        <w:autoSpaceDE w:val="0"/>
        <w:autoSpaceDN w:val="0"/>
        <w:adjustRightInd w:val="0"/>
        <w:spacing w:after="120"/>
        <w:rPr>
          <w:rFonts w:ascii="Calibri" w:hAnsi="Calibri"/>
        </w:rPr>
      </w:pPr>
      <w:r w:rsidRPr="0027357F">
        <w:rPr>
          <w:rFonts w:ascii="Calibri" w:hAnsi="Calibri"/>
          <w:b/>
          <w:bCs/>
        </w:rPr>
        <w:t>Objetos encontrados en la nave</w:t>
      </w:r>
    </w:p>
    <w:tbl>
      <w:tblPr>
        <w:tblW w:w="8478" w:type="dxa"/>
        <w:tblBorders>
          <w:top w:val="nil"/>
          <w:left w:val="nil"/>
          <w:bottom w:val="nil"/>
          <w:right w:val="nil"/>
        </w:tblBorders>
        <w:tblLook w:val="0000" w:firstRow="0" w:lastRow="0" w:firstColumn="0" w:lastColumn="0" w:noHBand="0" w:noVBand="0"/>
      </w:tblPr>
      <w:tblGrid>
        <w:gridCol w:w="507"/>
        <w:gridCol w:w="3381"/>
        <w:gridCol w:w="2250"/>
        <w:gridCol w:w="2340"/>
      </w:tblGrid>
      <w:tr w:rsidR="007F56B0" w:rsidRPr="00FD0E05" w:rsidTr="003312FF">
        <w:trPr>
          <w:trHeight w:val="543"/>
        </w:trPr>
        <w:tc>
          <w:tcPr>
            <w:tcW w:w="507"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3381"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250"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proofErr w:type="spellStart"/>
            <w:r w:rsidRPr="00FD0E05">
              <w:rPr>
                <w:rFonts w:ascii="Calibri" w:hAnsi="Calibri"/>
                <w:b/>
                <w:sz w:val="18"/>
                <w:szCs w:val="18"/>
              </w:rPr>
              <w:t>Resp</w:t>
            </w:r>
            <w:proofErr w:type="spellEnd"/>
            <w:r w:rsidRPr="00FD0E05">
              <w:rPr>
                <w:rFonts w:ascii="Calibri" w:hAnsi="Calibri"/>
                <w:b/>
                <w:sz w:val="18"/>
                <w:szCs w:val="18"/>
              </w:rPr>
              <w:t xml:space="preserve">. </w:t>
            </w:r>
            <w:proofErr w:type="spellStart"/>
            <w:proofErr w:type="gramStart"/>
            <w:r w:rsidRPr="00FD0E05">
              <w:rPr>
                <w:rFonts w:ascii="Calibri" w:hAnsi="Calibri"/>
                <w:b/>
                <w:sz w:val="18"/>
                <w:szCs w:val="18"/>
              </w:rPr>
              <w:t>indiv</w:t>
            </w:r>
            <w:proofErr w:type="spellEnd"/>
            <w:proofErr w:type="gramEnd"/>
            <w:r w:rsidRPr="00FD0E05">
              <w:rPr>
                <w:rFonts w:ascii="Calibri" w:hAnsi="Calibri"/>
                <w:b/>
                <w:sz w:val="18"/>
                <w:szCs w:val="18"/>
              </w:rPr>
              <w:t xml:space="preserve">. </w:t>
            </w:r>
          </w:p>
        </w:tc>
        <w:tc>
          <w:tcPr>
            <w:tcW w:w="2340"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proofErr w:type="spellStart"/>
            <w:r w:rsidRPr="00FD0E05">
              <w:rPr>
                <w:rFonts w:ascii="Calibri" w:hAnsi="Calibri"/>
                <w:b/>
                <w:sz w:val="18"/>
                <w:szCs w:val="18"/>
              </w:rPr>
              <w:t>Resp</w:t>
            </w:r>
            <w:proofErr w:type="spellEnd"/>
            <w:r w:rsidRPr="00FD0E05">
              <w:rPr>
                <w:rFonts w:ascii="Calibri" w:hAnsi="Calibri"/>
                <w:b/>
                <w:sz w:val="18"/>
                <w:szCs w:val="18"/>
              </w:rPr>
              <w:t xml:space="preserve">. grupo </w:t>
            </w:r>
          </w:p>
        </w:tc>
      </w:tr>
      <w:tr w:rsidR="007F56B0" w:rsidRPr="00FD0E05" w:rsidTr="003312FF">
        <w:trPr>
          <w:trHeight w:val="503"/>
        </w:trPr>
        <w:tc>
          <w:tcPr>
            <w:tcW w:w="507"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1 </w:t>
            </w:r>
          </w:p>
        </w:tc>
        <w:tc>
          <w:tcPr>
            <w:tcW w:w="3381"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Una caja de cerillas </w:t>
            </w:r>
          </w:p>
        </w:tc>
        <w:tc>
          <w:tcPr>
            <w:tcW w:w="225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88"/>
        </w:trPr>
        <w:tc>
          <w:tcPr>
            <w:tcW w:w="507"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2 </w:t>
            </w:r>
          </w:p>
        </w:tc>
        <w:tc>
          <w:tcPr>
            <w:tcW w:w="3381"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Diez cajas de píldoras alimenticias </w:t>
            </w:r>
          </w:p>
        </w:tc>
        <w:tc>
          <w:tcPr>
            <w:tcW w:w="225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88"/>
        </w:trPr>
        <w:tc>
          <w:tcPr>
            <w:tcW w:w="507"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3 </w:t>
            </w:r>
          </w:p>
        </w:tc>
        <w:tc>
          <w:tcPr>
            <w:tcW w:w="3381"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Veinte metros de cuerda de nylon </w:t>
            </w:r>
          </w:p>
        </w:tc>
        <w:tc>
          <w:tcPr>
            <w:tcW w:w="225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503"/>
        </w:trPr>
        <w:tc>
          <w:tcPr>
            <w:tcW w:w="507"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4 </w:t>
            </w:r>
          </w:p>
        </w:tc>
        <w:tc>
          <w:tcPr>
            <w:tcW w:w="3381"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Un paracaídas de seda de nylon </w:t>
            </w:r>
          </w:p>
        </w:tc>
        <w:tc>
          <w:tcPr>
            <w:tcW w:w="225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90"/>
        </w:trPr>
        <w:tc>
          <w:tcPr>
            <w:tcW w:w="507"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5 </w:t>
            </w:r>
          </w:p>
        </w:tc>
        <w:tc>
          <w:tcPr>
            <w:tcW w:w="3381"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Una estufa portátil </w:t>
            </w:r>
          </w:p>
        </w:tc>
        <w:tc>
          <w:tcPr>
            <w:tcW w:w="225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88"/>
        </w:trPr>
        <w:tc>
          <w:tcPr>
            <w:tcW w:w="507"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6 </w:t>
            </w:r>
          </w:p>
        </w:tc>
        <w:tc>
          <w:tcPr>
            <w:tcW w:w="3381"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Diez pistolas del calibre 45 </w:t>
            </w:r>
          </w:p>
        </w:tc>
        <w:tc>
          <w:tcPr>
            <w:tcW w:w="225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505"/>
        </w:trPr>
        <w:tc>
          <w:tcPr>
            <w:tcW w:w="507"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7 </w:t>
            </w:r>
          </w:p>
        </w:tc>
        <w:tc>
          <w:tcPr>
            <w:tcW w:w="3381"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Una caja de leche en polvo</w:t>
            </w:r>
          </w:p>
        </w:tc>
        <w:tc>
          <w:tcPr>
            <w:tcW w:w="225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88"/>
        </w:trPr>
        <w:tc>
          <w:tcPr>
            <w:tcW w:w="507"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8 </w:t>
            </w:r>
          </w:p>
        </w:tc>
        <w:tc>
          <w:tcPr>
            <w:tcW w:w="3381"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Dos recipientes con 100 l. de oxígeno </w:t>
            </w:r>
          </w:p>
        </w:tc>
        <w:tc>
          <w:tcPr>
            <w:tcW w:w="225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559"/>
        </w:trPr>
        <w:tc>
          <w:tcPr>
            <w:tcW w:w="507" w:type="dxa"/>
            <w:tcBorders>
              <w:top w:val="single" w:sz="9"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9 </w:t>
            </w:r>
          </w:p>
        </w:tc>
        <w:tc>
          <w:tcPr>
            <w:tcW w:w="3381" w:type="dxa"/>
            <w:tcBorders>
              <w:top w:val="single" w:sz="9"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Un mapa de estrellas de la constelación lunar, el cielo visto desde la luna </w:t>
            </w:r>
          </w:p>
        </w:tc>
        <w:tc>
          <w:tcPr>
            <w:tcW w:w="2250" w:type="dxa"/>
            <w:tcBorders>
              <w:top w:val="single" w:sz="9"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9"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88"/>
        </w:trPr>
        <w:tc>
          <w:tcPr>
            <w:tcW w:w="507"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10 </w:t>
            </w:r>
          </w:p>
        </w:tc>
        <w:tc>
          <w:tcPr>
            <w:tcW w:w="3381"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Una barca inflable de salvamento </w:t>
            </w:r>
          </w:p>
        </w:tc>
        <w:tc>
          <w:tcPr>
            <w:tcW w:w="225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88"/>
        </w:trPr>
        <w:tc>
          <w:tcPr>
            <w:tcW w:w="507"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11 </w:t>
            </w:r>
          </w:p>
        </w:tc>
        <w:tc>
          <w:tcPr>
            <w:tcW w:w="3381"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Una brújula (o Compás magnético)</w:t>
            </w:r>
          </w:p>
        </w:tc>
        <w:tc>
          <w:tcPr>
            <w:tcW w:w="225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503"/>
        </w:trPr>
        <w:tc>
          <w:tcPr>
            <w:tcW w:w="507"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12 </w:t>
            </w:r>
          </w:p>
        </w:tc>
        <w:tc>
          <w:tcPr>
            <w:tcW w:w="3381" w:type="dxa"/>
            <w:tcBorders>
              <w:top w:val="single" w:sz="9"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25 l. de agua potable </w:t>
            </w:r>
          </w:p>
        </w:tc>
        <w:tc>
          <w:tcPr>
            <w:tcW w:w="225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9"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490"/>
        </w:trPr>
        <w:tc>
          <w:tcPr>
            <w:tcW w:w="507"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13 </w:t>
            </w:r>
          </w:p>
        </w:tc>
        <w:tc>
          <w:tcPr>
            <w:tcW w:w="3381"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Tres cohetes de señales luminosas </w:t>
            </w:r>
          </w:p>
        </w:tc>
        <w:tc>
          <w:tcPr>
            <w:tcW w:w="225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525"/>
        </w:trPr>
        <w:tc>
          <w:tcPr>
            <w:tcW w:w="507"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14 </w:t>
            </w:r>
          </w:p>
        </w:tc>
        <w:tc>
          <w:tcPr>
            <w:tcW w:w="3381" w:type="dxa"/>
            <w:tcBorders>
              <w:top w:val="single" w:sz="8" w:space="0" w:color="000000"/>
              <w:left w:val="single" w:sz="8" w:space="0" w:color="000000"/>
              <w:bottom w:val="single" w:sz="8"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Un botiquín de primeros auxilios con agujas hipodérmicas </w:t>
            </w:r>
          </w:p>
        </w:tc>
        <w:tc>
          <w:tcPr>
            <w:tcW w:w="225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8"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r w:rsidR="007F56B0" w:rsidRPr="00FD0E05" w:rsidTr="003312FF">
        <w:trPr>
          <w:trHeight w:val="345"/>
        </w:trPr>
        <w:tc>
          <w:tcPr>
            <w:tcW w:w="507"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15 </w:t>
            </w:r>
          </w:p>
        </w:tc>
        <w:tc>
          <w:tcPr>
            <w:tcW w:w="3381" w:type="dxa"/>
            <w:tcBorders>
              <w:top w:val="single" w:sz="8" w:space="0" w:color="000000"/>
              <w:left w:val="single" w:sz="8" w:space="0" w:color="000000"/>
              <w:bottom w:val="single" w:sz="9" w:space="0" w:color="000000"/>
              <w:right w:val="single" w:sz="8" w:space="0" w:color="000000"/>
            </w:tcBorders>
            <w:vAlign w:val="center"/>
          </w:tcPr>
          <w:p w:rsidR="007F56B0" w:rsidRPr="00FD0E05" w:rsidRDefault="007F56B0" w:rsidP="003312FF">
            <w:pPr>
              <w:pStyle w:val="Default"/>
              <w:rPr>
                <w:rFonts w:ascii="Calibri" w:hAnsi="Calibri"/>
                <w:b/>
                <w:sz w:val="18"/>
                <w:szCs w:val="18"/>
              </w:rPr>
            </w:pPr>
            <w:r w:rsidRPr="00FD0E05">
              <w:rPr>
                <w:rFonts w:ascii="Calibri" w:hAnsi="Calibri"/>
                <w:b/>
                <w:sz w:val="18"/>
                <w:szCs w:val="18"/>
              </w:rPr>
              <w:t xml:space="preserve">Un aparato de radio FM (emisor-receptor) con batería solar </w:t>
            </w:r>
          </w:p>
        </w:tc>
        <w:tc>
          <w:tcPr>
            <w:tcW w:w="225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c>
          <w:tcPr>
            <w:tcW w:w="2340" w:type="dxa"/>
            <w:tcBorders>
              <w:top w:val="single" w:sz="8" w:space="0" w:color="000000"/>
              <w:left w:val="single" w:sz="8" w:space="0" w:color="000000"/>
              <w:bottom w:val="single" w:sz="9" w:space="0" w:color="000000"/>
              <w:right w:val="single" w:sz="8" w:space="0" w:color="000000"/>
            </w:tcBorders>
          </w:tcPr>
          <w:p w:rsidR="007F56B0" w:rsidRPr="00FD0E05" w:rsidRDefault="007F56B0" w:rsidP="003312FF">
            <w:pPr>
              <w:pStyle w:val="Default"/>
              <w:rPr>
                <w:rFonts w:ascii="Calibri" w:hAnsi="Calibri" w:cs="Times New Roman"/>
                <w:b/>
                <w:color w:val="auto"/>
                <w:sz w:val="18"/>
                <w:szCs w:val="18"/>
              </w:rPr>
            </w:pPr>
          </w:p>
        </w:tc>
      </w:tr>
    </w:tbl>
    <w:p w:rsidR="007F56B0" w:rsidRDefault="007F56B0" w:rsidP="007F56B0">
      <w:pPr>
        <w:autoSpaceDE w:val="0"/>
        <w:autoSpaceDN w:val="0"/>
        <w:adjustRightInd w:val="0"/>
        <w:spacing w:before="120" w:after="120"/>
        <w:ind w:left="1411" w:firstLine="706"/>
        <w:rPr>
          <w:rFonts w:ascii="Calibri" w:hAnsi="Calibri"/>
          <w:b/>
          <w:bCs/>
        </w:rPr>
      </w:pPr>
    </w:p>
    <w:p w:rsidR="007F56B0" w:rsidRPr="0027357F" w:rsidRDefault="007F56B0" w:rsidP="007F56B0">
      <w:pPr>
        <w:autoSpaceDE w:val="0"/>
        <w:autoSpaceDN w:val="0"/>
        <w:adjustRightInd w:val="0"/>
        <w:spacing w:before="120" w:after="120"/>
        <w:ind w:left="1411" w:firstLine="479"/>
        <w:rPr>
          <w:rFonts w:ascii="Calibri" w:hAnsi="Calibri"/>
          <w:b/>
          <w:bCs/>
        </w:rPr>
      </w:pPr>
      <w:r w:rsidRPr="0027357F">
        <w:rPr>
          <w:rFonts w:ascii="Calibri" w:hAnsi="Calibri"/>
          <w:b/>
          <w:bCs/>
        </w:rPr>
        <w:t>Puntuación total: Individual ____</w:t>
      </w:r>
      <w:r>
        <w:rPr>
          <w:rFonts w:ascii="Calibri" w:hAnsi="Calibri"/>
          <w:b/>
          <w:bCs/>
        </w:rPr>
        <w:t>___</w:t>
      </w:r>
      <w:r w:rsidRPr="0027357F">
        <w:rPr>
          <w:rFonts w:ascii="Calibri" w:hAnsi="Calibri"/>
          <w:b/>
          <w:bCs/>
        </w:rPr>
        <w:t xml:space="preserve">__ </w:t>
      </w:r>
      <w:r>
        <w:rPr>
          <w:rFonts w:ascii="Calibri" w:hAnsi="Calibri"/>
          <w:b/>
          <w:bCs/>
        </w:rPr>
        <w:t xml:space="preserve">     </w:t>
      </w:r>
      <w:r w:rsidRPr="0027357F">
        <w:rPr>
          <w:rFonts w:ascii="Calibri" w:hAnsi="Calibri"/>
          <w:b/>
          <w:bCs/>
        </w:rPr>
        <w:t>Grupo ____</w:t>
      </w:r>
      <w:r>
        <w:rPr>
          <w:rFonts w:ascii="Calibri" w:hAnsi="Calibri"/>
          <w:b/>
          <w:bCs/>
        </w:rPr>
        <w:t>___</w:t>
      </w:r>
      <w:r w:rsidRPr="0027357F">
        <w:rPr>
          <w:rFonts w:ascii="Calibri" w:hAnsi="Calibri"/>
          <w:b/>
          <w:bCs/>
        </w:rPr>
        <w:t>___</w:t>
      </w:r>
    </w:p>
    <w:sectPr w:rsidR="007F56B0" w:rsidRPr="0027357F" w:rsidSect="00FD0E05">
      <w:pgSz w:w="11906" w:h="16838"/>
      <w:pgMar w:top="1417" w:right="1701" w:bottom="171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6B0"/>
    <w:rsid w:val="002D6C95"/>
    <w:rsid w:val="007F56B0"/>
    <w:rsid w:val="0088069E"/>
    <w:rsid w:val="009B680F"/>
    <w:rsid w:val="00C51ED0"/>
    <w:rsid w:val="00C86127"/>
    <w:rsid w:val="00CA74BF"/>
    <w:rsid w:val="00D52983"/>
    <w:rsid w:val="00D5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B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56B0"/>
    <w:pPr>
      <w:autoSpaceDE w:val="0"/>
      <w:autoSpaceDN w:val="0"/>
      <w:adjustRightInd w:val="0"/>
      <w:spacing w:after="0" w:line="240" w:lineRule="auto"/>
    </w:pPr>
    <w:rPr>
      <w:rFonts w:ascii="Century" w:eastAsia="Times New Roman" w:hAnsi="Century" w:cs="Century"/>
      <w:color w:val="00000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B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56B0"/>
    <w:pPr>
      <w:autoSpaceDE w:val="0"/>
      <w:autoSpaceDN w:val="0"/>
      <w:adjustRightInd w:val="0"/>
      <w:spacing w:after="0" w:line="240" w:lineRule="auto"/>
    </w:pPr>
    <w:rPr>
      <w:rFonts w:ascii="Century" w:eastAsia="Times New Roman" w:hAnsi="Century" w:cs="Century"/>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CEPAL, Naciones Unidas</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Gordana Stojkovic</dc:creator>
  <cp:lastModifiedBy>Gordana</cp:lastModifiedBy>
  <cp:revision>2</cp:revision>
  <cp:lastPrinted>2017-09-28T21:09:00Z</cp:lastPrinted>
  <dcterms:created xsi:type="dcterms:W3CDTF">2017-09-28T21:12:00Z</dcterms:created>
  <dcterms:modified xsi:type="dcterms:W3CDTF">2017-09-28T21:12:00Z</dcterms:modified>
</cp:coreProperties>
</file>