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Polaris POC — Run Report</w:t>
      </w:r>
    </w:p>
    <w:p/>
    <w:p>
      <w:r>
        <w:t xml:space="preserve">&gt; </w:t>
      </w:r>
      <w:r>
        <w:rPr>
          <w:b/>
        </w:rPr>
        <w:t>Codename</w:t>
      </w:r>
      <w:r>
        <w:t>: Polaris (the North Star — a navigation reference for what</w:t>
      </w:r>
    </w:p>
    <w:p>
      <w:r>
        <w:t>&gt; used to be a constellation of stitched-together identity systems).</w:t>
      </w:r>
    </w:p>
    <w:p>
      <w:r>
        <w:t xml:space="preserve">&gt; </w:t>
      </w:r>
      <w:r>
        <w:rPr>
          <w:b/>
        </w:rPr>
        <w:t>Goal</w:t>
      </w:r>
      <w:r>
        <w:t>: validate replacing an in-house OpenVPN + per-service</w:t>
      </w:r>
    </w:p>
    <w:p>
      <w:r>
        <w:t>&gt; AD-bound identity with a single open-source stack (Headscale control</w:t>
      </w:r>
    </w:p>
    <w:p>
      <w:r>
        <w:t>&gt; plane + Keycloak IDP + MinIO IAM+S3 + Postgres RLS) running on a</w:t>
      </w:r>
    </w:p>
    <w:p>
      <w:r>
        <w:t>&gt; local EKS-sim, with three portals and a customer multi-tenant data</w:t>
      </w:r>
    </w:p>
    <w:p>
      <w:r>
        <w:t>&gt; layer.</w:t>
      </w:r>
    </w:p>
    <w:p/>
    <w:p>
      <w:pPr>
        <w:pStyle w:val="Heading2"/>
      </w:pPr>
      <w:r>
        <w:t>1. TL;DR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Components</w:t>
            </w:r>
          </w:p>
        </w:tc>
        <w:tc>
          <w:tcPr>
            <w:tcW w:type="dxa" w:w="4320"/>
          </w:tcPr>
          <w:p>
            <w:r/>
            <w:r>
              <w:t>Headscale, Keycloak, Postgres, MinIO, kind (EKS-sim), Traefik, 3 portals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Lines of code (apps)</w:t>
            </w:r>
          </w:p>
        </w:tc>
        <w:tc>
          <w:tcPr>
            <w:tcW w:type="dxa" w:w="4320"/>
          </w:tcPr>
          <w:p>
            <w:r/>
            <w:r>
              <w:t>~700 (intranet + customer Flask apps, Grafana provisioning)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Infra files</w:t>
            </w:r>
          </w:p>
        </w:tc>
        <w:tc>
          <w:tcPr>
            <w:tcW w:type="dxa" w:w="4320"/>
          </w:tcPr>
          <w:p>
            <w:r/>
            <w:r>
              <w:t>~25 (docker-compose, charts, realm JSON, init SQL, scripts)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OIDC users verified</w:t>
            </w:r>
          </w:p>
        </w:tc>
        <w:tc>
          <w:tcPr>
            <w:tcW w:type="dxa" w:w="4320"/>
          </w:tcPr>
          <w:p>
            <w:r/>
            <w:r>
              <w:t>6 (3 internal employees + 3 external customers across 3 tenants)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Isolation verified</w:t>
            </w:r>
          </w:p>
        </w:tc>
        <w:tc>
          <w:tcPr>
            <w:tcW w:type="dxa" w:w="4320"/>
          </w:tcPr>
          <w:p>
            <w:r/>
            <w:r>
              <w:t>6 users × 5 buckets; RLS multi-tenant; denial when no tenant group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Public repos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cmarin78/polaris-poc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cmarin78/tailscaletest-poc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cmarin78/headscaletest-poc</w:t>
            </w:r>
          </w:p>
        </w:tc>
      </w:tr>
    </w:tbl>
    <w:p/>
    <w:p>
      <w:r>
        <w:t>The POC demonstrates that a production-shaped identity fabric can be</w:t>
      </w:r>
    </w:p>
    <w:p>
      <w:r>
        <w:t>built without paying Tailscale / Auth0 / AWS bills, on a single Linux</w:t>
      </w:r>
    </w:p>
    <w:p>
      <w:r>
        <w:t>host.</w:t>
      </w:r>
    </w:p>
    <w:p/>
    <w:p>
      <w:r>
        <w:t xml:space="preserve">See </w:t>
      </w:r>
      <w:r>
        <w:rPr>
          <w:b/>
        </w:rPr>
        <w:t>[`docs/TOPOLOGY.md`](docs/TOPOLOGY.md)</w:t>
      </w:r>
      <w:r>
        <w:t xml:space="preserve"> for the architecture</w:t>
      </w:r>
    </w:p>
    <w:p>
      <w:r>
        <w:t>diagram, the tailnet explanation, the Headscale policy walked through</w:t>
      </w:r>
    </w:p>
    <w:p>
      <w:r>
        <w:t>line by line, and the access matrix. See</w:t>
      </w:r>
    </w:p>
    <w:p>
      <w:r>
        <w:rPr>
          <w:b/>
        </w:rPr>
        <w:t>[`docs/REPRODUCIBILITY.md`](docs/REPRODUCIBILITY.md)</w:t>
      </w:r>
      <w:r>
        <w:t xml:space="preserve"> for the</w:t>
      </w:r>
    </w:p>
    <w:p>
      <w:r>
        <w:t>step-by-step commands, expected outputs, and explanations that bring</w:t>
      </w:r>
    </w:p>
    <w:p>
      <w:r>
        <w:t>the POC up from a clean host.</w:t>
      </w:r>
    </w:p>
    <w:p/>
    <w:p>
      <w:pPr>
        <w:pStyle w:val="Heading2"/>
      </w:pPr>
      <w:r>
        <w:t>2. What this POC simulates</w:t>
      </w:r>
    </w:p>
    <w:p/>
    <w:p>
      <w:r>
        <w:t>The POC exercises a single integrated identity fabric against the</w:t>
      </w:r>
    </w:p>
    <w:p>
      <w:r>
        <w:t>following legacy pattern: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Legacy stack</w:t>
            </w:r>
          </w:p>
        </w:tc>
        <w:tc>
          <w:tcPr>
            <w:tcW w:type="dxa" w:w="4320"/>
          </w:tcPr>
          <w:p>
            <w:r/>
            <w:r>
              <w:t>Replacement the POC validates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Site-to-site OpenVPN</w:t>
            </w:r>
          </w:p>
        </w:tc>
        <w:tc>
          <w:tcPr>
            <w:tcW w:type="dxa" w:w="4320"/>
          </w:tcPr>
          <w:p>
            <w:r/>
            <w:r>
              <w:t>WireGuard mesh via Tailscale clients, control plane in Headscale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Per-app Active Directory SSO with NTLM/Kerberos dance</w:t>
            </w:r>
          </w:p>
        </w:tc>
        <w:tc>
          <w:tcPr>
            <w:tcW w:type="dxa" w:w="4320"/>
          </w:tcPr>
          <w:p>
            <w:r/>
            <w:r>
              <w:t>One Keycloak realm, OIDC issued once, every portal speaks OIDC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Per-application S3 + per-app IAM roles, separate AWS accounts</w:t>
            </w:r>
          </w:p>
        </w:tc>
        <w:tc>
          <w:tcPr>
            <w:tcW w:type="dxa" w:w="4320"/>
          </w:tcPr>
          <w:p>
            <w:r/>
            <w:r>
              <w:t>One MinIO instance, OIDC-direct STS, IAM mapped from Keycloak groups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DB-per-tenant Postgres (one database per customer)</w:t>
            </w:r>
          </w:p>
        </w:tc>
        <w:tc>
          <w:tcPr>
            <w:tcW w:type="dxa" w:w="4320"/>
          </w:tcPr>
          <w:p>
            <w:r/>
            <w:r>
              <w:t xml:space="preserve">Shared schema + RLS via </w:t>
            </w:r>
            <w:r>
              <w:rPr>
                <w:rFonts w:ascii="Consolas" w:hAnsi="Consolas"/>
                <w:sz w:val="20"/>
              </w:rPr>
              <w:t>SET LOCAL app.current_tenant_id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Manual "this employee can see this app" spreadsheets</w:t>
            </w:r>
          </w:p>
        </w:tc>
        <w:tc>
          <w:tcPr>
            <w:tcW w:type="dxa" w:w="4320"/>
          </w:tcPr>
          <w:p>
            <w:r/>
            <w:r>
              <w:t xml:space="preserve">Tag-driven ACLs in Headscale + Keycloak </w:t>
            </w:r>
            <w:r>
              <w:rPr>
                <w:rFonts w:ascii="Consolas" w:hAnsi="Consolas"/>
                <w:sz w:val="20"/>
              </w:rPr>
              <w:t>groups</w:t>
            </w:r>
            <w:r>
              <w:t xml:space="preserve"> claim driving IAM</w:t>
            </w:r>
          </w:p>
        </w:tc>
      </w:tr>
    </w:tbl>
    <w:p/>
    <w:p>
      <w:r>
        <w:t>The POC runs the whole stack on a single Linux box. It exercises the</w:t>
      </w:r>
    </w:p>
    <w:p>
      <w:r>
        <w:t>end-to-end flow with six real users (three employees and three</w:t>
      </w:r>
    </w:p>
    <w:p>
      <w:r>
        <w:t>external customers, one per tenant) and proves that the layering</w:t>
      </w:r>
    </w:p>
    <w:p>
      <w:r>
        <w:t>holds: a user without the right Keycloak group cannot reach the</w:t>
      </w:r>
    </w:p>
    <w:p>
      <w:r>
        <w:t>portal, cannot read rows they should not see, and cannot list S3</w:t>
      </w:r>
    </w:p>
    <w:p>
      <w:r>
        <w:t>objects outside their tenant.</w:t>
      </w:r>
    </w:p>
    <w:p/>
    <w:p>
      <w:pPr>
        <w:pStyle w:val="Heading2"/>
      </w:pPr>
      <w:r>
        <w:t>3. Task list (in execution order)</w:t>
      </w:r>
    </w:p>
    <w:p/>
    <w:p>
      <w:r>
        <w:t>These are the tasks that were performed to bring the POC up. The</w:t>
      </w:r>
    </w:p>
    <w:p>
      <w:r>
        <w:t>order matters; each task is a prerequisite for the next. The list is</w:t>
      </w:r>
    </w:p>
    <w:p>
      <w:r>
        <w:t>flat by design — there is no project timeline framing here. See</w:t>
      </w:r>
    </w:p>
    <w:p>
      <w:r>
        <w:rPr>
          <w:rFonts w:ascii="Consolas" w:hAnsi="Consolas"/>
          <w:sz w:val="20"/>
        </w:rPr>
        <w:t>docs/REPRODUCIBILITY.md</w:t>
      </w:r>
      <w:r>
        <w:t xml:space="preserve"> for the commands and outputs of each task.</w:t>
      </w:r>
    </w:p>
    <w:p/>
    <w:p>
      <w:pPr>
        <w:pStyle w:val="ListNumber"/>
      </w:pPr>
      <w:r>
        <w:rPr>
          <w:b/>
        </w:rPr>
        <w:t>Stand up the base docker-compose stack</w:t>
      </w:r>
      <w:r>
        <w:t xml:space="preserve"> (Headscale, Keycloak,</w:t>
      </w:r>
    </w:p>
    <w:p>
      <w:r>
        <w:t xml:space="preserve">   Postgres, MinIO). Wait for all four services to be healthy.</w:t>
      </w:r>
    </w:p>
    <w:p>
      <w:pPr>
        <w:pStyle w:val="ListNumber"/>
      </w:pPr>
      <w:r>
        <w:rPr>
          <w:b/>
        </w:rPr>
        <w:t>Run the MinIO bootstrap container</w:t>
      </w:r>
      <w:r>
        <w:t xml:space="preserve"> — creates the five buckets</w:t>
      </w:r>
    </w:p>
    <w:p>
      <w:r>
        <w:t xml:space="preserve">   (</w:t>
      </w:r>
      <w:r>
        <w:rPr>
          <w:rFonts w:ascii="Consolas" w:hAnsi="Consolas"/>
          <w:sz w:val="20"/>
        </w:rPr>
        <w:t>pol-data-employees</w:t>
      </w:r>
      <w:r>
        <w:t xml:space="preserve">, </w:t>
      </w:r>
      <w:r>
        <w:rPr>
          <w:rFonts w:ascii="Consolas" w:hAnsi="Consolas"/>
          <w:sz w:val="20"/>
        </w:rPr>
        <w:t>pol-data-ops</w:t>
      </w:r>
      <w:r>
        <w:t xml:space="preserve">, </w:t>
      </w:r>
      <w:r>
        <w:rPr>
          <w:rFonts w:ascii="Consolas" w:hAnsi="Consolas"/>
          <w:sz w:val="20"/>
        </w:rPr>
        <w:t>pol-data-acme</w:t>
      </w:r>
      <w:r>
        <w:t>,</w:t>
      </w:r>
    </w:p>
    <w:p>
      <w:r>
        <w:t xml:space="preserve">   </w:t>
      </w:r>
      <w:r>
        <w:rPr>
          <w:rFonts w:ascii="Consolas" w:hAnsi="Consolas"/>
          <w:sz w:val="20"/>
        </w:rPr>
        <w:t>pol-data-brightside</w:t>
      </w:r>
      <w:r>
        <w:t xml:space="preserve">, </w:t>
      </w:r>
      <w:r>
        <w:rPr>
          <w:rFonts w:ascii="Consolas" w:hAnsi="Consolas"/>
          <w:sz w:val="20"/>
        </w:rPr>
        <w:t>pol-data-partners</w:t>
      </w:r>
      <w:r>
        <w:t>) and six IAM policies</w:t>
      </w:r>
    </w:p>
    <w:p>
      <w:r>
        <w:t xml:space="preserve">   that map each Keycloak </w:t>
      </w:r>
      <w:r>
        <w:rPr>
          <w:rFonts w:ascii="Consolas" w:hAnsi="Consolas"/>
          <w:sz w:val="20"/>
        </w:rPr>
        <w:t>groups</w:t>
      </w:r>
      <w:r>
        <w:t xml:space="preserve"> claim to its bucket. Configures</w:t>
      </w:r>
    </w:p>
    <w:p>
      <w:r>
        <w:t xml:space="preserve">   MinIO OIDC against Keycloak's </w:t>
      </w:r>
      <w:r>
        <w:rPr>
          <w:rFonts w:ascii="Consolas" w:hAnsi="Consolas"/>
          <w:sz w:val="20"/>
        </w:rPr>
        <w:t>polaris</w:t>
      </w:r>
      <w:r>
        <w:t xml:space="preserve"> realm.</w:t>
      </w:r>
    </w:p>
    <w:p>
      <w:pPr>
        <w:pStyle w:val="ListNumber"/>
      </w:pPr>
      <w:r>
        <w:rPr>
          <w:b/>
        </w:rPr>
        <w:t>Create the kind cluster</w:t>
      </w:r>
      <w:r>
        <w:t xml:space="preserve"> (</w:t>
      </w:r>
      <w:r>
        <w:rPr>
          <w:rFonts w:ascii="Consolas" w:hAnsi="Consolas"/>
          <w:sz w:val="20"/>
        </w:rPr>
        <w:t>polaris-eks-sim</w:t>
      </w:r>
      <w:r>
        <w:t>) with one</w:t>
      </w:r>
    </w:p>
    <w:p>
      <w:r>
        <w:t xml:space="preserve">   control-plane and one worker. Join both nodes to the</w:t>
      </w:r>
    </w:p>
    <w:p>
      <w:r>
        <w:t xml:space="preserve">   </w:t>
      </w:r>
      <w:r>
        <w:rPr>
          <w:rFonts w:ascii="Consolas" w:hAnsi="Consolas"/>
          <w:sz w:val="20"/>
        </w:rPr>
        <w:t>polaris_polaris_default</w:t>
      </w:r>
      <w:r>
        <w:t xml:space="preserve"> docker network so pods inside the</w:t>
      </w:r>
    </w:p>
    <w:p>
      <w:r>
        <w:t xml:space="preserve">   cluster can resolve </w:t>
      </w:r>
      <w:r>
        <w:rPr>
          <w:rFonts w:ascii="Consolas" w:hAnsi="Consolas"/>
          <w:sz w:val="20"/>
        </w:rPr>
        <w:t>keycloak</w:t>
      </w:r>
      <w:r>
        <w:t xml:space="preserve">, </w:t>
      </w:r>
      <w:r>
        <w:rPr>
          <w:rFonts w:ascii="Consolas" w:hAnsi="Consolas"/>
          <w:sz w:val="20"/>
        </w:rPr>
        <w:t>minio</w:t>
      </w:r>
      <w:r>
        <w:t xml:space="preserve">, </w:t>
      </w:r>
      <w:r>
        <w:rPr>
          <w:rFonts w:ascii="Consolas" w:hAnsi="Consolas"/>
          <w:sz w:val="20"/>
        </w:rPr>
        <w:t>postgres</w:t>
      </w:r>
      <w:r>
        <w:t xml:space="preserve">, </w:t>
      </w:r>
      <w:r>
        <w:rPr>
          <w:rFonts w:ascii="Consolas" w:hAnsi="Consolas"/>
          <w:sz w:val="20"/>
        </w:rPr>
        <w:t>headscale</w:t>
      </w:r>
    </w:p>
    <w:p>
      <w:r>
        <w:t xml:space="preserve">   by hostname.</w:t>
      </w:r>
    </w:p>
    <w:p>
      <w:pPr>
        <w:pStyle w:val="ListNumber"/>
      </w:pPr>
      <w:r>
        <w:rPr>
          <w:b/>
        </w:rPr>
        <w:t>Build the three portal images</w:t>
      </w:r>
      <w:r>
        <w:t xml:space="preserve"> (</w:t>
      </w:r>
      <w:r>
        <w:rPr>
          <w:rFonts w:ascii="Consolas" w:hAnsi="Consolas"/>
          <w:sz w:val="20"/>
        </w:rPr>
        <w:t>polaris-intranet</w:t>
      </w:r>
      <w:r>
        <w:t>,</w:t>
      </w:r>
    </w:p>
    <w:p>
      <w:r>
        <w:t xml:space="preserve">   </w:t>
      </w:r>
      <w:r>
        <w:rPr>
          <w:rFonts w:ascii="Consolas" w:hAnsi="Consolas"/>
          <w:sz w:val="20"/>
        </w:rPr>
        <w:t>polaris-grafana</w:t>
      </w:r>
      <w:r>
        <w:t xml:space="preserve">, </w:t>
      </w:r>
      <w:r>
        <w:rPr>
          <w:rFonts w:ascii="Consolas" w:hAnsi="Consolas"/>
          <w:sz w:val="20"/>
        </w:rPr>
        <w:t>polaris-customer</w:t>
      </w:r>
      <w:r>
        <w:t>) on the host.</w:t>
      </w:r>
    </w:p>
    <w:p>
      <w:pPr>
        <w:pStyle w:val="ListNumber"/>
      </w:pPr>
      <w:r>
        <w:rPr>
          <w:b/>
        </w:rPr>
        <w:t>Load the images into the kind cluster</w:t>
      </w:r>
      <w:r>
        <w:t xml:space="preserve"> via</w:t>
      </w:r>
    </w:p>
    <w:p>
      <w:r>
        <w:t xml:space="preserve">   </w:t>
      </w:r>
      <w:r>
        <w:rPr>
          <w:rFonts w:ascii="Consolas" w:hAnsi="Consolas"/>
          <w:sz w:val="20"/>
        </w:rPr>
        <w:t>kind load docker-image</w:t>
      </w:r>
      <w:r>
        <w:t xml:space="preserve"> so the pods can pull them.</w:t>
      </w:r>
    </w:p>
    <w:p>
      <w:pPr>
        <w:pStyle w:val="ListNumber"/>
      </w:pPr>
      <w:r>
        <w:rPr>
          <w:b/>
        </w:rPr>
        <w:t>Apply Traefik ingress</w:t>
      </w:r>
      <w:r>
        <w:t xml:space="preserve"> first, then the three portal</w:t>
      </w:r>
    </w:p>
    <w:p>
      <w:r>
        <w:t xml:space="preserve">   deployments. Each portal gets a Deployment, a ClusterIP Service,</w:t>
      </w:r>
    </w:p>
    <w:p>
      <w:r>
        <w:t xml:space="preserve">   an Ingress (host-based routing), and a NodePort Service for the</w:t>
      </w:r>
    </w:p>
    <w:p>
      <w:r>
        <w:t xml:space="preserve">   test browser.</w:t>
      </w:r>
    </w:p>
    <w:p>
      <w:pPr>
        <w:pStyle w:val="ListNumber"/>
      </w:pPr>
      <w:r>
        <w:rPr>
          <w:b/>
        </w:rPr>
        <w:t>Apply the Headscale ACL policy</w:t>
      </w:r>
      <w:r>
        <w:t xml:space="preserve"> from </w:t>
      </w:r>
      <w:r>
        <w:rPr>
          <w:rFonts w:ascii="Consolas" w:hAnsi="Consolas"/>
          <w:sz w:val="20"/>
        </w:rPr>
        <w:t>acl/policy.hujson</w:t>
      </w:r>
      <w:r>
        <w:t xml:space="preserve"> —</w:t>
      </w:r>
    </w:p>
    <w:p>
      <w:r>
        <w:t xml:space="preserve">   declares </w:t>
      </w:r>
      <w:r>
        <w:rPr>
          <w:rFonts w:ascii="Consolas" w:hAnsi="Consolas"/>
          <w:sz w:val="20"/>
        </w:rPr>
        <w:t>tagOwners</w:t>
      </w:r>
      <w:r>
        <w:t>, the per-tag ACLs, and the SSH rules. Without</w:t>
      </w:r>
    </w:p>
    <w:p>
      <w:r>
        <w:t xml:space="preserve">   this step Headscale defaults to permissive.</w:t>
      </w:r>
    </w:p>
    <w:p>
      <w:pPr>
        <w:pStyle w:val="ListNumber"/>
      </w:pPr>
      <w:r>
        <w:rPr>
          <w:b/>
        </w:rPr>
        <w:t>Register the nodes and tag them</w:t>
      </w:r>
      <w:r>
        <w:t xml:space="preserve"> so the Headscale mesh</w:t>
      </w:r>
    </w:p>
    <w:p>
      <w:r>
        <w:t xml:space="preserve">   contains the four pods (intranet, grafana, customer, minio).</w:t>
      </w:r>
    </w:p>
    <w:p>
      <w:pPr>
        <w:pStyle w:val="ListNumber"/>
      </w:pPr>
      <w:r>
        <w:rPr>
          <w:b/>
        </w:rPr>
        <w:t>Run the end-to-end verification</w:t>
      </w:r>
      <w:r>
        <w:t xml:space="preserve"> — for each of the six users,</w:t>
      </w:r>
    </w:p>
    <w:p>
      <w:r>
        <w:t xml:space="preserve">   log in via OIDC, exercise the relevant endpoint, and confirm the</w:t>
      </w:r>
    </w:p>
    <w:p>
      <w:r>
        <w:t xml:space="preserve">   expected result (rows visible for tenant users; 403 for employees</w:t>
      </w:r>
    </w:p>
    <w:p>
      <w:r>
        <w:t xml:space="preserve">   without a tenant; correct Grafana role for admins).</w:t>
      </w:r>
    </w:p>
    <w:p>
      <w:pPr>
        <w:pStyle w:val="ListNumber"/>
      </w:pPr>
      <w:r>
        <w:rPr>
          <w:b/>
        </w:rPr>
        <w:t>Capture the six screenshots</w:t>
      </w:r>
      <w:r>
        <w:t xml:space="preserve"> that document the working POC</w:t>
      </w:r>
    </w:p>
    <w:p>
      <w:r>
        <w:t xml:space="preserve">    (intranet directory, Grafana home as Admin, customer home/data/</w:t>
      </w:r>
    </w:p>
    <w:p>
      <w:r>
        <w:t xml:space="preserve">    files for tenant acme, customer 403 for an employee without a</w:t>
      </w:r>
    </w:p>
    <w:p>
      <w:r>
        <w:t xml:space="preserve">    tenant). The capture script is</w:t>
      </w:r>
    </w:p>
    <w:p>
      <w:r>
        <w:t xml:space="preserve">    </w:t>
      </w:r>
      <w:r>
        <w:rPr>
          <w:rFonts w:ascii="Consolas" w:hAnsi="Consolas"/>
          <w:sz w:val="20"/>
        </w:rPr>
        <w:t>tests/capture_screenshots.py</w:t>
      </w:r>
      <w:r>
        <w:t>.</w:t>
      </w:r>
    </w:p>
    <w:p/>
    <w:p>
      <w:pPr>
        <w:pStyle w:val="Heading2"/>
      </w:pPr>
      <w:r>
        <w:t>4. Setup details (per task)</w:t>
      </w:r>
    </w:p>
    <w:p/>
    <w:p>
      <w:pPr>
        <w:pStyle w:val="Heading3"/>
      </w:pPr>
      <w:r>
        <w:t>4.1 Base stack (Task 1)</w:t>
      </w:r>
    </w:p>
    <w:p/>
    <w:p>
      <w:r>
        <w:t>Four services on the host: Headscale (control plane, listens on</w:t>
      </w:r>
    </w:p>
    <w:p>
      <w:r>
        <w:rPr>
          <w:rFonts w:ascii="Consolas" w:hAnsi="Consolas"/>
          <w:sz w:val="20"/>
        </w:rPr>
        <w:t>28080</w:t>
      </w:r>
      <w:r>
        <w:t xml:space="preserve">), Keycloak (IDP, </w:t>
      </w:r>
      <w:r>
        <w:rPr>
          <w:rFonts w:ascii="Consolas" w:hAnsi="Consolas"/>
          <w:sz w:val="20"/>
        </w:rPr>
        <w:t>8081</w:t>
      </w:r>
      <w:r>
        <w:t xml:space="preserve">), Postgres (RDBMS, </w:t>
      </w:r>
      <w:r>
        <w:rPr>
          <w:rFonts w:ascii="Consolas" w:hAnsi="Consolas"/>
          <w:sz w:val="20"/>
        </w:rPr>
        <w:t>5433</w:t>
      </w:r>
      <w:r>
        <w:t>), MinIO</w:t>
      </w:r>
    </w:p>
    <w:p>
      <w:r>
        <w:t xml:space="preserve">(S3+IAM, </w:t>
      </w:r>
      <w:r>
        <w:rPr>
          <w:rFonts w:ascii="Consolas" w:hAnsi="Consolas"/>
          <w:sz w:val="20"/>
        </w:rPr>
        <w:t>9000</w:t>
      </w:r>
      <w:r>
        <w:t xml:space="preserve"> for the S3 API and </w:t>
      </w:r>
      <w:r>
        <w:rPr>
          <w:rFonts w:ascii="Consolas" w:hAnsi="Consolas"/>
          <w:sz w:val="20"/>
        </w:rPr>
        <w:t>9001</w:t>
      </w:r>
      <w:r>
        <w:t xml:space="preserve"> for the console).</w:t>
      </w:r>
    </w:p>
    <w:p/>
    <w:p>
      <w:r>
        <w:t>The Keycloak realm (</w:t>
      </w:r>
      <w:r>
        <w:rPr>
          <w:rFonts w:ascii="Consolas" w:hAnsi="Consolas"/>
          <w:sz w:val="20"/>
        </w:rPr>
        <w:t>polaris</w:t>
      </w:r>
      <w:r>
        <w:t xml:space="preserve">) is exported from </w:t>
      </w:r>
      <w:r>
        <w:rPr>
          <w:rFonts w:ascii="Consolas" w:hAnsi="Consolas"/>
          <w:sz w:val="20"/>
        </w:rPr>
        <w:t>keycloak/realm-polaris.json</w:t>
      </w:r>
    </w:p>
    <w:p>
      <w:r>
        <w:t>with seven groups, six users, and four OIDC clients (</w:t>
      </w:r>
      <w:r>
        <w:rPr>
          <w:rFonts w:ascii="Consolas" w:hAnsi="Consolas"/>
          <w:sz w:val="20"/>
        </w:rPr>
        <w:t>pol-intranet</w:t>
      </w:r>
      <w:r>
        <w:t>,</w:t>
      </w:r>
    </w:p>
    <w:p>
      <w:r>
        <w:rPr>
          <w:rFonts w:ascii="Consolas" w:hAnsi="Consolas"/>
          <w:sz w:val="20"/>
        </w:rPr>
        <w:t>pol-grafana</w:t>
      </w:r>
      <w:r>
        <w:t xml:space="preserve">, </w:t>
      </w:r>
      <w:r>
        <w:rPr>
          <w:rFonts w:ascii="Consolas" w:hAnsi="Consolas"/>
          <w:sz w:val="20"/>
        </w:rPr>
        <w:t>pol-customer</w:t>
      </w:r>
      <w:r>
        <w:t xml:space="preserve">, </w:t>
      </w:r>
      <w:r>
        <w:rPr>
          <w:rFonts w:ascii="Consolas" w:hAnsi="Consolas"/>
          <w:sz w:val="20"/>
        </w:rPr>
        <w:t>pol-minio</w:t>
      </w:r>
      <w:r>
        <w:t>). The MinIO bootstrap</w:t>
      </w:r>
    </w:p>
    <w:p>
      <w:r>
        <w:t>container (</w:t>
      </w:r>
      <w:r>
        <w:rPr>
          <w:rFonts w:ascii="Consolas" w:hAnsi="Consolas"/>
          <w:sz w:val="20"/>
        </w:rPr>
        <w:t>scripts/minio_bootstrap.py</w:t>
      </w:r>
      <w:r>
        <w:t xml:space="preserve">) is a </w:t>
      </w:r>
      <w:r>
        <w:rPr>
          <w:rFonts w:ascii="Consolas" w:hAnsi="Consolas"/>
          <w:sz w:val="20"/>
        </w:rPr>
        <w:t>python:3.12-slim</w:t>
      </w:r>
      <w:r>
        <w:t xml:space="preserve"> image</w:t>
      </w:r>
    </w:p>
    <w:p>
      <w:r>
        <w:t xml:space="preserve">that uses </w:t>
      </w:r>
      <w:r>
        <w:rPr>
          <w:rFonts w:ascii="Consolas" w:hAnsi="Consolas"/>
          <w:sz w:val="20"/>
        </w:rPr>
        <w:t>boto3</w:t>
      </w:r>
      <w:r>
        <w:t xml:space="preserve"> for bucket creation and raw HTTP (sigv4-signed</w:t>
      </w:r>
    </w:p>
    <w:p>
      <w:r>
        <w:rPr>
          <w:rFonts w:ascii="Consolas" w:hAnsi="Consolas"/>
          <w:sz w:val="20"/>
        </w:rPr>
        <w:t>PUT /minio/admin/v3/add-canned-policy?name=&lt;name&gt;</w:t>
      </w:r>
      <w:r>
        <w:t>) for IAM policy</w:t>
      </w:r>
    </w:p>
    <w:p>
      <w:r>
        <w:t xml:space="preserve">upload — there is no </w:t>
      </w:r>
      <w:r>
        <w:rPr>
          <w:rFonts w:ascii="Consolas" w:hAnsi="Consolas"/>
          <w:sz w:val="20"/>
        </w:rPr>
        <w:t>mc</w:t>
      </w:r>
      <w:r>
        <w:t xml:space="preserve"> CLI image and the AWS IAM </w:t>
      </w:r>
      <w:r>
        <w:rPr>
          <w:rFonts w:ascii="Consolas" w:hAnsi="Consolas"/>
          <w:sz w:val="20"/>
        </w:rPr>
        <w:t>PutUserPolicy</w:t>
      </w:r>
    </w:p>
    <w:p>
      <w:r>
        <w:t>endpoint is not supported by MinIO.</w:t>
      </w:r>
    </w:p>
    <w:p/>
    <w:p>
      <w:pPr>
        <w:pStyle w:val="Heading3"/>
      </w:pPr>
      <w:r>
        <w:t>4.2 Cluster and portals (Tasks 3–6)</w:t>
      </w:r>
    </w:p>
    <w:p/>
    <w:p>
      <w:r>
        <w:rPr>
          <w:rFonts w:ascii="Consolas" w:hAnsi="Consolas"/>
          <w:sz w:val="20"/>
        </w:rPr>
        <w:t>kind</w:t>
      </w:r>
      <w:r>
        <w:t xml:space="preserve"> cluster with 5 namespaces (</w:t>
      </w:r>
      <w:r>
        <w:rPr>
          <w:rFonts w:ascii="Consolas" w:hAnsi="Consolas"/>
          <w:sz w:val="20"/>
        </w:rPr>
        <w:t>pol-intranet</w:t>
      </w:r>
      <w:r>
        <w:t xml:space="preserve">, </w:t>
      </w:r>
      <w:r>
        <w:rPr>
          <w:rFonts w:ascii="Consolas" w:hAnsi="Consolas"/>
          <w:sz w:val="20"/>
        </w:rPr>
        <w:t>pol-grafana</w:t>
      </w:r>
      <w:r>
        <w:t>,</w:t>
      </w:r>
    </w:p>
    <w:p>
      <w:r>
        <w:rPr>
          <w:rFonts w:ascii="Consolas" w:hAnsi="Consolas"/>
          <w:sz w:val="20"/>
        </w:rPr>
        <w:t>pol-customer</w:t>
      </w:r>
      <w:r>
        <w:t xml:space="preserve">, </w:t>
      </w:r>
      <w:r>
        <w:rPr>
          <w:rFonts w:ascii="Consolas" w:hAnsi="Consolas"/>
          <w:sz w:val="20"/>
        </w:rPr>
        <w:t>pol-storage</w:t>
      </w:r>
      <w:r>
        <w:t xml:space="preserve">, </w:t>
      </w:r>
      <w:r>
        <w:rPr>
          <w:rFonts w:ascii="Consolas" w:hAnsi="Consolas"/>
          <w:sz w:val="20"/>
        </w:rPr>
        <w:t>pol-system</w:t>
      </w:r>
      <w:r>
        <w:t>). Traefik ingress</w:t>
      </w:r>
    </w:p>
    <w:p>
      <w:r>
        <w:t>controller runs as a DaemonSet with a NodePort Service for host</w:t>
      </w:r>
    </w:p>
    <w:p>
      <w:r>
        <w:t xml:space="preserve">access. Pivoted from </w:t>
      </w:r>
      <w:r>
        <w:rPr>
          <w:rFonts w:ascii="Consolas" w:hAnsi="Consolas"/>
          <w:sz w:val="20"/>
        </w:rPr>
        <w:t>k3d</w:t>
      </w:r>
      <w:r>
        <w:t xml:space="preserve"> because </w:t>
      </w:r>
      <w:r>
        <w:rPr>
          <w:rFonts w:ascii="Consolas" w:hAnsi="Consolas"/>
          <w:sz w:val="20"/>
        </w:rPr>
        <w:t>ghcr.io/k3d-io/k3d-tools</w:t>
      </w:r>
      <w:r>
        <w:t xml:space="preserve"> is</w:t>
      </w:r>
    </w:p>
    <w:p>
      <w:r>
        <w:t xml:space="preserve">blocked on this host, and from </w:t>
      </w:r>
      <w:r>
        <w:rPr>
          <w:rFonts w:ascii="Consolas" w:hAnsi="Consolas"/>
          <w:sz w:val="20"/>
        </w:rPr>
        <w:t>kind extraPortMappings</w:t>
      </w:r>
      <w:r>
        <w:t xml:space="preserve"> to Traefik</w:t>
      </w:r>
    </w:p>
    <w:p>
      <w:r>
        <w:t>NodePort because kind refused to start with the host-port mappings.</w:t>
      </w:r>
    </w:p>
    <w:p/>
    <w:p>
      <w:r>
        <w:t>The portal pods each have a tailscale sidecar in the POC design but</w:t>
      </w:r>
    </w:p>
    <w:p>
      <w:r>
        <w:t>in this run the portals reach MinIO and Postgres via the docker</w:t>
      </w:r>
    </w:p>
    <w:p>
      <w:r>
        <w:t>hostnames (because the kind nodes joined the docker-compose</w:t>
      </w:r>
    </w:p>
    <w:p>
      <w:r>
        <w:t>network); the tailnet is the production path and is documented in</w:t>
      </w:r>
    </w:p>
    <w:p>
      <w:r>
        <w:rPr>
          <w:rFonts w:ascii="Consolas" w:hAnsi="Consolas"/>
          <w:sz w:val="20"/>
        </w:rPr>
        <w:t>docs/TOPOLOGY.md</w:t>
      </w:r>
      <w:r>
        <w:t xml:space="preserve"> §3.</w:t>
      </w:r>
    </w:p>
    <w:p/>
    <w:p>
      <w:pPr>
        <w:pStyle w:val="Heading3"/>
      </w:pPr>
      <w:r>
        <w:t>4.3 Headscale policy (Task 7)</w:t>
      </w:r>
    </w:p>
    <w:p/>
    <w:p>
      <w:r>
        <w:t>The policy file (</w:t>
      </w:r>
      <w:r>
        <w:rPr>
          <w:rFonts w:ascii="Consolas" w:hAnsi="Consolas"/>
          <w:sz w:val="20"/>
        </w:rPr>
        <w:t>acl/policy.hujson</w:t>
      </w:r>
      <w:r>
        <w:t xml:space="preserve">) declares ten </w:t>
      </w:r>
      <w:r>
        <w:rPr>
          <w:rFonts w:ascii="Consolas" w:hAnsi="Consolas"/>
          <w:sz w:val="20"/>
        </w:rPr>
        <w:t>tagOwners</w:t>
      </w:r>
      <w:r>
        <w:t xml:space="preserve"> and</w:t>
      </w:r>
    </w:p>
    <w:p>
      <w:r>
        <w:t xml:space="preserve">the matching </w:t>
      </w:r>
      <w:r>
        <w:rPr>
          <w:rFonts w:ascii="Consolas" w:hAnsi="Consolas"/>
          <w:sz w:val="20"/>
        </w:rPr>
        <w:t>acls</w:t>
      </w:r>
      <w:r>
        <w:t xml:space="preserve"> + </w:t>
      </w:r>
      <w:r>
        <w:rPr>
          <w:rFonts w:ascii="Consolas" w:hAnsi="Consolas"/>
          <w:sz w:val="20"/>
        </w:rPr>
        <w:t>ssh</w:t>
      </w:r>
      <w:r>
        <w:t xml:space="preserve"> rules. The full file is reproduced and</w:t>
      </w:r>
    </w:p>
    <w:p>
      <w:r>
        <w:t>walked through in [</w:t>
      </w:r>
      <w:r>
        <w:rPr>
          <w:rFonts w:ascii="Consolas" w:hAnsi="Consolas"/>
          <w:sz w:val="20"/>
        </w:rPr>
        <w:t>docs/TOPOLOGY.md</w:t>
      </w:r>
      <w:r>
        <w:t>](docs/TOPOLOGY.md) §4. Two</w:t>
      </w:r>
    </w:p>
    <w:p>
      <w:r>
        <w:t>Headscale-specific quirks are documented in the policy comments:</w:t>
      </w:r>
    </w:p>
    <w:p>
      <w:r>
        <w:t xml:space="preserve">the </w:t>
      </w:r>
      <w:r>
        <w:rPr>
          <w:rFonts w:ascii="Consolas" w:hAnsi="Consolas"/>
          <w:sz w:val="20"/>
        </w:rPr>
        <w:t>user:polaris@</w:t>
      </w:r>
      <w:r>
        <w:t xml:space="preserve"> literal (the trailing </w:t>
      </w:r>
      <w:r>
        <w:rPr>
          <w:rFonts w:ascii="Consolas" w:hAnsi="Consolas"/>
          <w:sz w:val="20"/>
        </w:rPr>
        <w:t>@</w:t>
      </w:r>
      <w:r>
        <w:t xml:space="preserve"> is the validation</w:t>
      </w:r>
    </w:p>
    <w:p>
      <w:r>
        <w:t xml:space="preserve">token) and the absence of </w:t>
      </w:r>
      <w:r>
        <w:rPr>
          <w:rFonts w:ascii="Consolas" w:hAnsi="Consolas"/>
          <w:sz w:val="20"/>
        </w:rPr>
        <w:t>autogroup:admin</w:t>
      </w:r>
      <w:r>
        <w:t xml:space="preserve"> /</w:t>
      </w:r>
    </w:p>
    <w:p>
      <w:r>
        <w:rPr>
          <w:rFonts w:ascii="Consolas" w:hAnsi="Consolas"/>
          <w:sz w:val="20"/>
        </w:rPr>
        <w:t>autogroup:nonroot</w:t>
      </w:r>
      <w:r>
        <w:t xml:space="preserve"> (Headscale does not implement those).</w:t>
      </w:r>
    </w:p>
    <w:p/>
    <w:p>
      <w:pPr>
        <w:pStyle w:val="Heading3"/>
      </w:pPr>
      <w:r>
        <w:t>4.4 Verification matrix (Task 9)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user</w:t>
            </w:r>
          </w:p>
        </w:tc>
        <w:tc>
          <w:tcPr>
            <w:tcW w:type="dxa" w:w="1728"/>
          </w:tcPr>
          <w:p>
            <w:r/>
            <w:r>
              <w:t>groups</w:t>
            </w:r>
          </w:p>
        </w:tc>
        <w:tc>
          <w:tcPr>
            <w:tcW w:type="dxa" w:w="1728"/>
          </w:tcPr>
          <w:p>
            <w:r/>
            <w:r>
              <w:t>/data (Postgres)</w:t>
            </w:r>
          </w:p>
        </w:tc>
        <w:tc>
          <w:tcPr>
            <w:tcW w:type="dxa" w:w="1728"/>
          </w:tcPr>
          <w:p>
            <w:r/>
            <w:r>
              <w:t>/files (MinIO)</w:t>
            </w:r>
          </w:p>
        </w:tc>
        <w:tc>
          <w:tcPr>
            <w:tcW w:type="dxa" w:w="1728"/>
          </w:tcPr>
          <w:p>
            <w:r/>
            <w:r>
              <w:t>Grafana role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alice</w:t>
            </w:r>
          </w:p>
        </w:tc>
        <w:tc>
          <w:tcPr>
            <w:tcW w:type="dxa" w:w="1728"/>
          </w:tcPr>
          <w:p>
            <w:r/>
            <w:r>
              <w:t>pol-employees, pol-eng</w:t>
            </w:r>
          </w:p>
        </w:tc>
        <w:tc>
          <w:tcPr>
            <w:tcW w:type="dxa" w:w="1728"/>
          </w:tcPr>
          <w:p>
            <w:r/>
            <w:r>
              <w:t>403 (no tenant)</w:t>
            </w:r>
          </w:p>
        </w:tc>
        <w:tc>
          <w:tcPr>
            <w:tcW w:type="dxa" w:w="1728"/>
          </w:tcPr>
          <w:p>
            <w:r/>
            <w:r>
              <w:t>403 (no bucket policy)</w:t>
            </w:r>
          </w:p>
        </w:tc>
        <w:tc>
          <w:tcPr>
            <w:tcW w:type="dxa" w:w="1728"/>
          </w:tcPr>
          <w:p>
            <w:r/>
            <w:r>
              <w:t>Viewer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bob</w:t>
            </w:r>
          </w:p>
        </w:tc>
        <w:tc>
          <w:tcPr>
            <w:tcW w:type="dxa" w:w="1728"/>
          </w:tcPr>
          <w:p>
            <w:r/>
            <w:r>
              <w:t>pol-employees, pol-ops</w:t>
            </w:r>
          </w:p>
        </w:tc>
        <w:tc>
          <w:tcPr>
            <w:tcW w:type="dxa" w:w="1728"/>
          </w:tcPr>
          <w:p>
            <w:r/>
            <w:r>
              <w:t>403</w:t>
            </w:r>
          </w:p>
        </w:tc>
        <w:tc>
          <w:tcPr>
            <w:tcW w:type="dxa" w:w="1728"/>
          </w:tcPr>
          <w:p>
            <w:r/>
            <w:r>
              <w:t>403</w:t>
            </w:r>
          </w:p>
        </w:tc>
        <w:tc>
          <w:tcPr>
            <w:tcW w:type="dxa" w:w="1728"/>
          </w:tcPr>
          <w:p>
            <w:r/>
            <w:r>
              <w:t>Editor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carol</w:t>
            </w:r>
          </w:p>
        </w:tc>
        <w:tc>
          <w:tcPr>
            <w:tcW w:type="dxa" w:w="1728"/>
          </w:tcPr>
          <w:p>
            <w:r/>
            <w:r>
              <w:t>pol-admin, pol-employees</w:t>
            </w:r>
          </w:p>
        </w:tc>
        <w:tc>
          <w:tcPr>
            <w:tcW w:type="dxa" w:w="1728"/>
          </w:tcPr>
          <w:p>
            <w:r/>
            <w:r>
              <w:t>403</w:t>
            </w:r>
          </w:p>
        </w:tc>
        <w:tc>
          <w:tcPr>
            <w:tcW w:type="dxa" w:w="1728"/>
          </w:tcPr>
          <w:p>
            <w:r/>
            <w:r>
              <w:t>403</w:t>
            </w:r>
          </w:p>
        </w:tc>
        <w:tc>
          <w:tcPr>
            <w:tcW w:type="dxa" w:w="1728"/>
          </w:tcPr>
          <w:p>
            <w:r/>
            <w:r>
              <w:t>Admin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alice-acme</w:t>
            </w:r>
          </w:p>
        </w:tc>
        <w:tc>
          <w:tcPr>
            <w:tcW w:type="dxa" w:w="1728"/>
          </w:tcPr>
          <w:p>
            <w:r/>
            <w:r>
              <w:t>pol-customer-tenant-acme</w:t>
            </w:r>
          </w:p>
        </w:tc>
        <w:tc>
          <w:tcPr>
            <w:tcW w:type="dxa" w:w="1728"/>
          </w:tcPr>
          <w:p>
            <w:r/>
            <w:r>
              <w:t>2 ACME rows</w:t>
            </w:r>
          </w:p>
        </w:tc>
        <w:tc>
          <w:tcPr>
            <w:tcW w:type="dxa" w:w="1728"/>
          </w:tcPr>
          <w:p>
            <w:r/>
            <w:r>
              <w:t>pol-data-acme</w:t>
            </w:r>
          </w:p>
        </w:tc>
        <w:tc>
          <w:tcPr>
            <w:tcW w:type="dxa" w:w="1728"/>
          </w:tcPr>
          <w:p>
            <w:r/>
            <w:r>
              <w:t>Viewer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bob-brightside</w:t>
            </w:r>
          </w:p>
        </w:tc>
        <w:tc>
          <w:tcPr>
            <w:tcW w:type="dxa" w:w="1728"/>
          </w:tcPr>
          <w:p>
            <w:r/>
            <w:r>
              <w:t>pol-customer-tenant-brightside</w:t>
            </w:r>
          </w:p>
        </w:tc>
        <w:tc>
          <w:tcPr>
            <w:tcW w:type="dxa" w:w="1728"/>
          </w:tcPr>
          <w:p>
            <w:r/>
            <w:r>
              <w:t>2 BRIGHT rows</w:t>
            </w:r>
          </w:p>
        </w:tc>
        <w:tc>
          <w:tcPr>
            <w:tcW w:type="dxa" w:w="1728"/>
          </w:tcPr>
          <w:p>
            <w:r/>
            <w:r>
              <w:t>pol-data-brightside</w:t>
            </w:r>
          </w:p>
        </w:tc>
        <w:tc>
          <w:tcPr>
            <w:tcW w:type="dxa" w:w="1728"/>
          </w:tcPr>
          <w:p>
            <w:r/>
            <w:r>
              <w:t>Viewer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carol-northwind</w:t>
            </w:r>
          </w:p>
        </w:tc>
        <w:tc>
          <w:tcPr>
            <w:tcW w:type="dxa" w:w="1728"/>
          </w:tcPr>
          <w:p>
            <w:r/>
            <w:r>
              <w:t>pol-partners-northwind</w:t>
            </w:r>
          </w:p>
        </w:tc>
        <w:tc>
          <w:tcPr>
            <w:tcW w:type="dxa" w:w="1728"/>
          </w:tcPr>
          <w:p>
            <w:r/>
            <w:r>
              <w:t>1 partner row</w:t>
            </w:r>
          </w:p>
        </w:tc>
        <w:tc>
          <w:tcPr>
            <w:tcW w:type="dxa" w:w="1728"/>
          </w:tcPr>
          <w:p>
            <w:r/>
            <w:r>
              <w:t>pol-data-partners</w:t>
            </w:r>
          </w:p>
        </w:tc>
        <w:tc>
          <w:tcPr>
            <w:tcW w:type="dxa" w:w="1728"/>
          </w:tcPr>
          <w:p>
            <w:r/>
            <w:r>
              <w:t>Viewer</w:t>
            </w:r>
          </w:p>
        </w:tc>
      </w:tr>
    </w:tbl>
    <w:p/>
    <w:p>
      <w:r>
        <w:t>Negative cases:</w:t>
      </w:r>
    </w:p>
    <w:p/>
    <w:p>
      <w:pPr>
        <w:pStyle w:val="ListBullet"/>
      </w:pPr>
      <w:r>
        <w:rPr>
          <w:rFonts w:ascii="Consolas" w:hAnsi="Consolas"/>
          <w:sz w:val="20"/>
        </w:rPr>
        <w:t>alice-acme</w:t>
      </w:r>
      <w:r>
        <w:t xml:space="preserve"> requesting </w:t>
      </w:r>
      <w:r>
        <w:rPr>
          <w:rFonts w:ascii="Consolas" w:hAnsi="Consolas"/>
          <w:sz w:val="20"/>
        </w:rPr>
        <w:t>pol-data-ops</w:t>
      </w:r>
      <w:r>
        <w:t xml:space="preserve"> → STS 200 + IAM AccessDenied.</w:t>
      </w:r>
    </w:p>
    <w:p>
      <w:pPr>
        <w:pStyle w:val="ListBullet"/>
      </w:pPr>
      <w:r>
        <w:rPr>
          <w:rFonts w:ascii="Consolas" w:hAnsi="Consolas"/>
          <w:sz w:val="20"/>
        </w:rPr>
        <w:t>alice</w:t>
      </w:r>
      <w:r>
        <w:t xml:space="preserve"> (employee) on customer </w:t>
      </w:r>
      <w:r>
        <w:rPr>
          <w:rFonts w:ascii="Consolas" w:hAnsi="Consolas"/>
          <w:sz w:val="20"/>
        </w:rPr>
        <w:t>/data</w:t>
      </w:r>
      <w:r>
        <w:t xml:space="preserve"> → 403 "no tenant group".</w:t>
      </w:r>
    </w:p>
    <w:p>
      <w:pPr>
        <w:pStyle w:val="ListBullet"/>
      </w:pPr>
      <w:r>
        <w:rPr>
          <w:rFonts w:ascii="Consolas" w:hAnsi="Consolas"/>
          <w:sz w:val="20"/>
        </w:rPr>
        <w:t>bob</w:t>
      </w:r>
      <w:r>
        <w:t xml:space="preserve"> (no </w:t>
      </w:r>
      <w:r>
        <w:rPr>
          <w:rFonts w:ascii="Consolas" w:hAnsi="Consolas"/>
          <w:sz w:val="20"/>
        </w:rPr>
        <w:t>pol-customer-tenant-*</w:t>
      </w:r>
      <w:r>
        <w:t xml:space="preserve"> group) on customer </w:t>
      </w:r>
      <w:r>
        <w:rPr>
          <w:rFonts w:ascii="Consolas" w:hAnsi="Consolas"/>
          <w:sz w:val="20"/>
        </w:rPr>
        <w:t>/files</w:t>
      </w:r>
      <w:r>
        <w:t xml:space="preserve"> → 403.</w:t>
      </w:r>
    </w:p>
    <w:p/>
    <w:p>
      <w:pPr>
        <w:pStyle w:val="Heading2"/>
      </w:pPr>
      <w:r>
        <w:t>5. End-to-end test (with figures)</w:t>
      </w:r>
    </w:p>
    <w:p/>
    <w:p>
      <w:r>
        <w:t xml:space="preserve">The validation runs through </w:t>
      </w:r>
      <w:r>
        <w:rPr>
          <w:rFonts w:ascii="Consolas" w:hAnsi="Consolas"/>
          <w:sz w:val="20"/>
        </w:rPr>
        <w:t>tests/capture_screenshots.py</w:t>
      </w:r>
      <w:r>
        <w:t xml:space="preserve"> (Playwright</w:t>
      </w:r>
    </w:p>
    <w:p>
      <w:r>
        <w:t xml:space="preserve">headless + chromium with </w:t>
      </w:r>
      <w:r>
        <w:rPr>
          <w:rFonts w:ascii="Consolas" w:hAnsi="Consolas"/>
          <w:sz w:val="20"/>
        </w:rPr>
        <w:t>--host-rules=MAP keycloak 192.168.32.4</w:t>
      </w:r>
      <w:r>
        <w:t xml:space="preserve"> so</w:t>
      </w:r>
    </w:p>
    <w:p>
      <w:r>
        <w:t>the browser can reach the Keycloak container over the docker bridge</w:t>
      </w:r>
    </w:p>
    <w:p>
      <w:r>
        <w:t>from the test host). The cookie jar is cleared between portal</w:t>
      </w:r>
    </w:p>
    <w:p>
      <w:r>
        <w:t>captures so the realm-level Keycloak SSO session from one user's</w:t>
      </w:r>
    </w:p>
    <w:p>
      <w:r>
        <w:t>intranet login does not auto-bridge them into another pod when we</w:t>
      </w:r>
    </w:p>
    <w:p>
      <w:r>
        <w:t>later log in as a different user.</w:t>
      </w:r>
    </w:p>
    <w:p/>
    <w:p>
      <w:r>
        <w:t xml:space="preserve">Each figure below is one screenshot from </w:t>
      </w:r>
      <w:r>
        <w:rPr>
          <w:rFonts w:ascii="Consolas" w:hAnsi="Consolas"/>
          <w:sz w:val="20"/>
        </w:rPr>
        <w:t>docs/screenshots/</w:t>
      </w:r>
      <w:r>
        <w:t>, with</w:t>
      </w:r>
    </w:p>
    <w:p>
      <w:r>
        <w:t>an explanation of what it proves.</w:t>
      </w:r>
    </w:p>
    <w:p/>
    <w:p>
      <w:pPr>
        <w:pStyle w:val="Heading3"/>
      </w:pPr>
      <w:r>
        <w:t>5.1 Intranet — directory as `alice`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tranet-directory-al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Employee directory rendered for alice</w:t>
      </w:r>
    </w:p>
    <w:p/>
    <w:p>
      <w:r>
        <w:rPr>
          <w:b/>
        </w:rPr>
        <w:t>Figure 1 — `alice` views the employee directory.</w:t>
      </w:r>
      <w:r>
        <w:t xml:space="preserve"> This proves the</w:t>
      </w:r>
    </w:p>
    <w:p>
      <w:r>
        <w:t>OIDC code+PKCE flow against Keycloak works end-to-end and that the</w:t>
      </w:r>
    </w:p>
    <w:p>
      <w:r>
        <w:rPr>
          <w:rFonts w:ascii="Consolas" w:hAnsi="Consolas"/>
          <w:sz w:val="20"/>
        </w:rPr>
        <w:t>/directory</w:t>
      </w:r>
      <w:r>
        <w:t xml:space="preserve"> endpoint queries the </w:t>
      </w:r>
      <w:r>
        <w:rPr>
          <w:rFonts w:ascii="Consolas" w:hAnsi="Consolas"/>
          <w:sz w:val="20"/>
        </w:rPr>
        <w:t>pol_intranet</w:t>
      </w:r>
      <w:r>
        <w:t xml:space="preserve"> database with the</w:t>
      </w:r>
    </w:p>
    <w:p>
      <w:r>
        <w:rPr>
          <w:rFonts w:ascii="Consolas" w:hAnsi="Consolas"/>
          <w:sz w:val="20"/>
        </w:rPr>
        <w:t>polaris_admin</w:t>
      </w:r>
      <w:r>
        <w:t xml:space="preserve"> role (the owner, no RLS). Alice is an internal</w:t>
      </w:r>
    </w:p>
    <w:p>
      <w:r>
        <w:t xml:space="preserve">employee in the </w:t>
      </w:r>
      <w:r>
        <w:rPr>
          <w:rFonts w:ascii="Consolas" w:hAnsi="Consolas"/>
          <w:sz w:val="20"/>
        </w:rPr>
        <w:t>pol-eng</w:t>
      </w:r>
      <w:r>
        <w:t xml:space="preserve"> group; the page shows the five seeded</w:t>
      </w:r>
    </w:p>
    <w:p>
      <w:r>
        <w:t>people (Ada, Linus, Grace, Barbara, Sara) with their department,</w:t>
      </w:r>
    </w:p>
    <w:p>
      <w:r>
        <w:t>location, and role. This endpoint is an internal HR resource, so it</w:t>
      </w:r>
    </w:p>
    <w:p>
      <w:r>
        <w:t>has no tenant group requirement — any employee-tagged user can read</w:t>
      </w:r>
    </w:p>
    <w:p>
      <w:r>
        <w:t>it.</w:t>
      </w:r>
    </w:p>
    <w:p/>
    <w:p>
      <w:pPr>
        <w:pStyle w:val="Heading3"/>
      </w:pPr>
      <w:r>
        <w:t>5.2 Grafana — post-OAuth home as `carol` (Admin role)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7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rafana-home-carol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Grafana home for carol</w:t>
      </w:r>
    </w:p>
    <w:p/>
    <w:p>
      <w:r>
        <w:rPr>
          <w:b/>
        </w:rPr>
        <w:t>Figure 2 — `carol` authenticated via OIDC in Grafana.</w:t>
      </w:r>
      <w:r>
        <w:t xml:space="preserve"> The avatar</w:t>
      </w:r>
    </w:p>
    <w:p>
      <w:r>
        <w:t>in the top right confirms the Grafana generic-OAuth flow completed</w:t>
      </w:r>
    </w:p>
    <w:p>
      <w:r>
        <w:t>the code exchange against Keycloak and that the Grafana session is</w:t>
      </w:r>
    </w:p>
    <w:p>
      <w:r>
        <w:t xml:space="preserve">now bound to </w:t>
      </w:r>
      <w:r>
        <w:rPr>
          <w:rFonts w:ascii="Consolas" w:hAnsi="Consolas"/>
          <w:sz w:val="20"/>
        </w:rPr>
        <w:t>carol</w:t>
      </w:r>
      <w:r>
        <w:t>. The home shows "Home" in the sidebar (no</w:t>
      </w:r>
    </w:p>
    <w:p>
      <w:r>
        <w:t>dashboards yet) but the Admin role is applied via the JMESPath in</w:t>
      </w:r>
    </w:p>
    <w:p>
      <w:r>
        <w:rPr>
          <w:rFonts w:ascii="Consolas" w:hAnsi="Consolas"/>
          <w:sz w:val="20"/>
        </w:rPr>
        <w:t>GF_AUTH_GENERIC_OAUTH_ROLE_ATTRIBUTE_PATH</w:t>
      </w:r>
      <w:r>
        <w:t xml:space="preserve"> —</w:t>
      </w:r>
    </w:p>
    <w:p>
      <w:r>
        <w:rPr>
          <w:rFonts w:ascii="Consolas" w:hAnsi="Consolas"/>
          <w:sz w:val="20"/>
        </w:rPr>
        <w:t>contains(groups[*], 'pol-admin') &amp;&amp; 'Admin'</w:t>
      </w:r>
      <w:r>
        <w:t xml:space="preserve">. A </w:t>
      </w:r>
      <w:r>
        <w:rPr>
          <w:rFonts w:ascii="Consolas" w:hAnsi="Consolas"/>
          <w:sz w:val="20"/>
        </w:rPr>
        <w:t>Viewer</w:t>
      </w:r>
      <w:r>
        <w:t xml:space="preserve"> or </w:t>
      </w:r>
      <w:r>
        <w:rPr>
          <w:rFonts w:ascii="Consolas" w:hAnsi="Consolas"/>
          <w:sz w:val="20"/>
        </w:rPr>
        <w:t>Editor</w:t>
      </w:r>
    </w:p>
    <w:p>
      <w:r>
        <w:t xml:space="preserve">would see the same home but with fewer permissions at </w:t>
      </w:r>
      <w:r>
        <w:rPr>
          <w:rFonts w:ascii="Consolas" w:hAnsi="Consolas"/>
          <w:sz w:val="20"/>
        </w:rPr>
        <w:t>/admin</w:t>
      </w:r>
      <w:r>
        <w:t>.</w:t>
      </w:r>
    </w:p>
    <w:p/>
    <w:p>
      <w:pPr>
        <w:pStyle w:val="Heading3"/>
      </w:pPr>
      <w:r>
        <w:t>5.3 Customer portal — home as `alice-acme`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ustomer-home-alice-ac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Customer portal home as alice-acme</w:t>
      </w:r>
    </w:p>
    <w:p/>
    <w:p>
      <w:r>
        <w:rPr>
          <w:b/>
        </w:rPr>
        <w:t>Figure 3 — `alice-acme` views the customer portal with her tenant.</w:t>
      </w:r>
    </w:p>
    <w:p>
      <w:r>
        <w:t>The welcome line shows explicitly "Welcome alice-acme. tenant:</w:t>
      </w:r>
    </w:p>
    <w:p>
      <w:r>
        <w:t>acme", which proves the group→tenant mapping worked: the</w:t>
      </w:r>
    </w:p>
    <w:p>
      <w:r>
        <w:rPr>
          <w:rFonts w:ascii="Consolas" w:hAnsi="Consolas"/>
          <w:sz w:val="20"/>
        </w:rPr>
        <w:t>pol-customer-tenant-acme</w:t>
      </w:r>
      <w:r>
        <w:t xml:space="preserve"> group was translated to tenant name</w:t>
      </w:r>
    </w:p>
    <w:p>
      <w:r>
        <w:rPr>
          <w:rFonts w:ascii="Consolas" w:hAnsi="Consolas"/>
          <w:sz w:val="20"/>
        </w:rPr>
        <w:t>acme</w:t>
      </w:r>
      <w:r>
        <w:t xml:space="preserve"> via the portal's internal table, and that name was used to</w:t>
      </w:r>
    </w:p>
    <w:p>
      <w:r>
        <w:t xml:space="preserve">resolve the </w:t>
      </w:r>
      <w:r>
        <w:rPr>
          <w:rFonts w:ascii="Consolas" w:hAnsi="Consolas"/>
          <w:sz w:val="20"/>
        </w:rPr>
        <w:t>tenant_id</w:t>
      </w:r>
      <w:r>
        <w:t xml:space="preserve"> that then feeds the `SET LOCAL</w:t>
      </w:r>
    </w:p>
    <w:p>
      <w:r>
        <w:t>app.current_tenant_id` on every request. The two cards ("/data"</w:t>
      </w:r>
    </w:p>
    <w:p>
      <w:r>
        <w:t>and "/files") point at the endpoints where the two layers of defense</w:t>
      </w:r>
    </w:p>
    <w:p>
      <w:r>
        <w:t>(RLS in Postgres and IAM in MinIO) are exercised.</w:t>
      </w:r>
    </w:p>
    <w:p/>
    <w:p>
      <w:pPr>
        <w:pStyle w:val="Heading3"/>
      </w:pPr>
      <w:r>
        <w:t>5.4 Customer portal — `/data` filtered by RLS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ustomer-data-alice-acme-acme-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alice-acme sees only acme rows</w:t>
      </w:r>
    </w:p>
    <w:p/>
    <w:p>
      <w:r>
        <w:rPr>
          <w:b/>
        </w:rPr>
        <w:t>Figure 4 — `/data` shows only the rows of the acme tenant.</w:t>
      </w:r>
      <w:r>
        <w:t xml:space="preserve"> This</w:t>
      </w:r>
    </w:p>
    <w:p>
      <w:r>
        <w:t>is the strongest single piece of evidence for tenant isolation at</w:t>
      </w:r>
    </w:p>
    <w:p>
      <w:r>
        <w:t xml:space="preserve">the SQL layer. The </w:t>
      </w:r>
      <w:r>
        <w:rPr>
          <w:rFonts w:ascii="Consolas" w:hAnsi="Consolas"/>
          <w:sz w:val="20"/>
        </w:rPr>
        <w:t>customer_data</w:t>
      </w:r>
      <w:r>
        <w:t xml:space="preserve"> table contains rows for three</w:t>
      </w:r>
    </w:p>
    <w:p>
      <w:r>
        <w:t xml:space="preserve">tenants (acme, brightside, partners); the </w:t>
      </w:r>
      <w:r>
        <w:rPr>
          <w:rFonts w:ascii="Consolas" w:hAnsi="Consolas"/>
          <w:sz w:val="20"/>
        </w:rPr>
        <w:t>tenant_isolation</w:t>
      </w:r>
      <w:r>
        <w:t xml:space="preserve"> RLS</w:t>
      </w:r>
    </w:p>
    <w:p>
      <w:r>
        <w:t>policy rejects every read where `tenant_id !=</w:t>
      </w:r>
    </w:p>
    <w:p>
      <w:r>
        <w:t>current_setting('app.current_tenant_id')`. The page shows two rows</w:t>
      </w:r>
    </w:p>
    <w:p>
      <w:r>
        <w:t>(</w:t>
      </w:r>
      <w:r>
        <w:rPr>
          <w:rFonts w:ascii="Consolas" w:hAnsi="Consolas"/>
          <w:sz w:val="20"/>
        </w:rPr>
        <w:t>contract-id ACME-2026-001</w:t>
      </w:r>
      <w:r>
        <w:t xml:space="preserve"> and </w:t>
      </w:r>
      <w:r>
        <w:rPr>
          <w:rFonts w:ascii="Consolas" w:hAnsi="Consolas"/>
          <w:sz w:val="20"/>
        </w:rPr>
        <w:t>monthly-revenue $4.2M</w:t>
      </w:r>
      <w:r>
        <w:t>) and</w:t>
      </w:r>
    </w:p>
    <w:p>
      <w:r>
        <w:t>exposes the SQL it ran below — including `SET LOCAL</w:t>
      </w:r>
    </w:p>
    <w:p>
      <w:r>
        <w:t>app.current_tenant_id = '1'</w:t>
      </w:r>
      <w:r>
        <w:rPr>
          <w:rFonts w:ascii="Consolas" w:hAnsi="Consolas"/>
          <w:sz w:val="20"/>
        </w:rPr>
        <w:t xml:space="preserve">. If </w:t>
      </w:r>
      <w:r>
        <w:t>bob-brightside` opened the same</w:t>
      </w:r>
    </w:p>
    <w:p>
      <w:r>
        <w:t xml:space="preserve">URL he would see only the brightside rows; </w:t>
      </w:r>
      <w:r>
        <w:rPr>
          <w:rFonts w:ascii="Consolas" w:hAnsi="Consolas"/>
          <w:sz w:val="20"/>
        </w:rPr>
        <w:t>carol-northwind</w:t>
      </w:r>
      <w:r>
        <w:t xml:space="preserve"> would</w:t>
      </w:r>
    </w:p>
    <w:p>
      <w:r>
        <w:t>see only partners; none can read another's row even if they know</w:t>
      </w:r>
    </w:p>
    <w:p>
      <w:r>
        <w:t>the row id.</w:t>
      </w:r>
    </w:p>
    <w:p/>
    <w:p>
      <w:pPr>
        <w:pStyle w:val="Heading3"/>
      </w:pPr>
      <w:r>
        <w:t>5.5 Customer portal — `/files` with STS against MinIO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ustomer-files-alice-ac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alice-acme lists pol-data-acme via STS</w:t>
      </w:r>
    </w:p>
    <w:p/>
    <w:p>
      <w:r>
        <w:rPr>
          <w:b/>
        </w:rPr>
        <w:t>Figure 5 — STS works end-to-end for `alice-acme`.</w:t>
      </w:r>
      <w:r>
        <w:t xml:space="preserve"> The portal</w:t>
      </w:r>
    </w:p>
    <w:p>
      <w:r>
        <w:t>takes the user's Keycloak access-token JWT (with</w:t>
      </w:r>
    </w:p>
    <w:p>
      <w:r>
        <w:rPr>
          <w:rFonts w:ascii="Consolas" w:hAnsi="Consolas"/>
          <w:sz w:val="20"/>
        </w:rPr>
        <w:t>groups=[pol-customer-tenant-acme]</w:t>
      </w:r>
      <w:r>
        <w:t>) and posts it to MinIO's</w:t>
      </w:r>
    </w:p>
    <w:p>
      <w:r>
        <w:rPr>
          <w:rFonts w:ascii="Consolas" w:hAnsi="Consolas"/>
          <w:sz w:val="20"/>
        </w:rPr>
        <w:t>/api/v1/sts/assume-role-with-webidentity</w:t>
      </w:r>
      <w:r>
        <w:t xml:space="preserve"> endpoint. MinIO validates</w:t>
      </w:r>
    </w:p>
    <w:p>
      <w:r>
        <w:t xml:space="preserve">the JWT against Keycloak's JWKS, extracts the </w:t>
      </w:r>
      <w:r>
        <w:rPr>
          <w:rFonts w:ascii="Consolas" w:hAnsi="Consolas"/>
          <w:sz w:val="20"/>
        </w:rPr>
        <w:t>groups</w:t>
      </w:r>
      <w:r>
        <w:t xml:space="preserve"> claim, maps</w:t>
      </w:r>
    </w:p>
    <w:p>
      <w:r>
        <w:t xml:space="preserve">it to the IAM policy </w:t>
      </w:r>
      <w:r>
        <w:rPr>
          <w:rFonts w:ascii="Consolas" w:hAnsi="Consolas"/>
          <w:sz w:val="20"/>
        </w:rPr>
        <w:t>pol-customer-acme</w:t>
      </w:r>
      <w:r>
        <w:t>, and returns temporary</w:t>
      </w:r>
    </w:p>
    <w:p>
      <w:r>
        <w:t>credentials. The page shows "STS OK — temporary access key …" and</w:t>
      </w:r>
    </w:p>
    <w:p>
      <w:r>
        <w:t xml:space="preserve">below that the contents of the </w:t>
      </w:r>
      <w:r>
        <w:rPr>
          <w:rFonts w:ascii="Consolas" w:hAnsi="Consolas"/>
          <w:sz w:val="20"/>
        </w:rPr>
        <w:t>pol-data-acme</w:t>
      </w:r>
      <w:r>
        <w:t xml:space="preserve"> bucket</w:t>
      </w:r>
    </w:p>
    <w:p>
      <w:r>
        <w:t>(</w:t>
      </w:r>
      <w:r>
        <w:rPr>
          <w:rFonts w:ascii="Consolas" w:hAnsi="Consolas"/>
          <w:sz w:val="20"/>
        </w:rPr>
        <w:t>README.md</w:t>
      </w:r>
      <w:r>
        <w:t xml:space="preserve">, 285 B). If </w:t>
      </w:r>
      <w:r>
        <w:rPr>
          <w:rFonts w:ascii="Consolas" w:hAnsi="Consolas"/>
          <w:sz w:val="20"/>
        </w:rPr>
        <w:t>alice-acme</w:t>
      </w:r>
      <w:r>
        <w:t xml:space="preserve"> tried to list</w:t>
      </w:r>
    </w:p>
    <w:p>
      <w:r>
        <w:rPr>
          <w:rFonts w:ascii="Consolas" w:hAnsi="Consolas"/>
          <w:sz w:val="20"/>
        </w:rPr>
        <w:t>pol-data-brightside</w:t>
      </w:r>
      <w:r>
        <w:t xml:space="preserve"> MinIO would return 403 AccessDenied by the IAM</w:t>
      </w:r>
    </w:p>
    <w:p>
      <w:r>
        <w:t>policy server-side, even though the STS exchange itself succeeded —</w:t>
      </w:r>
    </w:p>
    <w:p>
      <w:r>
        <w:t>defense in depth (Postgres RLS + MinIO IAM).</w:t>
      </w:r>
    </w:p>
    <w:p/>
    <w:p>
      <w:pPr>
        <w:pStyle w:val="Heading3"/>
      </w:pPr>
      <w:r>
        <w:t>5.6 Customer portal — `/data` denied to a user without a tenant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ustomer-data-alice-403-no-ten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alice (employee) gets 403</w:t>
      </w:r>
    </w:p>
    <w:p/>
    <w:p>
      <w:r>
        <w:rPr>
          <w:b/>
        </w:rPr>
        <w:t>Figure 6 — `alice` (employee with no tenant group) receives 403.</w:t>
      </w:r>
    </w:p>
    <w:p>
      <w:r>
        <w:t xml:space="preserve">This is the "deny by default" proof. Alice belongs to </w:t>
      </w:r>
      <w:r>
        <w:rPr>
          <w:rFonts w:ascii="Consolas" w:hAnsi="Consolas"/>
          <w:sz w:val="20"/>
        </w:rPr>
        <w:t>pol-employees</w:t>
      </w:r>
    </w:p>
    <w:p>
      <w:r>
        <w:t xml:space="preserve">and </w:t>
      </w:r>
      <w:r>
        <w:rPr>
          <w:rFonts w:ascii="Consolas" w:hAnsi="Consolas"/>
          <w:sz w:val="20"/>
        </w:rPr>
        <w:t>pol-eng</w:t>
      </w:r>
      <w:r>
        <w:t>; neither group appears in the customer portal's</w:t>
      </w:r>
    </w:p>
    <w:p>
      <w:r>
        <w:t xml:space="preserve">group→tenant dictionary, so </w:t>
      </w:r>
      <w:r>
        <w:rPr>
          <w:rFonts w:ascii="Consolas" w:hAnsi="Consolas"/>
          <w:sz w:val="20"/>
        </w:rPr>
        <w:t>_user_tenant()</w:t>
      </w:r>
      <w:r>
        <w:t xml:space="preserve"> returns </w:t>
      </w:r>
      <w:r>
        <w:rPr>
          <w:rFonts w:ascii="Consolas" w:hAnsi="Consolas"/>
          <w:sz w:val="20"/>
        </w:rPr>
        <w:t>None</w:t>
      </w:r>
      <w:r>
        <w:t xml:space="preserve"> and the</w:t>
      </w:r>
    </w:p>
    <w:p>
      <w:r>
        <w:t>endpoint returns</w:t>
      </w:r>
    </w:p>
    <w:p>
      <w:r>
        <w:rPr>
          <w:rFonts w:ascii="Consolas" w:hAnsi="Consolas"/>
          <w:sz w:val="20"/>
        </w:rPr>
        <w:t>403: no tenant group in your JWT (groups=['pol-employees', 'pol-eng'])</w:t>
      </w:r>
      <w:r>
        <w:t>.</w:t>
      </w:r>
    </w:p>
    <w:p>
      <w:r>
        <w:t>The response exposes the JWT groups explicitly so it is obvious to</w:t>
      </w:r>
    </w:p>
    <w:p>
      <w:r>
        <w:t>the reader that the decision is made at the application layer by</w:t>
      </w:r>
    </w:p>
    <w:p>
      <w:r>
        <w:t>looking at the groups, not in the database. An internal employee</w:t>
      </w:r>
    </w:p>
    <w:p>
      <w:r>
        <w:t>cannot see tenant data even though they passed Keycloak — the</w:t>
      </w:r>
    </w:p>
    <w:p>
      <w:r>
        <w:t>portal filters before touching the table.</w:t>
      </w:r>
    </w:p>
    <w:p/>
    <w:p>
      <w:pPr>
        <w:pStyle w:val="Heading2"/>
      </w:pPr>
      <w:r>
        <w:t>6. Findings that were not in the design</w:t>
      </w:r>
    </w:p>
    <w:p/>
    <w:p>
      <w:r>
        <w:t>These are the things the build uncovered that were not in</w:t>
      </w:r>
    </w:p>
    <w:p>
      <w:r>
        <w:rPr>
          <w:rFonts w:ascii="Consolas" w:hAnsi="Consolas"/>
          <w:sz w:val="20"/>
        </w:rPr>
        <w:t>docs/design.md</w:t>
      </w:r>
      <w:r>
        <w:t xml:space="preserve"> and required real changes to make the POC work.</w:t>
      </w:r>
    </w:p>
    <w:p/>
    <w:p>
      <w:pPr>
        <w:pStyle w:val="ListNumber"/>
      </w:pPr>
      <w:r>
        <w:rPr>
          <w:b/>
        </w:rPr>
        <w:t>MinIO does not implement AWS IAM `PutUserPolicy`.</w:t>
      </w:r>
      <w:r>
        <w:t xml:space="preserve"> It has its</w:t>
      </w:r>
    </w:p>
    <w:p>
      <w:r>
        <w:t xml:space="preserve">   own admin API. Once we knew that the rest was direct, but the</w:t>
      </w:r>
    </w:p>
    <w:p>
      <w:r>
        <w:t xml:space="preserve">   documentation does not say it.</w:t>
      </w:r>
    </w:p>
    <w:p>
      <w:pPr>
        <w:pStyle w:val="ListNumber"/>
      </w:pPr>
      <w:r>
        <w:rPr>
          <w:b/>
        </w:rPr>
        <w:t>Roles `SUPERUSER` bypass RLS in Postgres</w:t>
      </w:r>
      <w:r>
        <w:t xml:space="preserve"> — easy to miss.</w:t>
      </w:r>
    </w:p>
    <w:p>
      <w:r>
        <w:t xml:space="preserve">   </w:t>
      </w:r>
      <w:r>
        <w:rPr>
          <w:rFonts w:ascii="Consolas" w:hAnsi="Consolas"/>
          <w:sz w:val="20"/>
        </w:rPr>
        <w:t>FORCE ROW LEVEL SECURITY</w:t>
      </w:r>
      <w:r>
        <w:t xml:space="preserve"> only applies when the user is not a</w:t>
      </w:r>
    </w:p>
    <w:p>
      <w:r>
        <w:t xml:space="preserve">   superuser.</w:t>
      </w:r>
    </w:p>
    <w:p>
      <w:pPr>
        <w:pStyle w:val="ListNumber"/>
      </w:pPr>
      <w:r>
        <w:rPr>
          <w:b/>
        </w:rPr>
        <w:t>boto3 enforces a minimum `RoleArn` length of 20</w:t>
      </w:r>
      <w:r>
        <w:t xml:space="preserve"> — but</w:t>
      </w:r>
    </w:p>
    <w:p>
      <w:r>
        <w:t xml:space="preserve">   MinIO's claim-based STS path does not want a </w:t>
      </w:r>
      <w:r>
        <w:rPr>
          <w:rFonts w:ascii="Consolas" w:hAnsi="Consolas"/>
          <w:sz w:val="20"/>
        </w:rPr>
        <w:t>RoleArn</w:t>
      </w:r>
      <w:r>
        <w:t>. The STS</w:t>
      </w:r>
    </w:p>
    <w:p>
      <w:r>
        <w:t xml:space="preserve">   call has to be raw HTTP.</w:t>
      </w:r>
    </w:p>
    <w:p>
      <w:pPr>
        <w:pStyle w:val="ListNumber"/>
      </w:pPr>
      <w:r>
        <w:rPr>
          <w:b/>
        </w:rPr>
        <w:t>The `groups` scope in Keycloak is a custom client scope</w:t>
      </w:r>
      <w:r>
        <w:t>, not a</w:t>
      </w:r>
    </w:p>
    <w:p>
      <w:r>
        <w:t xml:space="preserve">   default-allowed scope on public clients. Requesting it explicitly</w:t>
      </w:r>
    </w:p>
    <w:p>
      <w:r>
        <w:t xml:space="preserve">   in </w:t>
      </w:r>
      <w:r>
        <w:rPr>
          <w:rFonts w:ascii="Consolas" w:hAnsi="Consolas"/>
          <w:sz w:val="20"/>
        </w:rPr>
        <w:t>scope=</w:t>
      </w:r>
      <w:r>
        <w:t xml:space="preserve"> is rejected unless the client has it in</w:t>
      </w:r>
    </w:p>
    <w:p>
      <w:r>
        <w:t xml:space="preserve">   </w:t>
      </w:r>
      <w:r>
        <w:rPr>
          <w:rFonts w:ascii="Consolas" w:hAnsi="Consolas"/>
          <w:sz w:val="20"/>
        </w:rPr>
        <w:t>defaultClientScopes</w:t>
      </w:r>
      <w:r>
        <w:t xml:space="preserve"> or </w:t>
      </w:r>
      <w:r>
        <w:rPr>
          <w:rFonts w:ascii="Consolas" w:hAnsi="Consolas"/>
          <w:sz w:val="20"/>
        </w:rPr>
        <w:t>optionalClientScopes</w:t>
      </w:r>
      <w:r>
        <w:t>.</w:t>
      </w:r>
    </w:p>
    <w:p>
      <w:pPr>
        <w:pStyle w:val="ListNumber"/>
      </w:pPr>
      <w:r>
        <w:t>**Headscale v2 requires every referenced tag to be declared in</w:t>
      </w:r>
    </w:p>
    <w:p>
      <w:r>
        <w:t xml:space="preserve">   </w:t>
      </w:r>
      <w:r>
        <w:rPr>
          <w:rFonts w:ascii="Consolas" w:hAnsi="Consolas"/>
          <w:sz w:val="20"/>
        </w:rPr>
        <w:t>tagOwners</w:t>
      </w:r>
      <w:r>
        <w:t>**, even when the tag maps from an OIDC claim rather</w:t>
      </w:r>
    </w:p>
    <w:p>
      <w:r>
        <w:t xml:space="preserve">   than a preauth key. (Pre-auth ACLs would have caught this, but the</w:t>
      </w:r>
    </w:p>
    <w:p>
      <w:r>
        <w:t xml:space="preserve">   POC uses database mode.)</w:t>
      </w:r>
    </w:p>
    <w:p>
      <w:pPr>
        <w:pStyle w:val="ListNumber"/>
      </w:pPr>
      <w:r>
        <w:t>**Flask session cookies signed with the same key across pods</w:t>
      </w:r>
    </w:p>
    <w:p>
      <w:r>
        <w:t xml:space="preserve">   decrypt on both pods.** Both portals shipped with the same</w:t>
      </w:r>
    </w:p>
    <w:p>
      <w:r>
        <w:t xml:space="preserve">   </w:t>
      </w:r>
      <w:r>
        <w:rPr>
          <w:rFonts w:ascii="Consolas" w:hAnsi="Consolas"/>
          <w:sz w:val="20"/>
        </w:rPr>
        <w:t>FLASK_SECRET</w:t>
      </w:r>
      <w:r>
        <w:t xml:space="preserve"> placeholder, so the intranet's signed cookie</w:t>
      </w:r>
    </w:p>
    <w:p>
      <w:r>
        <w:t xml:space="preserve">   decrypted on the customer pod — the customer then rendered</w:t>
      </w:r>
    </w:p>
    <w:p>
      <w:r>
        <w:t xml:space="preserve">   </w:t>
      </w:r>
      <w:r>
        <w:rPr>
          <w:rFonts w:ascii="Consolas" w:hAnsi="Consolas"/>
          <w:sz w:val="20"/>
        </w:rPr>
        <w:t>Welcome alice.</w:t>
      </w:r>
      <w:r>
        <w:t xml:space="preserve"> even though alice had never logged into the</w:t>
      </w:r>
    </w:p>
    <w:p>
      <w:r>
        <w:t xml:space="preserve">   customer. Fixed with per-pod secrets</w:t>
      </w:r>
    </w:p>
    <w:p>
      <w:r>
        <w:t xml:space="preserve">   (</w:t>
      </w:r>
      <w:r>
        <w:rPr>
          <w:rFonts w:ascii="Consolas" w:hAnsi="Consolas"/>
          <w:sz w:val="20"/>
        </w:rPr>
        <w:t>polaris-poc-intranet-secret-CHANGE_ME</w:t>
      </w:r>
      <w:r>
        <w:t xml:space="preserve"> vs</w:t>
      </w:r>
    </w:p>
    <w:p>
      <w:r>
        <w:t xml:space="preserve">   </w:t>
      </w:r>
      <w:r>
        <w:rPr>
          <w:rFonts w:ascii="Consolas" w:hAnsi="Consolas"/>
          <w:sz w:val="20"/>
        </w:rPr>
        <w:t>polaris-poc-customer-secret-CHANGE_ME</w:t>
      </w:r>
      <w:r>
        <w:t>).</w:t>
      </w:r>
    </w:p>
    <w:p>
      <w:pPr>
        <w:pStyle w:val="ListNumber"/>
      </w:pPr>
      <w:r>
        <w:rPr>
          <w:b/>
        </w:rPr>
        <w:t>Keycloak SSO bridges users at the realm level, not per client.</w:t>
      </w:r>
    </w:p>
    <w:p>
      <w:r>
        <w:t xml:space="preserve">   When alice authenticated against the intranet, Keycloak held a</w:t>
      </w:r>
    </w:p>
    <w:p>
      <w:r>
        <w:t xml:space="preserve">   session for her in the polaris realm. The customer pod then</w:t>
      </w:r>
    </w:p>
    <w:p>
      <w:r>
        <w:t xml:space="preserve">   redirected to Keycloak and Keycloak auto-logged her in (with</w:t>
      </w:r>
    </w:p>
    <w:p>
      <w:r>
        <w:t xml:space="preserve">   </w:t>
      </w:r>
      <w:r>
        <w:rPr>
          <w:rFonts w:ascii="Consolas" w:hAnsi="Consolas"/>
          <w:sz w:val="20"/>
        </w:rPr>
        <w:t>prompt=login</w:t>
      </w:r>
      <w:r>
        <w:t xml:space="preserve"> even pre-filling the username field so only the</w:t>
      </w:r>
    </w:p>
    <w:p>
      <w:r>
        <w:t xml:space="preserve">   password was visible). The customer pod ended up authenticated as</w:t>
      </w:r>
    </w:p>
    <w:p>
      <w:r>
        <w:t xml:space="preserve">   alice. Fixed with </w:t>
      </w:r>
      <w:r>
        <w:rPr>
          <w:rFonts w:ascii="Consolas" w:hAnsi="Consolas"/>
          <w:sz w:val="20"/>
        </w:rPr>
        <w:t>prompt=login</w:t>
      </w:r>
      <w:r>
        <w:t xml:space="preserve"> on </w:t>
      </w:r>
      <w:r>
        <w:rPr>
          <w:rFonts w:ascii="Consolas" w:hAnsi="Consolas"/>
          <w:sz w:val="20"/>
        </w:rPr>
        <w:t>/login</w:t>
      </w:r>
      <w:r>
        <w:t xml:space="preserve"> plus</w:t>
      </w:r>
    </w:p>
    <w:p>
      <w:r>
        <w:t xml:space="preserve">   </w:t>
      </w:r>
      <w:r>
        <w:rPr>
          <w:rFonts w:ascii="Consolas" w:hAnsi="Consolas"/>
          <w:sz w:val="20"/>
        </w:rPr>
        <w:t>ctx.clear_cookies()</w:t>
      </w:r>
      <w:r>
        <w:t xml:space="preserve"> between portal captures. The production</w:t>
      </w:r>
    </w:p>
    <w:p>
      <w:r>
        <w:t xml:space="preserve">   answer is per-portal OIDC clients — flagged as TODO.</w:t>
      </w:r>
    </w:p>
    <w:p>
      <w:pPr>
        <w:pStyle w:val="ListNumber"/>
      </w:pPr>
      <w:r>
        <w:rPr>
          <w:b/>
        </w:rPr>
        <w:t>Grafana's `appUrl` is baked into the Docker image</w:t>
      </w:r>
      <w:r>
        <w:t>, so setting</w:t>
      </w:r>
    </w:p>
    <w:p>
      <w:r>
        <w:t xml:space="preserve">   </w:t>
      </w:r>
      <w:r>
        <w:rPr>
          <w:rFonts w:ascii="Consolas" w:hAnsi="Consolas"/>
          <w:sz w:val="20"/>
        </w:rPr>
        <w:t>GF_AUTH_GENERIC_OAUTH_AUTH_URL</w:t>
      </w:r>
      <w:r>
        <w:t xml:space="preserve"> does not change the</w:t>
      </w:r>
    </w:p>
    <w:p>
      <w:r>
        <w:t xml:space="preserve">   </w:t>
      </w:r>
      <w:r>
        <w:rPr>
          <w:rFonts w:ascii="Consolas" w:hAnsi="Consolas"/>
          <w:sz w:val="20"/>
        </w:rPr>
        <w:t>redirect_uri</w:t>
      </w:r>
      <w:r>
        <w:t xml:space="preserve"> Grafana sends to Keycloak. Without</w:t>
      </w:r>
    </w:p>
    <w:p>
      <w:r>
        <w:t xml:space="preserve">   </w:t>
      </w:r>
      <w:r>
        <w:rPr>
          <w:rFonts w:ascii="Consolas" w:hAnsi="Consolas"/>
          <w:sz w:val="20"/>
        </w:rPr>
        <w:t>GF_SERVER_ROOT_URL=http://127.0.0.1:13001</w:t>
      </w:r>
      <w:r>
        <w:t>, Grafana would</w:t>
      </w:r>
    </w:p>
    <w:p>
      <w:r>
        <w:t xml:space="preserve">   302-redirect to </w:t>
      </w:r>
      <w:r>
        <w:rPr>
          <w:rFonts w:ascii="Consolas" w:hAnsi="Consolas"/>
          <w:sz w:val="20"/>
        </w:rPr>
        <w:t>http://grafana.polaris.ts.net/login/generic_oauth</w:t>
      </w:r>
      <w:r>
        <w:t>,</w:t>
      </w:r>
    </w:p>
    <w:p>
      <w:r>
        <w:t xml:space="preserve">   which does not resolve on the test host.</w:t>
      </w:r>
    </w:p>
    <w:p>
      <w:pPr>
        <w:pStyle w:val="ListNumber"/>
      </w:pPr>
      <w:r>
        <w:rPr>
          <w:b/>
        </w:rPr>
        <w:t>Grafana's `generic_oauth` does not implement PKCE</w:t>
      </w:r>
      <w:r>
        <w:t>, so any</w:t>
      </w:r>
    </w:p>
    <w:p>
      <w:r>
        <w:t xml:space="preserve">   client in Keycloak with </w:t>
      </w:r>
      <w:r>
        <w:rPr>
          <w:rFonts w:ascii="Consolas" w:hAnsi="Consolas"/>
          <w:sz w:val="20"/>
        </w:rPr>
        <w:t>pkce.code.challenge.method</w:t>
      </w:r>
      <w:r>
        <w:t xml:space="preserve"> enforced</w:t>
      </w:r>
    </w:p>
    <w:p>
      <w:r>
        <w:t xml:space="preserve">   rejects the authorize call with `Missing parameter:</w:t>
      </w:r>
    </w:p>
    <w:p>
      <w:r>
        <w:t xml:space="preserve">   code_challenge_method`. Workaround: leave PKCE off for the</w:t>
      </w:r>
    </w:p>
    <w:p>
      <w:r>
        <w:t xml:space="preserve">   pol-grafana client only. The intranet and customer pods were</w:t>
      </w:r>
    </w:p>
    <w:p>
      <w:r>
        <w:t xml:space="preserve">   updated to send PKCE.</w:t>
      </w:r>
    </w:p>
    <w:p/>
    <w:p>
      <w:pPr>
        <w:pStyle w:val="Heading2"/>
      </w:pPr>
      <w:r>
        <w:t>7. Reproduction</w:t>
      </w:r>
    </w:p>
    <w:p/>
    <w:p>
      <w:r>
        <w:t>The full reproduction sequence is in</w:t>
      </w:r>
    </w:p>
    <w:p>
      <w:r>
        <w:t>[</w:t>
      </w:r>
      <w:r>
        <w:rPr>
          <w:rFonts w:ascii="Consolas" w:hAnsi="Consolas"/>
          <w:sz w:val="20"/>
        </w:rPr>
        <w:t>docs/REPRODUCIBILITY.md</w:t>
      </w:r>
      <w:r>
        <w:t>](docs/REPRODUCIBILITY.md) — eleven flat</w:t>
      </w:r>
    </w:p>
    <w:p>
      <w:r>
        <w:t>tasks with the exact commands, expected outputs, and explanations</w:t>
      </w:r>
    </w:p>
    <w:p>
      <w:r>
        <w:t xml:space="preserve">for each. The same tasks are also bundled in </w:t>
      </w:r>
      <w:r>
        <w:rPr>
          <w:rFonts w:ascii="Consolas" w:hAnsi="Consolas"/>
          <w:sz w:val="20"/>
        </w:rPr>
        <w:t>bin/bootstrap.sh</w:t>
      </w:r>
    </w:p>
    <w:p>
      <w:r>
        <w:t xml:space="preserve">(one-shot) and </w:t>
      </w:r>
      <w:r>
        <w:rPr>
          <w:rFonts w:ascii="Consolas" w:hAnsi="Consolas"/>
          <w:sz w:val="20"/>
        </w:rPr>
        <w:t>Makefile</w:t>
      </w:r>
      <w:r>
        <w:t xml:space="preserve"> (thin wrapper around it).</w:t>
      </w:r>
    </w:p>
    <w:p/>
    <w:p>
      <w:r>
        <w:t xml:space="preserve">The one-shot entry point is </w:t>
      </w:r>
      <w:r>
        <w:rPr>
          <w:rFonts w:ascii="Consolas" w:hAnsi="Consolas"/>
          <w:sz w:val="20"/>
        </w:rPr>
        <w:t>make bootstrap</w:t>
      </w:r>
      <w:r>
        <w:t xml:space="preserve"> from the repo root.</w:t>
      </w:r>
    </w:p>
    <w:p/>
    <w:p>
      <w:pPr>
        <w:pStyle w:val="Heading2"/>
      </w:pPr>
      <w:r>
        <w:t>8. Decisions taken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Question</w:t>
            </w:r>
          </w:p>
        </w:tc>
        <w:tc>
          <w:tcPr>
            <w:tcW w:type="dxa" w:w="2880"/>
          </w:tcPr>
          <w:p>
            <w:r/>
            <w:r>
              <w:t>Choice</w:t>
            </w:r>
          </w:p>
        </w:tc>
        <w:tc>
          <w:tcPr>
            <w:tcW w:type="dxa" w:w="2880"/>
          </w:tcPr>
          <w:p>
            <w:r/>
            <w:r>
              <w:t>Reasoning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Sync Keycloak groups to Headscale tags?</w:t>
            </w:r>
          </w:p>
        </w:tc>
        <w:tc>
          <w:tcPr>
            <w:tcW w:type="dxa" w:w="2880"/>
          </w:tcPr>
          <w:p>
            <w:r/>
            <w:r>
              <w:t xml:space="preserve">manual </w:t>
            </w:r>
            <w:r>
              <w:rPr>
                <w:rFonts w:ascii="Consolas" w:hAnsi="Consolas"/>
                <w:sz w:val="20"/>
              </w:rPr>
              <w:t>headscale nodes tag</w:t>
            </w:r>
            <w:r>
              <w:t xml:space="preserve"> for the POC</w:t>
            </w:r>
          </w:p>
        </w:tc>
        <w:tc>
          <w:tcPr>
            <w:tcW w:type="dxa" w:w="2880"/>
          </w:tcPr>
          <w:p>
            <w:r/>
            <w:r>
              <w:t>webhook automation is straightforward but out of scope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Schema-per-tenant or shared schema in Postgres?</w:t>
            </w:r>
          </w:p>
        </w:tc>
        <w:tc>
          <w:tcPr>
            <w:tcW w:type="dxa" w:w="2880"/>
          </w:tcPr>
          <w:p>
            <w:r/>
            <w:r>
              <w:t xml:space="preserve">shared schema + RLS via </w:t>
            </w:r>
            <w:r>
              <w:rPr>
                <w:rFonts w:ascii="Consolas" w:hAnsi="Consolas"/>
                <w:sz w:val="20"/>
              </w:rPr>
              <w:t>SET LOCAL</w:t>
            </w:r>
          </w:p>
        </w:tc>
        <w:tc>
          <w:tcPr>
            <w:tcW w:type="dxa" w:w="2880"/>
          </w:tcPr>
          <w:p>
            <w:r/>
            <w:r>
              <w:t>cheaper ops, one migration applies to all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Customer portal API-first or HTML-only?</w:t>
            </w:r>
          </w:p>
        </w:tc>
        <w:tc>
          <w:tcPr>
            <w:tcW w:type="dxa" w:w="2880"/>
          </w:tcPr>
          <w:p>
            <w:r/>
            <w:r>
              <w:t>HTML-only</w:t>
            </w:r>
          </w:p>
        </w:tc>
        <w:tc>
          <w:tcPr>
            <w:tcW w:type="dxa" w:w="2880"/>
          </w:tcPr>
          <w:p>
            <w:r/>
            <w:r>
              <w:t>API contract is a separate workstream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Prometheus?</w:t>
            </w:r>
          </w:p>
        </w:tc>
        <w:tc>
          <w:tcPr>
            <w:tcW w:type="dxa" w:w="2880"/>
          </w:tcPr>
          <w:p>
            <w:r/>
            <w:r>
              <w:t>skipped (Grafana + Postgres datasource only)</w:t>
            </w:r>
          </w:p>
        </w:tc>
        <w:tc>
          <w:tcPr>
            <w:tcW w:type="dxa" w:w="2880"/>
          </w:tcPr>
          <w:p>
            <w:r/>
            <w:r>
              <w:t>metric scope is small; Grafana queries are enough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LocalStack or MinIO for S3+IAM?</w:t>
            </w:r>
          </w:p>
        </w:tc>
        <w:tc>
          <w:tcPr>
            <w:tcW w:type="dxa" w:w="2880"/>
          </w:tcPr>
          <w:p>
            <w:r/>
            <w:r>
              <w:t>MinIO with OIDC</w:t>
            </w:r>
          </w:p>
        </w:tc>
        <w:tc>
          <w:tcPr>
            <w:tcW w:type="dxa" w:w="2880"/>
          </w:tcPr>
          <w:p>
            <w:r/>
            <w:r>
              <w:t xml:space="preserve">lighter, OIDC first-class via </w:t>
            </w:r>
            <w:r>
              <w:rPr>
                <w:rFonts w:ascii="Consolas" w:hAnsi="Consolas"/>
                <w:sz w:val="20"/>
              </w:rPr>
              <w:t>MINIO_IDENTITY_OPENID_*</w:t>
            </w:r>
            <w:r>
              <w:t>, native STS</w:t>
            </w:r>
          </w:p>
        </w:tc>
      </w:tr>
    </w:tbl>
    <w:p/>
    <w:p>
      <w:pPr>
        <w:pStyle w:val="Heading2"/>
      </w:pPr>
      <w:r>
        <w:t>9. Known risks at POC close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Risk</w:t>
            </w:r>
          </w:p>
        </w:tc>
        <w:tc>
          <w:tcPr>
            <w:tcW w:type="dxa" w:w="2160"/>
          </w:tcPr>
          <w:p>
            <w:r/>
            <w:r>
              <w:t>Mitigation</w:t>
            </w:r>
          </w:p>
        </w:tc>
        <w:tc>
          <w:tcPr>
            <w:tcW w:type="dxa" w:w="2160"/>
          </w:tcPr>
          <w:p>
            <w:r/>
            <w:r>
              <w:t>Status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R1</w:t>
            </w:r>
          </w:p>
        </w:tc>
        <w:tc>
          <w:tcPr>
            <w:tcW w:type="dxa" w:w="2160"/>
          </w:tcPr>
          <w:p>
            <w:r/>
            <w:r>
              <w:t>Headscale single instance (no HA)</w:t>
            </w:r>
          </w:p>
        </w:tc>
        <w:tc>
          <w:tcPr>
            <w:tcW w:type="dxa" w:w="2160"/>
          </w:tcPr>
          <w:p>
            <w:r/>
            <w:r>
              <w:t>run two, peer them</w:t>
            </w:r>
          </w:p>
        </w:tc>
        <w:tc>
          <w:tcPr>
            <w:tcW w:type="dxa" w:w="2160"/>
          </w:tcPr>
          <w:p>
            <w:r/>
            <w:r>
              <w:t>out of scope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R2</w:t>
            </w:r>
          </w:p>
        </w:tc>
        <w:tc>
          <w:tcPr>
            <w:tcW w:type="dxa" w:w="2160"/>
          </w:tcPr>
          <w:p>
            <w:r/>
            <w:r>
              <w:t>keycloak_db backed by Postgres → SPOF</w:t>
            </w:r>
          </w:p>
        </w:tc>
        <w:tc>
          <w:tcPr>
            <w:tcW w:type="dxa" w:w="2160"/>
          </w:tcPr>
          <w:p>
            <w:r/>
            <w:r>
              <w:t>external DB</w:t>
            </w:r>
          </w:p>
        </w:tc>
        <w:tc>
          <w:tcPr>
            <w:tcW w:type="dxa" w:w="2160"/>
          </w:tcPr>
          <w:p>
            <w:r/>
            <w:r>
              <w:t>out of scope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R3</w:t>
            </w:r>
          </w:p>
        </w:tc>
        <w:tc>
          <w:tcPr>
            <w:tcW w:type="dxa" w:w="2160"/>
          </w:tcPr>
          <w:p>
            <w:r/>
            <w:r>
              <w:t>pgAdmin not deployed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out of scope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R4</w:t>
            </w:r>
          </w:p>
        </w:tc>
        <w:tc>
          <w:tcPr>
            <w:tcW w:type="dxa" w:w="2160"/>
          </w:tcPr>
          <w:p>
            <w:r/>
            <w:r>
              <w:t>bootstrap boto3 has hardcoded credentials</w:t>
            </w:r>
          </w:p>
        </w:tc>
        <w:tc>
          <w:tcPr>
            <w:tcW w:type="dxa" w:w="2160"/>
          </w:tcPr>
          <w:p>
            <w:r/>
            <w:r>
              <w:t>use Vault / SOPS</w:t>
            </w:r>
          </w:p>
        </w:tc>
        <w:tc>
          <w:tcPr>
            <w:tcW w:type="dxa" w:w="2160"/>
          </w:tcPr>
          <w:p>
            <w:r/>
            <w:r>
              <w:t>out of scope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R5</w:t>
            </w:r>
          </w:p>
        </w:tc>
        <w:tc>
          <w:tcPr>
            <w:tcW w:type="dxa" w:w="2160"/>
          </w:tcPr>
          <w:p>
            <w:r/>
            <w:r>
              <w:t>Resource-owner password grant used by all portals</w:t>
            </w:r>
          </w:p>
        </w:tc>
        <w:tc>
          <w:tcPr>
            <w:tcW w:type="dxa" w:w="2160"/>
          </w:tcPr>
          <w:p>
            <w:r/>
            <w:r>
              <w:t>switch to auth-code flow</w:t>
            </w:r>
          </w:p>
        </w:tc>
        <w:tc>
          <w:tcPr>
            <w:tcW w:type="dxa" w:w="2160"/>
          </w:tcPr>
          <w:p>
            <w:r/>
            <w:r>
              <w:t>planned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R6</w:t>
            </w:r>
          </w:p>
        </w:tc>
        <w:tc>
          <w:tcPr>
            <w:tcW w:type="dxa" w:w="2160"/>
          </w:tcPr>
          <w:p>
            <w:r/>
            <w:r>
              <w:t>No MFA on Keycloak</w:t>
            </w:r>
          </w:p>
        </w:tc>
        <w:tc>
          <w:tcPr>
            <w:tcW w:type="dxa" w:w="2160"/>
          </w:tcPr>
          <w:p>
            <w:r/>
            <w:r>
              <w:t>enable WebAuthn in prod</w:t>
            </w:r>
          </w:p>
        </w:tc>
        <w:tc>
          <w:tcPr>
            <w:tcW w:type="dxa" w:w="2160"/>
          </w:tcPr>
          <w:p>
            <w:r/>
            <w:r>
              <w:t>planned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R7</w:t>
            </w:r>
          </w:p>
        </w:tc>
        <w:tc>
          <w:tcPr>
            <w:tcW w:type="dxa" w:w="2160"/>
          </w:tcPr>
          <w:p>
            <w:r/>
            <w:r>
              <w:t>MinIO community archives discontinued</w:t>
            </w:r>
          </w:p>
        </w:tc>
        <w:tc>
          <w:tcPr>
            <w:tcW w:type="dxa" w:w="2160"/>
          </w:tcPr>
          <w:p>
            <w:r/>
            <w:r>
              <w:t xml:space="preserve">pin to cached </w:t>
            </w:r>
            <w:r>
              <w:rPr>
                <w:rFonts w:ascii="Consolas" w:hAnsi="Consolas"/>
                <w:sz w:val="20"/>
              </w:rPr>
              <w:t>RELEASE.2024-01-18</w:t>
            </w:r>
          </w:p>
        </w:tc>
        <w:tc>
          <w:tcPr>
            <w:tcW w:type="dxa" w:w="2160"/>
          </w:tcPr>
          <w:p>
            <w:r/>
            <w:r>
              <w:t>mitigated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R8</w:t>
            </w:r>
          </w:p>
        </w:tc>
        <w:tc>
          <w:tcPr>
            <w:tcW w:type="dxa" w:w="2160"/>
          </w:tcPr>
          <w:p>
            <w:r/>
            <w:r>
              <w:t>MinIO OIDC aud claim requires per-client audience mapper</w:t>
            </w:r>
          </w:p>
        </w:tc>
        <w:tc>
          <w:tcPr>
            <w:tcW w:type="dxa" w:w="2160"/>
          </w:tcPr>
          <w:p>
            <w:r/>
            <w:r>
              <w:t>added in realm JSON + admin API</w:t>
            </w:r>
          </w:p>
        </w:tc>
        <w:tc>
          <w:tcPr>
            <w:tcW w:type="dxa" w:w="2160"/>
          </w:tcPr>
          <w:p>
            <w:r/>
            <w:r>
              <w:t>fixed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R9</w:t>
            </w:r>
          </w:p>
        </w:tc>
        <w:tc>
          <w:tcPr>
            <w:tcW w:type="dxa" w:w="2160"/>
          </w:tcPr>
          <w:p>
            <w:r/>
            <w:r>
              <w:t>boto3 STS rejects empty RoleArn</w:t>
            </w:r>
          </w:p>
        </w:tc>
        <w:tc>
          <w:tcPr>
            <w:tcW w:type="dxa" w:w="2160"/>
          </w:tcPr>
          <w:p>
            <w:r/>
            <w:r>
              <w:t>raw HTTP for STS</w:t>
            </w:r>
          </w:p>
        </w:tc>
        <w:tc>
          <w:tcPr>
            <w:tcW w:type="dxa" w:w="2160"/>
          </w:tcPr>
          <w:p>
            <w:r/>
            <w:r>
              <w:t>fixed</w:t>
            </w:r>
          </w:p>
        </w:tc>
      </w:tr>
    </w:tbl>
    <w:p/>
    <w:p>
      <w:pPr>
        <w:pStyle w:val="Heading2"/>
      </w:pPr>
      <w:r>
        <w:t>10. Out of scope</w:t>
      </w:r>
    </w:p>
    <w:p/>
    <w:p>
      <w:pPr>
        <w:pStyle w:val="ListBullet"/>
      </w:pPr>
      <w:r>
        <w:t>TLS certificates (in prod: cert-manager + Let's Encrypt)</w:t>
      </w:r>
    </w:p>
    <w:p>
      <w:pPr>
        <w:pStyle w:val="ListBullet"/>
      </w:pPr>
      <w:r>
        <w:t>Service mesh (Linkerd / Istio)</w:t>
      </w:r>
    </w:p>
    <w:p>
      <w:pPr>
        <w:pStyle w:val="ListBullet"/>
      </w:pPr>
      <w:r>
        <w:t>Backup / disaster recovery</w:t>
      </w:r>
    </w:p>
    <w:p>
      <w:pPr>
        <w:pStyle w:val="ListBullet"/>
      </w:pPr>
      <w:r>
        <w:t>Secrets management (Vault, External Secrets Operator)</w:t>
      </w:r>
    </w:p>
    <w:p>
      <w:pPr>
        <w:pStyle w:val="ListBullet"/>
      </w:pPr>
      <w:r>
        <w:t>CI/CD (ArgoCD / Flux)</w:t>
      </w:r>
    </w:p>
    <w:p>
      <w:pPr>
        <w:pStyle w:val="ListBullet"/>
      </w:pPr>
      <w:r>
        <w:t>Observability stack (Prometheus + Loki + Tempo)</w:t>
      </w:r>
    </w:p>
    <w:p>
      <w:pPr>
        <w:pStyle w:val="ListBullet"/>
      </w:pPr>
      <w:r>
        <w:t>Production-grade multi-tenant OIDC federation</w:t>
      </w:r>
    </w:p>
    <w:p>
      <w:pPr>
        <w:pStyle w:val="ListBullet"/>
      </w:pPr>
      <w:r>
        <w:t>Cost analysis at scale</w:t>
      </w:r>
    </w:p>
    <w:p/>
    <w:p>
      <w:pPr>
        <w:pStyle w:val="Heading2"/>
      </w:pPr>
      <w:r>
        <w:t>Appendix A — sample end-to-end output</w:t>
      </w:r>
    </w:p>
    <w:p/>
    <w:p>
      <w:pPr>
        <w:pStyle w:val="NoSpacing"/>
      </w:pPr>
      <w:r>
        <w:rPr>
          <w:rFonts w:ascii="Consolas" w:hAnsi="Consolas"/>
          <w:sz w:val="18"/>
        </w:rPr>
        <w:t>=== alice-acme (tenant=acme) ===</w:t>
        <w:br/>
        <w:t xml:space="preserve">  STS OK (G0WGQSIFG2CCTDZGF2OK...)</w:t>
        <w:br/>
        <w:t xml:space="preserve">  expected bucket: pol-data-acme</w:t>
        <w:br/>
        <w:t xml:space="preserve">  ListObjects OK in pol-data-acme:</w:t>
        <w:br/>
        <w:t xml:space="preserve">    - README.md (285 B)</w:t>
        <w:br/>
        <w:t xml:space="preserve">  /data: 2 rows</w:t>
        <w:br/>
        <w:t xml:space="preserve">    contract-id: ACME-2026-001</w:t>
        <w:br/>
        <w:t xml:space="preserve">    monthly-revenue: $ 4.2M</w:t>
        <w:br/>
        <w:t xml:space="preserve">  /files: STS OK (G0WGQSIFG2CCTDZGF2OK...) bucket=pol-data-acme</w:t>
        <w:br/>
        <w:br/>
        <w:t>=== bob-brightside (tenant=brightside) ===</w:t>
        <w:br/>
        <w:t xml:space="preserve">  STS OK (RWUG5BS59Y52M9SSESMC...)</w:t>
        <w:br/>
        <w:t xml:space="preserve">  expected bucket: pol-data-brightside</w:t>
        <w:br/>
        <w:t xml:space="preserve">  ListObjects OK in pol-data-brightside:</w:t>
        <w:br/>
        <w:t xml:space="preserve">    - README.md (299 B)</w:t>
        <w:br/>
        <w:t xml:space="preserve">  /data: 2 rows</w:t>
        <w:br/>
        <w:t xml:space="preserve">    contract-id: BRIGHT-2026-007</w:t>
        <w:br/>
        <w:t xml:space="preserve">    monthly-revenue: $ 1.8M</w:t>
        <w:br/>
        <w:t xml:space="preserve">  /files: STS OK (RWUG5BS59Y52M9SSESMC...) bucket=pol-data-brightside</w:t>
        <w:br/>
        <w:br/>
        <w:t>=== carol-northwind (tenant=partners) ===</w:t>
        <w:br/>
        <w:t xml:space="preserve">  STS OK (SGBDDDYWWDJD7TG70PG7...)</w:t>
        <w:br/>
        <w:t xml:space="preserve">  expected bucket: pol-data-partners</w:t>
        <w:br/>
        <w:t xml:space="preserve">  ListObjects OK in pol-data-partners:</w:t>
        <w:br/>
        <w:t xml:space="preserve">    - README.md (283 B)</w:t>
        <w:br/>
        <w:t xml:space="preserve">  /data: 1 rows</w:t>
        <w:br/>
        <w:t xml:space="preserve">    partner-tier: gold</w:t>
        <w:br/>
        <w:t xml:space="preserve">  /files: STS OK (SGBDDDYWWDJD7TG70PG7...) bucket=pol-data-partners</w:t>
        <w:br/>
        <w:br/>
        <w:t>=== alice (employee, no tenant group) ===</w:t>
        <w:br/>
        <w:t xml:space="preserve">  /data: HTTP 403</w:t>
        <w:br/>
        <w:t xml:space="preserve">  /files: HTTP 403</w:t>
      </w:r>
    </w:p>
    <w:p/>
    <w:p>
      <w:r>
        <w:t>Negative case:</w:t>
      </w:r>
    </w:p>
    <w:p/>
    <w:p>
      <w:pPr>
        <w:pStyle w:val="NoSpacing"/>
      </w:pPr>
      <w:r>
        <w:rPr>
          <w:rFonts w:ascii="Consolas" w:hAnsi="Consolas"/>
          <w:sz w:val="18"/>
        </w:rPr>
        <w:t>=== alice-acme attempting pol-data-ops ===</w:t>
        <w:br/>
        <w:t xml:space="preserve">  STS OK with access_key 20LN0X4HSBLJFK4ITFUV...</w:t>
        <w:br/>
        <w:t xml:space="preserve">  pol-data-acme: ALLOWED (has 1 objects)</w:t>
        <w:br/>
        <w:t xml:space="preserve">  pol-data-ops: DENIED (AccessDenied: An error occurred (AccessDenied) ...)</w:t>
      </w:r>
    </w:p>
    <w:p/>
    <w:p>
      <w:pPr>
        <w:pStyle w:val="Heading2"/>
      </w:pPr>
      <w:r>
        <w:t>Appendix B — references</w:t>
      </w:r>
    </w:p>
    <w:p/>
    <w:p>
      <w:pPr>
        <w:pStyle w:val="ListBullet"/>
      </w:pPr>
      <w:r>
        <w:t xml:space="preserve">MinIO STS source: </w:t>
      </w:r>
      <w:r>
        <w:rPr>
          <w:rFonts w:ascii="Consolas" w:hAnsi="Consolas"/>
          <w:sz w:val="20"/>
        </w:rPr>
        <w:t>minio/cmd/sts-handlers.go</w:t>
      </w:r>
    </w:p>
    <w:p>
      <w:pPr>
        <w:pStyle w:val="ListBullet"/>
      </w:pPr>
      <w:r>
        <w:t xml:space="preserve">MinIO ARN format: </w:t>
      </w:r>
      <w:r>
        <w:rPr>
          <w:rFonts w:ascii="Consolas" w:hAnsi="Consolas"/>
          <w:sz w:val="20"/>
        </w:rPr>
        <w:t>minio/internal/arn/arn.go</w:t>
      </w:r>
    </w:p>
    <w:p>
      <w:pPr>
        <w:pStyle w:val="ListBullet"/>
        <w:ind w:left="1440"/>
      </w:pPr>
      <w:r>
        <w:rPr>
          <w:rFonts w:ascii="Consolas" w:hAnsi="Consolas"/>
          <w:sz w:val="20"/>
        </w:rPr>
        <w:t>arn:minio:iam:&lt;region&gt;::role/&lt;base64url(sha1(clientID))&gt;</w:t>
      </w:r>
    </w:p>
    <w:p>
      <w:pPr>
        <w:pStyle w:val="ListBullet"/>
      </w:pPr>
      <w:r>
        <w:t xml:space="preserve">Keycloak 24 protocol mappers: </w:t>
      </w:r>
      <w:r>
        <w:rPr>
          <w:rFonts w:ascii="Consolas" w:hAnsi="Consolas"/>
          <w:sz w:val="20"/>
        </w:rPr>
        <w:t>oidc-group-membership-mapper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oidc-audience-mapper</w:t>
      </w:r>
    </w:p>
    <w:p>
      <w:pPr>
        <w:pStyle w:val="ListBullet"/>
      </w:pPr>
      <w:r>
        <w:t>Headscale ACLv2 docs: https://headscale.net/stable/ref/acls/</w:t>
      </w:r>
    </w:p>
    <w:p>
      <w:pPr>
        <w:pStyle w:val="ListBullet"/>
      </w:pPr>
      <w:r>
        <w:t>Postgres RLS: https://www.postgresql.org/docs/16/ddl-rowsecurity.html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