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40" w:before="720"/>
        <w:jc w:val="center"/>
      </w:pPr>
      <w:r>
        <w:rPr>
          <w:rFonts w:ascii="Calibri" w:cs="Calibri" w:eastAsia="Calibri" w:hAnsi="Calibri"/>
          <w:b/>
          <w:bCs/>
          <w:sz w:val="48"/>
          <w:szCs w:val="48"/>
        </w:rPr>
        <w:t xml:space="preserve">ASSIGNMENT 1</w:t>
      </w:r>
    </w:p>
    <w:p>
      <w:pPr>
        <w:spacing w:after="480" w:before="120"/>
        <w:jc w:val="center"/>
      </w:pPr>
      <w:r>
        <w:rPr>
          <w:rFonts w:ascii="Calibri" w:cs="Calibri" w:eastAsia="Calibri" w:hAnsi="Calibri"/>
          <w:b/>
          <w:bCs/>
          <w:sz w:val="28"/>
          <w:szCs w:val="28"/>
        </w:rPr>
        <w:t xml:space="preserve">Data Ingestion Pipeline</w:t>
      </w:r>
    </w:p>
    <w:p>
      <w:pPr>
        <w:spacing w:after="120" w:before="240"/>
        <w:jc w:val="center"/>
      </w:pPr>
      <w:r>
        <w:rPr>
          <w:rFonts w:ascii="Calibri" w:cs="Calibri" w:eastAsia="Calibri" w:hAnsi="Calibri"/>
          <w:sz w:val="22"/>
          <w:szCs w:val="22"/>
        </w:rPr>
        <w:t xml:space="preserve">By: Marina Cruz</w:t>
      </w:r>
    </w:p>
    <w:p>
      <w:pPr>
        <w:spacing w:after="120" w:before="0"/>
        <w:jc w:val="center"/>
      </w:pPr>
      <w:r>
        <w:rPr>
          <w:rFonts w:ascii="Calibri" w:cs="Calibri" w:eastAsia="Calibri" w:hAnsi="Calibri"/>
          <w:sz w:val="22"/>
          <w:szCs w:val="22"/>
        </w:rPr>
        <w:t xml:space="preserve">Big Data Technology</w:t>
      </w:r>
    </w:p>
    <w:p>
      <w:pPr>
        <w:spacing w:after="720" w:before="0"/>
        <w:jc w:val="center"/>
      </w:pPr>
      <w:r>
        <w:rPr>
          <w:rFonts w:ascii="Calibri" w:cs="Calibri" w:eastAsia="Calibri" w:hAnsi="Calibri"/>
          <w:sz w:val="22"/>
          <w:szCs w:val="22"/>
        </w:rPr>
        <w:t xml:space="preserve">March 2025</w:t>
      </w:r>
    </w:p>
    <w:p>
      <w:pPr>
        <w:spacing w:after="0" w:before="0"/>
      </w:pPr>
      <w:r>
        <w:t xml:space="preserve"/>
      </w:r>
    </w:p>
    <w:p>
      <w:pPr>
        <w:spacing w:after="0" w:before="0"/>
      </w:pPr>
      <w:r>
        <w:t xml:space="preserve"/>
      </w:r>
    </w:p>
    <w:p>
      <w:pPr>
        <w:spacing w:after="0" w:before="0"/>
      </w:pPr>
      <w:r>
        <w:t xml:space="preserve"/>
      </w:r>
    </w:p>
    <w:p>
      <w:pPr>
        <w:spacing w:after="120" w:before="480"/>
      </w:pPr>
      <w:r>
        <w:rPr>
          <w:rFonts w:ascii="Calibri" w:cs="Calibri" w:eastAsia="Calibri" w:hAnsi="Calibri"/>
          <w:b/>
          <w:bCs/>
          <w:sz w:val="22"/>
          <w:szCs w:val="22"/>
        </w:rPr>
        <w:t xml:space="preserve">Github Repository: </w:t>
      </w:r>
    </w:p>
    <w:p>
      <w:pPr>
        <w:spacing w:after="120" w:before="0"/>
      </w:pPr>
      <w:hyperlink w:history="1" r:id="rIdwdg3mix-g5qvr980mgj1q">
        <w:r>
          <w:rPr>
            <w:rStyle w:val="Hyperlink"/>
            <w:rFonts w:ascii="Calibri" w:cs="Calibri" w:eastAsia="Calibri" w:hAnsi="Calibri"/>
            <w:sz w:val="22"/>
            <w:szCs w:val="22"/>
          </w:rPr>
          <w:t xml:space="preserve">https://github.com/cmarina2605-alt/BigDataMarina</w:t>
        </w:r>
      </w:hyperlink>
    </w:p>
    <w:p>
      <w:r>
        <w:br w:type="page"/>
      </w:r>
    </w:p>
    <w:p>
      <w:pPr>
        <w:spacing w:after="360" w:before="240"/>
      </w:pPr>
      <w:r>
        <w:rPr>
          <w:rFonts w:ascii="Calibri" w:cs="Calibri" w:eastAsia="Calibri" w:hAnsi="Calibri"/>
          <w:b/>
          <w:bCs/>
          <w:sz w:val="32"/>
          <w:szCs w:val="32"/>
        </w:rPr>
        <w:t xml:space="preserve">TABLE OF CONTENTS</w:t>
      </w:r>
    </w:p>
    <w:p>
      <w:pPr>
        <w:spacing w:after="60" w:before="60"/>
      </w:pPr>
      <w:r>
        <w:rPr>
          <w:rFonts w:ascii="Calibri" w:cs="Calibri" w:eastAsia="Calibri" w:hAnsi="Calibri"/>
          <w:sz w:val="20"/>
          <w:szCs w:val="20"/>
        </w:rPr>
        <w:t xml:space="preserve">1. Motivation and Expected Insights</w:t>
      </w:r>
    </w:p>
    <w:p>
      <w:pPr>
        <w:spacing w:after="60" w:before="60"/>
      </w:pPr>
      <w:r>
        <w:rPr>
          <w:rFonts w:ascii="Calibri" w:cs="Calibri" w:eastAsia="Calibri" w:hAnsi="Calibri"/>
          <w:sz w:val="20"/>
          <w:szCs w:val="20"/>
        </w:rPr>
        <w:t xml:space="preserve">      1.1. Research Context</w:t>
      </w:r>
    </w:p>
    <w:p>
      <w:pPr>
        <w:spacing w:after="60" w:before="60"/>
      </w:pPr>
      <w:r>
        <w:rPr>
          <w:rFonts w:ascii="Calibri" w:cs="Calibri" w:eastAsia="Calibri" w:hAnsi="Calibri"/>
          <w:sz w:val="20"/>
          <w:szCs w:val="20"/>
        </w:rPr>
        <w:t xml:space="preserve">      1.2. Key Research Questions</w:t>
      </w:r>
    </w:p>
    <w:p>
      <w:pPr>
        <w:spacing w:after="60" w:before="60"/>
      </w:pPr>
      <w:r>
        <w:rPr>
          <w:rFonts w:ascii="Calibri" w:cs="Calibri" w:eastAsia="Calibri" w:hAnsi="Calibri"/>
          <w:sz w:val="20"/>
          <w:szCs w:val="20"/>
        </w:rPr>
        <w:t xml:space="preserve">      1.3. Why This Topic Matters</w:t>
      </w:r>
    </w:p>
    <w:p>
      <w:pPr>
        <w:spacing w:after="60" w:before="60"/>
      </w:pPr>
      <w:r>
        <w:rPr>
          <w:rFonts w:ascii="Calibri" w:cs="Calibri" w:eastAsia="Calibri" w:hAnsi="Calibri"/>
          <w:sz w:val="20"/>
          <w:szCs w:val="20"/>
        </w:rPr>
        <w:t xml:space="preserve">2. Dataset Analysis</w:t>
      </w:r>
    </w:p>
    <w:p>
      <w:pPr>
        <w:spacing w:after="60" w:before="60"/>
      </w:pPr>
      <w:r>
        <w:rPr>
          <w:rFonts w:ascii="Calibri" w:cs="Calibri" w:eastAsia="Calibri" w:hAnsi="Calibri"/>
          <w:sz w:val="20"/>
          <w:szCs w:val="20"/>
        </w:rPr>
        <w:t xml:space="preserve">      2.1. Data Sources Overview</w:t>
      </w:r>
    </w:p>
    <w:p>
      <w:pPr>
        <w:spacing w:after="60" w:before="60"/>
      </w:pPr>
      <w:r>
        <w:rPr>
          <w:rFonts w:ascii="Calibri" w:cs="Calibri" w:eastAsia="Calibri" w:hAnsi="Calibri"/>
          <w:sz w:val="20"/>
          <w:szCs w:val="20"/>
        </w:rPr>
        <w:t xml:space="preserve">      2.2. Metadata Analysis</w:t>
      </w:r>
    </w:p>
    <w:p>
      <w:pPr>
        <w:spacing w:after="60" w:before="60"/>
      </w:pPr>
      <w:r>
        <w:rPr>
          <w:rFonts w:ascii="Calibri" w:cs="Calibri" w:eastAsia="Calibri" w:hAnsi="Calibri"/>
          <w:sz w:val="20"/>
          <w:szCs w:val="20"/>
        </w:rPr>
        <w:t xml:space="preserve">3. Data Architecture Design</w:t>
      </w:r>
    </w:p>
    <w:p>
      <w:pPr>
        <w:spacing w:after="60" w:before="60"/>
      </w:pPr>
      <w:r>
        <w:rPr>
          <w:rFonts w:ascii="Calibri" w:cs="Calibri" w:eastAsia="Calibri" w:hAnsi="Calibri"/>
          <w:sz w:val="20"/>
          <w:szCs w:val="20"/>
        </w:rPr>
        <w:t xml:space="preserve">      3.1. Architecture Overview</w:t>
      </w:r>
    </w:p>
    <w:p>
      <w:pPr>
        <w:spacing w:after="60" w:before="60"/>
      </w:pPr>
      <w:r>
        <w:rPr>
          <w:rFonts w:ascii="Calibri" w:cs="Calibri" w:eastAsia="Calibri" w:hAnsi="Calibri"/>
          <w:sz w:val="20"/>
          <w:szCs w:val="20"/>
        </w:rPr>
        <w:t xml:space="preserve">      3.2. Why an ETL Approach</w:t>
      </w:r>
    </w:p>
    <w:p>
      <w:pPr>
        <w:spacing w:after="60" w:before="60"/>
      </w:pPr>
      <w:r>
        <w:rPr>
          <w:rFonts w:ascii="Calibri" w:cs="Calibri" w:eastAsia="Calibri" w:hAnsi="Calibri"/>
          <w:sz w:val="20"/>
          <w:szCs w:val="20"/>
        </w:rPr>
        <w:t xml:space="preserve">      3.3. Component Rationale</w:t>
      </w:r>
    </w:p>
    <w:p>
      <w:pPr>
        <w:spacing w:after="60" w:before="60"/>
      </w:pPr>
      <w:r>
        <w:rPr>
          <w:rFonts w:ascii="Calibri" w:cs="Calibri" w:eastAsia="Calibri" w:hAnsi="Calibri"/>
          <w:sz w:val="20"/>
          <w:szCs w:val="20"/>
        </w:rPr>
        <w:t xml:space="preserve">      3.4. Roles Associated with Each Process</w:t>
      </w:r>
    </w:p>
    <w:p>
      <w:pPr>
        <w:spacing w:after="60" w:before="60"/>
      </w:pPr>
      <w:r>
        <w:rPr>
          <w:rFonts w:ascii="Calibri" w:cs="Calibri" w:eastAsia="Calibri" w:hAnsi="Calibri"/>
          <w:sz w:val="20"/>
          <w:szCs w:val="20"/>
        </w:rPr>
        <w:t xml:space="preserve">4. Data Ingestion Pipeline</w:t>
      </w:r>
    </w:p>
    <w:p>
      <w:pPr>
        <w:spacing w:after="60" w:before="60"/>
      </w:pPr>
      <w:r>
        <w:rPr>
          <w:rFonts w:ascii="Calibri" w:cs="Calibri" w:eastAsia="Calibri" w:hAnsi="Calibri"/>
          <w:sz w:val="20"/>
          <w:szCs w:val="20"/>
        </w:rPr>
        <w:t xml:space="preserve">      4.1. Orchestration and Execution Order</w:t>
      </w:r>
    </w:p>
    <w:p>
      <w:pPr>
        <w:spacing w:after="60" w:before="60"/>
      </w:pPr>
      <w:r>
        <w:rPr>
          <w:rFonts w:ascii="Calibri" w:cs="Calibri" w:eastAsia="Calibri" w:hAnsi="Calibri"/>
          <w:sz w:val="20"/>
          <w:szCs w:val="20"/>
        </w:rPr>
        <w:t xml:space="preserve">      4.2. Download Phase</w:t>
      </w:r>
    </w:p>
    <w:p>
      <w:pPr>
        <w:spacing w:after="60" w:before="60"/>
      </w:pPr>
      <w:r>
        <w:rPr>
          <w:rFonts w:ascii="Calibri" w:cs="Calibri" w:eastAsia="Calibri" w:hAnsi="Calibri"/>
          <w:sz w:val="20"/>
          <w:szCs w:val="20"/>
        </w:rPr>
        <w:t xml:space="preserve">      4.3. Transformation Phase</w:t>
      </w:r>
    </w:p>
    <w:p>
      <w:pPr>
        <w:spacing w:after="60" w:before="60"/>
      </w:pPr>
      <w:r>
        <w:rPr>
          <w:rFonts w:ascii="Calibri" w:cs="Calibri" w:eastAsia="Calibri" w:hAnsi="Calibri"/>
          <w:sz w:val="20"/>
          <w:szCs w:val="20"/>
        </w:rPr>
        <w:t xml:space="preserve">      4.4. Validation Phase</w:t>
      </w:r>
    </w:p>
    <w:p>
      <w:pPr>
        <w:spacing w:after="60" w:before="60"/>
      </w:pPr>
      <w:r>
        <w:rPr>
          <w:rFonts w:ascii="Calibri" w:cs="Calibri" w:eastAsia="Calibri" w:hAnsi="Calibri"/>
          <w:sz w:val="20"/>
          <w:szCs w:val="20"/>
        </w:rPr>
        <w:t xml:space="preserve">      4.5. Prerequisites for Execution</w:t>
      </w:r>
    </w:p>
    <w:p>
      <w:pPr>
        <w:spacing w:after="60" w:before="60"/>
      </w:pPr>
      <w:r>
        <w:rPr>
          <w:rFonts w:ascii="Calibri" w:cs="Calibri" w:eastAsia="Calibri" w:hAnsi="Calibri"/>
          <w:sz w:val="20"/>
          <w:szCs w:val="20"/>
        </w:rPr>
        <w:t xml:space="preserve">5. Data Dictionary</w:t>
      </w:r>
    </w:p>
    <w:p>
      <w:pPr>
        <w:spacing w:after="60" w:before="60"/>
      </w:pPr>
      <w:r>
        <w:rPr>
          <w:rFonts w:ascii="Calibri" w:cs="Calibri" w:eastAsia="Calibri" w:hAnsi="Calibri"/>
          <w:sz w:val="20"/>
          <w:szCs w:val="20"/>
        </w:rPr>
        <w:t xml:space="preserve">6. Descriptive Statistics – SQL Queries</w:t>
      </w:r>
    </w:p>
    <w:p>
      <w:pPr>
        <w:spacing w:after="60" w:before="60"/>
      </w:pPr>
      <w:r>
        <w:rPr>
          <w:rFonts w:ascii="Calibri" w:cs="Calibri" w:eastAsia="Calibri" w:hAnsi="Calibri"/>
          <w:sz w:val="20"/>
          <w:szCs w:val="20"/>
        </w:rPr>
        <w:t xml:space="preserve">      6.1. Overview of the Analytical Views</w:t>
      </w:r>
    </w:p>
    <w:p>
      <w:pPr>
        <w:spacing w:after="60" w:before="60"/>
      </w:pPr>
      <w:r>
        <w:rPr>
          <w:rFonts w:ascii="Calibri" w:cs="Calibri" w:eastAsia="Calibri" w:hAnsi="Calibri"/>
          <w:sz w:val="20"/>
          <w:szCs w:val="20"/>
        </w:rPr>
        <w:t xml:space="preserve">      6.2. Validation Queries</w:t>
      </w:r>
    </w:p>
    <w:p>
      <w:pPr>
        <w:spacing w:after="60" w:before="60"/>
      </w:pPr>
      <w:r>
        <w:rPr>
          <w:rFonts w:ascii="Calibri" w:cs="Calibri" w:eastAsia="Calibri" w:hAnsi="Calibri"/>
          <w:sz w:val="20"/>
          <w:szCs w:val="20"/>
        </w:rPr>
        <w:t xml:space="preserve">7. Conclusions and Further Work</w:t>
      </w:r>
    </w:p>
    <w:p>
      <w:pPr>
        <w:spacing w:after="60" w:before="60"/>
      </w:pPr>
      <w:r>
        <w:rPr>
          <w:rFonts w:ascii="Calibri" w:cs="Calibri" w:eastAsia="Calibri" w:hAnsi="Calibri"/>
          <w:sz w:val="20"/>
          <w:szCs w:val="20"/>
        </w:rPr>
        <w:t xml:space="preserve">      7.1. Key Outcomes</w:t>
      </w:r>
    </w:p>
    <w:p>
      <w:pPr>
        <w:spacing w:after="60" w:before="60"/>
      </w:pPr>
      <w:r>
        <w:rPr>
          <w:rFonts w:ascii="Calibri" w:cs="Calibri" w:eastAsia="Calibri" w:hAnsi="Calibri"/>
          <w:sz w:val="20"/>
          <w:szCs w:val="20"/>
        </w:rPr>
        <w:t xml:space="preserve">      7.2. Technical Lessons Learned</w:t>
      </w:r>
    </w:p>
    <w:p>
      <w:pPr>
        <w:spacing w:after="60" w:before="60"/>
      </w:pPr>
      <w:r>
        <w:rPr>
          <w:rFonts w:ascii="Calibri" w:cs="Calibri" w:eastAsia="Calibri" w:hAnsi="Calibri"/>
          <w:sz w:val="20"/>
          <w:szCs w:val="20"/>
        </w:rPr>
        <w:t xml:space="preserve">      7.3. Scalability Considerations</w:t>
      </w:r>
    </w:p>
    <w:p>
      <w:pPr>
        <w:spacing w:after="60" w:before="60"/>
      </w:pPr>
      <w:r>
        <w:rPr>
          <w:rFonts w:ascii="Calibri" w:cs="Calibri" w:eastAsia="Calibri" w:hAnsi="Calibri"/>
          <w:sz w:val="20"/>
          <w:szCs w:val="20"/>
        </w:rPr>
        <w:t xml:space="preserve">      7.4. AI Integration Strategy</w:t>
      </w:r>
    </w:p>
    <w:p>
      <w:r>
        <w:br w:type="page"/>
      </w:r>
    </w:p>
    <w:p>
      <w:pPr>
        <w:pStyle w:val="Heading1"/>
        <w:spacing w:after="120" w:before="360"/>
      </w:pPr>
      <w:r>
        <w:rPr>
          <w:rFonts w:ascii="Calibri" w:cs="Calibri" w:eastAsia="Calibri" w:hAnsi="Calibri"/>
          <w:b/>
          <w:bCs/>
          <w:color w:val="1F4E79"/>
          <w:sz w:val="32"/>
          <w:szCs w:val="32"/>
        </w:rPr>
        <w:t xml:space="preserve">1.   Motivation and Expected Insights</w:t>
      </w:r>
    </w:p>
    <w:p>
      <w:pPr>
        <w:pStyle w:val="Heading2"/>
        <w:spacing w:after="80" w:before="240"/>
      </w:pPr>
      <w:r>
        <w:rPr>
          <w:rFonts w:ascii="Calibri" w:cs="Calibri" w:eastAsia="Calibri" w:hAnsi="Calibri"/>
          <w:b/>
          <w:bCs/>
          <w:color w:val="2E74B5"/>
          <w:sz w:val="24"/>
          <w:szCs w:val="24"/>
        </w:rPr>
        <w:t xml:space="preserve">1.1.    Research Context</w:t>
      </w:r>
    </w:p>
    <w:p>
      <w:pPr>
        <w:spacing w:after="80" w:before="80"/>
        <w:jc w:val="both"/>
      </w:pPr>
      <w:r>
        <w:rPr>
          <w:rFonts w:ascii="Calibri" w:cs="Calibri" w:eastAsia="Calibri" w:hAnsi="Calibri"/>
          <w:sz w:val="22"/>
          <w:szCs w:val="22"/>
        </w:rPr>
        <w:t xml:space="preserve">This project constructs an end-to-end data ingestion pipeline to study the relationship between immigration and key socioeconomic indicators in the Basque Country (Euskadi), Spain. The pipeline integrates official statistics from four government sources (INE, EUSTAT, the Ministry of the Interior, and MIVAU) into a unified relational database hosted on Supabase (PostgreSQL).</w:t>
      </w:r>
    </w:p>
    <w:p>
      <w:pPr>
        <w:spacing w:after="80" w:before="80"/>
        <w:jc w:val="both"/>
      </w:pPr>
      <w:r>
        <w:rPr>
          <w:rFonts w:ascii="Calibri" w:cs="Calibri" w:eastAsia="Calibri" w:hAnsi="Calibri"/>
          <w:sz w:val="22"/>
          <w:szCs w:val="22"/>
        </w:rPr>
        <w:t xml:space="preserve">Immigration has become one of the most socially and politically significant topics in Spain. Yet public discourse is often driven by opinion rather than data. This project aims to provide a rigorous, reproducible data foundation from which evidence-based analysis can be conducted.</w:t>
      </w:r>
    </w:p>
    <w:p>
      <w:pPr>
        <w:pStyle w:val="Heading2"/>
        <w:spacing w:after="80" w:before="240"/>
      </w:pPr>
      <w:r>
        <w:rPr>
          <w:rFonts w:ascii="Calibri" w:cs="Calibri" w:eastAsia="Calibri" w:hAnsi="Calibri"/>
          <w:b/>
          <w:bCs/>
          <w:color w:val="2E74B5"/>
          <w:sz w:val="24"/>
          <w:szCs w:val="24"/>
        </w:rPr>
        <w:t xml:space="preserve">1.2.    Key Research Questions</w:t>
      </w:r>
    </w:p>
    <w:p>
      <w:pPr>
        <w:spacing w:after="80" w:before="80"/>
        <w:jc w:val="both"/>
      </w:pPr>
      <w:r>
        <w:rPr>
          <w:rFonts w:ascii="Calibri" w:cs="Calibri" w:eastAsia="Calibri" w:hAnsi="Calibri"/>
          <w:sz w:val="22"/>
          <w:szCs w:val="22"/>
        </w:rPr>
        <w:t xml:space="preserve">The pipeline is designed to generate evidence on the following areas:</w:t>
      </w:r>
    </w:p>
    <w:p>
      <w:pPr>
        <w:pStyle w:val="ListParagraph"/>
        <w:numPr>
          <w:ilvl w:val="0"/>
          <w:numId w:val="2"/>
        </w:numPr>
        <w:spacing w:after="60" w:before="60"/>
      </w:pPr>
      <w:r>
        <w:rPr>
          <w:rFonts w:ascii="Calibri" w:cs="Calibri" w:eastAsia="Calibri" w:hAnsi="Calibri"/>
          <w:sz w:val="22"/>
          <w:szCs w:val="22"/>
        </w:rPr>
        <w:t xml:space="preserve">Does a higher share of foreign population correlate with higher crime rates in the Basque Country?</w:t>
      </w:r>
    </w:p>
    <w:p>
      <w:pPr>
        <w:pStyle w:val="ListParagraph"/>
        <w:numPr>
          <w:ilvl w:val="0"/>
          <w:numId w:val="2"/>
        </w:numPr>
        <w:spacing w:after="60" w:before="60"/>
      </w:pPr>
      <w:r>
        <w:rPr>
          <w:rFonts w:ascii="Calibri" w:cs="Calibri" w:eastAsia="Calibri" w:hAnsi="Calibri"/>
          <w:sz w:val="22"/>
          <w:szCs w:val="22"/>
        </w:rPr>
        <w:t xml:space="preserve">Are foreign workers more exposed to unemployment or economically inactive status than Spanish nationals?</w:t>
      </w:r>
    </w:p>
    <w:p>
      <w:pPr>
        <w:pStyle w:val="ListParagraph"/>
        <w:numPr>
          <w:ilvl w:val="0"/>
          <w:numId w:val="2"/>
        </w:numPr>
        <w:spacing w:after="60" w:before="60"/>
      </w:pPr>
      <w:r>
        <w:rPr>
          <w:rFonts w:ascii="Calibri" w:cs="Calibri" w:eastAsia="Calibri" w:hAnsi="Calibri"/>
          <w:sz w:val="22"/>
          <w:szCs w:val="22"/>
        </w:rPr>
        <w:t xml:space="preserve">Does immigration concentration vary across provinces, and does it track housing price evolution?</w:t>
      </w:r>
    </w:p>
    <w:p>
      <w:pPr>
        <w:pStyle w:val="ListParagraph"/>
        <w:numPr>
          <w:ilvl w:val="0"/>
          <w:numId w:val="2"/>
        </w:numPr>
        <w:spacing w:after="60" w:before="60"/>
      </w:pPr>
      <w:r>
        <w:rPr>
          <w:rFonts w:ascii="Calibri" w:cs="Calibri" w:eastAsia="Calibri" w:hAnsi="Calibri"/>
          <w:sz w:val="22"/>
          <w:szCs w:val="22"/>
        </w:rPr>
        <w:t xml:space="preserve">Is there a relationship between immigration growth and poverty risk at the regional level?</w:t>
      </w:r>
    </w:p>
    <w:p>
      <w:pPr>
        <w:pStyle w:val="ListParagraph"/>
        <w:numPr>
          <w:ilvl w:val="0"/>
          <w:numId w:val="2"/>
        </w:numPr>
        <w:spacing w:after="60" w:before="60"/>
      </w:pPr>
      <w:r>
        <w:rPr>
          <w:rFonts w:ascii="Calibri" w:cs="Calibri" w:eastAsia="Calibri" w:hAnsi="Calibri"/>
          <w:sz w:val="22"/>
          <w:szCs w:val="22"/>
        </w:rPr>
        <w:t xml:space="preserve">How do electoral outcomes in the Basque Parliament shift as demographics change over time?</w:t>
      </w:r>
    </w:p>
    <w:p>
      <w:pPr>
        <w:pStyle w:val="Heading2"/>
        <w:spacing w:after="80" w:before="240"/>
      </w:pPr>
      <w:r>
        <w:rPr>
          <w:rFonts w:ascii="Calibri" w:cs="Calibri" w:eastAsia="Calibri" w:hAnsi="Calibri"/>
          <w:b/>
          <w:bCs/>
          <w:color w:val="2E74B5"/>
          <w:sz w:val="24"/>
          <w:szCs w:val="24"/>
        </w:rPr>
        <w:t xml:space="preserve">1.3.    Why This Topic Matters</w:t>
      </w:r>
    </w:p>
    <w:p>
      <w:pPr>
        <w:spacing w:after="80" w:before="80"/>
        <w:jc w:val="both"/>
      </w:pPr>
      <w:r>
        <w:rPr>
          <w:rFonts w:ascii="Calibri" w:cs="Calibri" w:eastAsia="Calibri" w:hAnsi="Calibri"/>
          <w:sz w:val="22"/>
          <w:szCs w:val="22"/>
        </w:rPr>
        <w:t xml:space="preserve">The Basque Country represents an interesting case study: it is a region with strong institutional autonomy, its own statistical agency (EUSTAT), historically low crime rates, and a relatively high standard of living. Understanding how its demographic composition changes, and what the data actually shows about integration outcomes, is both academically and socially valuable.</w:t>
      </w:r>
    </w:p>
    <w:p>
      <w:pPr>
        <w:pStyle w:val="Heading1"/>
        <w:spacing w:after="120" w:before="360"/>
      </w:pPr>
      <w:r>
        <w:rPr>
          <w:rFonts w:ascii="Calibri" w:cs="Calibri" w:eastAsia="Calibri" w:hAnsi="Calibri"/>
          <w:b/>
          <w:bCs/>
          <w:color w:val="1F4E79"/>
          <w:sz w:val="32"/>
          <w:szCs w:val="32"/>
        </w:rPr>
        <w:t xml:space="preserve">2.   Dataset Analysis</w:t>
      </w:r>
    </w:p>
    <w:p>
      <w:pPr>
        <w:pStyle w:val="Heading2"/>
        <w:spacing w:after="80" w:before="240"/>
      </w:pPr>
      <w:r>
        <w:rPr>
          <w:rFonts w:ascii="Calibri" w:cs="Calibri" w:eastAsia="Calibri" w:hAnsi="Calibri"/>
          <w:b/>
          <w:bCs/>
          <w:color w:val="2E74B5"/>
          <w:sz w:val="24"/>
          <w:szCs w:val="24"/>
        </w:rPr>
        <w:t xml:space="preserve">2.1.    Data Sources Overview</w:t>
      </w:r>
    </w:p>
    <w:p>
      <w:pPr>
        <w:spacing w:after="80" w:before="80"/>
        <w:jc w:val="both"/>
      </w:pPr>
      <w:r>
        <w:rPr>
          <w:rFonts w:ascii="Calibri" w:cs="Calibri" w:eastAsia="Calibri" w:hAnsi="Calibri"/>
          <w:sz w:val="22"/>
          <w:szCs w:val="22"/>
        </w:rPr>
        <w:t xml:space="preserve">The pipeline integrates data from four official sources across five thematic domains. Each source presents its own structural challenges, which are addressed during the transformation phase.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3260"/>
        <w:gridCol w:w="2500"/>
      </w:tblGrid>
      <w:tr>
        <w:trPr>
          <w:tblHeader/>
        </w:trP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Domain</w:t>
            </w:r>
          </w:p>
        </w:tc>
        <w:tc>
          <w:tcPr>
            <w:tcW w:type="dxa" w:w="11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11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Format</w:t>
            </w:r>
          </w:p>
        </w:tc>
        <w:tc>
          <w:tcPr>
            <w:tcW w:type="dxa" w:w="32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Tables Produced</w:t>
            </w:r>
          </w:p>
        </w:tc>
        <w:tc>
          <w:tcPr>
            <w:tcW w:type="dxa" w:w="25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Key Challenge</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Demography</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JSON</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population_total, migration_birth_country, epa_contract_stats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Changing label schemas over time</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Demography</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EUSTAT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CSV / PX-Web</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population_eustat_total, population_eustat_nationality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Mixed aggregation levels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Interior</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PX-Web</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crime_detentions, crime_detentions_total</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PX format, Selenium required</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Employment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INE / EUSTAT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JSON / CSV</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ine_employment, eustat_activity_nationality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Inconsistent territorial labels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Housing</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EUSTAT / MIVAU</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CSV / XLS</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housing_prices_annual</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Two sources merged into one table</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Poverty</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JSON</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ine_poverty_stats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Multiple territorial levels mixed</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Elections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Historia Electoral</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HTML scrape</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elections_parlamento_vasco</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No machine-readable source available</w:t>
            </w:r>
          </w:p>
        </w:tc>
      </w:tr>
    </w:tbl>
    <w:p>
      <w:pPr>
        <w:spacing w:after="0" w:before="0"/>
      </w:pPr>
      <w:r>
        <w:t xml:space="preserve"/>
      </w:r>
    </w:p>
    <w:p>
      <w:pPr>
        <w:pStyle w:val="Heading2"/>
        <w:spacing w:after="80" w:before="240"/>
      </w:pPr>
      <w:r>
        <w:rPr>
          <w:rFonts w:ascii="Calibri" w:cs="Calibri" w:eastAsia="Calibri" w:hAnsi="Calibri"/>
          <w:b/>
          <w:bCs/>
          <w:color w:val="2E74B5"/>
          <w:sz w:val="24"/>
          <w:szCs w:val="24"/>
        </w:rPr>
        <w:t xml:space="preserve">2.2.    Metadata Analysis</w:t>
      </w:r>
    </w:p>
    <w:p>
      <w:pPr>
        <w:spacing w:after="80" w:before="80"/>
        <w:jc w:val="both"/>
      </w:pPr>
      <w:r>
        <w:rPr>
          <w:rFonts w:ascii="Calibri" w:cs="Calibri" w:eastAsia="Calibri" w:hAnsi="Calibri"/>
          <w:sz w:val="22"/>
          <w:szCs w:val="22"/>
        </w:rPr>
        <w:t xml:space="preserve">All datasets are official government statistics with annual or quarterly temporal coverage.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60"/>
        <w:gridCol w:w="1600"/>
        <w:gridCol w:w="210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Dataset</w:t>
            </w:r>
          </w:p>
        </w:tc>
        <w:tc>
          <w:tcPr>
            <w:tcW w:type="dxa" w:w="28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Variables Captured</w:t>
            </w:r>
          </w:p>
        </w:tc>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Time Range</w:t>
            </w:r>
          </w:p>
        </w:tc>
        <w:tc>
          <w:tcPr>
            <w:tcW w:type="dxa" w:w="21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Granularity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population_total</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Level, territory, year, sex, age group, nationality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 / CCAA / 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population_eustat_total</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 nationality, year, population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population_eustat_nationality</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 nationality, activity status, sex, year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crime_detentions</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 nationality, sex, year, detentions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crime_detentions_total</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 crime type, age group, sex, year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 / Regional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ine_employment</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Activity, territory, sex, sector, nationality, year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 / CCAA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eustat_activity_nationality</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Rate type, province, nationality, quarter, year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Quarterly</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housing_prices_annual</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 province, price/m², source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 / CCAA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ine_poverty_stats</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Level, territory, indicator, year, value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Multi-year</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 / CCAA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elections_parlamento_vasco</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 party, seats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Election years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Regional</w:t>
            </w:r>
          </w:p>
        </w:tc>
      </w:tr>
    </w:tbl>
    <w:p>
      <w:r>
        <w:br w:type="page"/>
      </w:r>
    </w:p>
    <w:p>
      <w:pPr>
        <w:pStyle w:val="Heading1"/>
        <w:spacing w:after="120" w:before="360"/>
      </w:pPr>
      <w:r>
        <w:rPr>
          <w:rFonts w:ascii="Calibri" w:cs="Calibri" w:eastAsia="Calibri" w:hAnsi="Calibri"/>
          <w:b/>
          <w:bCs/>
          <w:color w:val="1F4E79"/>
          <w:sz w:val="32"/>
          <w:szCs w:val="32"/>
        </w:rPr>
        <w:t xml:space="preserve">3.   Data Architecture Design</w:t>
      </w:r>
    </w:p>
    <w:p>
      <w:pPr>
        <w:pStyle w:val="Heading2"/>
        <w:spacing w:after="80" w:before="240"/>
      </w:pPr>
      <w:r>
        <w:rPr>
          <w:rFonts w:ascii="Calibri" w:cs="Calibri" w:eastAsia="Calibri" w:hAnsi="Calibri"/>
          <w:b/>
          <w:bCs/>
          <w:color w:val="2E74B5"/>
          <w:sz w:val="24"/>
          <w:szCs w:val="24"/>
        </w:rPr>
        <w:t xml:space="preserve">3.1.    Architecture Overview</w:t>
      </w:r>
    </w:p>
    <w:p>
      <w:pPr>
        <w:spacing w:after="80" w:before="80"/>
        <w:jc w:val="both"/>
      </w:pPr>
      <w:r>
        <w:rPr>
          <w:rFonts w:ascii="Calibri" w:cs="Calibri" w:eastAsia="Calibri" w:hAnsi="Calibri"/>
          <w:sz w:val="22"/>
          <w:szCs w:val="22"/>
        </w:rPr>
        <w:t xml:space="preserve">The architecture follows a layered ETL design. Data flows from official external sources through a raw landing zone, a cleaning and normalisation layer, a validation gate, and finally lands in a cloud-hosted PostgreSQL database on Supabase. Analytical views constitute the OLAP layer sitting above the base tables.</w:t>
      </w:r>
    </w:p>
    <w:p>
      <w:pPr>
        <w:spacing w:after="0" w:before="0"/>
      </w:pPr>
      <w:r>
        <w:t xml:space="preserve"/>
      </w:r>
    </w:p>
    <w:p>
      <w:pPr>
        <w:jc w:val="center"/>
      </w:pPr>
      <w:r>
        <w:drawing>
          <wp:inline distT="0" distB="0" distL="0" distR="0">
            <wp:extent cx="3429000" cy="5524500"/>
            <wp:effectExtent t="0" r="0" b="0" l="0"/>
            <wp:docPr id="1" name="ArchDiagram" descr="Architecture flowchart showing the ETL pipeline stages" title="ET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5524500"/>
                    </a:xfrm>
                    <a:prstGeom prst="rect">
                      <a:avLst/>
                    </a:prstGeom>
                  </pic:spPr>
                </pic:pic>
              </a:graphicData>
            </a:graphic>
          </wp:inline>
        </w:drawing>
      </w:r>
    </w:p>
    <w:p>
      <w:pPr>
        <w:spacing w:after="0" w:before="0"/>
      </w:pPr>
      <w:r>
        <w:t xml:space="preserve"/>
      </w:r>
    </w:p>
    <w:p>
      <w:pPr>
        <w:pStyle w:val="Heading2"/>
        <w:spacing w:after="80" w:before="240"/>
      </w:pPr>
      <w:r>
        <w:rPr>
          <w:rFonts w:ascii="Calibri" w:cs="Calibri" w:eastAsia="Calibri" w:hAnsi="Calibri"/>
          <w:b/>
          <w:bCs/>
          <w:color w:val="2E74B5"/>
          <w:sz w:val="24"/>
          <w:szCs w:val="24"/>
        </w:rPr>
        <w:t xml:space="preserve">3.2.    Why an ETL Approach</w:t>
      </w:r>
    </w:p>
    <w:p>
      <w:pPr>
        <w:spacing w:after="80" w:before="80"/>
        <w:jc w:val="both"/>
      </w:pPr>
      <w:r>
        <w:rPr>
          <w:rFonts w:ascii="Calibri" w:cs="Calibri" w:eastAsia="Calibri" w:hAnsi="Calibri"/>
          <w:sz w:val="22"/>
          <w:szCs w:val="22"/>
        </w:rPr>
        <w:t xml:space="preserve">An ETL (Extract–Transform–Load) approach was deliberately chosen over ELT because:</w:t>
      </w:r>
    </w:p>
    <w:p>
      <w:pPr>
        <w:pStyle w:val="ListParagraph"/>
        <w:numPr>
          <w:ilvl w:val="0"/>
          <w:numId w:val="2"/>
        </w:numPr>
        <w:spacing w:after="60" w:before="60"/>
      </w:pPr>
      <w:r>
        <w:rPr>
          <w:rFonts w:ascii="Calibri" w:cs="Calibri" w:eastAsia="Calibri" w:hAnsi="Calibri"/>
          <w:sz w:val="22"/>
          <w:szCs w:val="22"/>
        </w:rPr>
        <w:t xml:space="preserve">Data sources are heterogeneous in format (JSON, CSV, PX, XLS) and schema; normalisation before loading prevents propagating inconsistencies into the database.</w:t>
      </w:r>
    </w:p>
    <w:p>
      <w:pPr>
        <w:pStyle w:val="ListParagraph"/>
        <w:numPr>
          <w:ilvl w:val="0"/>
          <w:numId w:val="2"/>
        </w:numPr>
        <w:spacing w:after="60" w:before="60"/>
      </w:pPr>
      <w:r>
        <w:rPr>
          <w:rFonts w:ascii="Calibri" w:cs="Calibri" w:eastAsia="Calibri" w:hAnsi="Calibri"/>
          <w:sz w:val="22"/>
          <w:szCs w:val="22"/>
        </w:rPr>
        <w:t xml:space="preserve">Official statistics contain aggregated rows that must be filtered out before loading to avoid double-counting. Doing this at transformation time is safer and more traceable.</w:t>
      </w:r>
    </w:p>
    <w:p>
      <w:pPr>
        <w:pStyle w:val="ListParagraph"/>
        <w:numPr>
          <w:ilvl w:val="0"/>
          <w:numId w:val="2"/>
        </w:numPr>
        <w:spacing w:after="60" w:before="60"/>
      </w:pPr>
      <w:r>
        <w:rPr>
          <w:rFonts w:ascii="Calibri" w:cs="Calibri" w:eastAsia="Calibri" w:hAnsi="Calibri"/>
          <w:sz w:val="22"/>
          <w:szCs w:val="22"/>
        </w:rPr>
        <w:t xml:space="preserve">The validation gate (pre-ingestion checks) acts as a quality guard: the pipeline stops before corrupting the database if critical issues are found in the cleaned files.</w:t>
      </w:r>
    </w:p>
    <w:p>
      <w:pPr>
        <w:pStyle w:val="ListParagraph"/>
        <w:numPr>
          <w:ilvl w:val="0"/>
          <w:numId w:val="2"/>
        </w:numPr>
        <w:spacing w:after="60" w:before="60"/>
      </w:pPr>
      <w:r>
        <w:rPr>
          <w:rFonts w:ascii="Calibri" w:cs="Calibri" w:eastAsia="Calibri" w:hAnsi="Calibri"/>
          <w:sz w:val="22"/>
          <w:szCs w:val="22"/>
        </w:rPr>
        <w:t xml:space="preserve">Reproducibility: every transformation step is a separate, auditable Python script with a single responsibility.</w:t>
      </w:r>
    </w:p>
    <w:p>
      <w:pPr>
        <w:pStyle w:val="Heading2"/>
        <w:spacing w:after="80" w:before="240"/>
      </w:pPr>
      <w:r>
        <w:rPr>
          <w:rFonts w:ascii="Calibri" w:cs="Calibri" w:eastAsia="Calibri" w:hAnsi="Calibri"/>
          <w:b/>
          <w:bCs/>
          <w:color w:val="2E74B5"/>
          <w:sz w:val="24"/>
          <w:szCs w:val="24"/>
        </w:rPr>
        <w:t xml:space="preserve">3.3.    Component Rationale</w:t>
      </w:r>
    </w:p>
    <w:p>
      <w:pPr>
        <w:spacing w:after="60" w:before="200"/>
      </w:pPr>
      <w:r>
        <w:rPr>
          <w:rFonts w:ascii="Calibri" w:cs="Calibri" w:eastAsia="Calibri" w:hAnsi="Calibri"/>
          <w:b/>
          <w:bCs/>
          <w:color w:val="C0392B"/>
          <w:sz w:val="22"/>
          <w:szCs w:val="22"/>
        </w:rPr>
        <w:t xml:space="preserve">PostgreSQL on Supabase</w:t>
      </w:r>
    </w:p>
    <w:p>
      <w:pPr>
        <w:spacing w:after="80" w:before="80"/>
        <w:jc w:val="both"/>
      </w:pPr>
      <w:r>
        <w:rPr>
          <w:rFonts w:ascii="Calibri" w:cs="Calibri" w:eastAsia="Calibri" w:hAnsi="Calibri"/>
          <w:sz w:val="22"/>
          <w:szCs w:val="22"/>
        </w:rPr>
        <w:t xml:space="preserve">PostgreSQL was selected as the target storage system for the following reasons:</w:t>
      </w:r>
    </w:p>
    <w:p>
      <w:pPr>
        <w:pStyle w:val="ListParagraph"/>
        <w:numPr>
          <w:ilvl w:val="0"/>
          <w:numId w:val="2"/>
        </w:numPr>
        <w:spacing w:after="60" w:before="60"/>
      </w:pPr>
      <w:r>
        <w:rPr>
          <w:rFonts w:ascii="Calibri" w:cs="Calibri" w:eastAsia="Calibri" w:hAnsi="Calibri"/>
          <w:sz w:val="22"/>
          <w:szCs w:val="22"/>
        </w:rPr>
        <w:t xml:space="preserve">ACID compliance ensures transactional integrity during bulk loads.</w:t>
      </w:r>
    </w:p>
    <w:p>
      <w:pPr>
        <w:pStyle w:val="ListParagraph"/>
        <w:numPr>
          <w:ilvl w:val="0"/>
          <w:numId w:val="2"/>
        </w:numPr>
        <w:spacing w:after="60" w:before="60"/>
      </w:pPr>
      <w:r>
        <w:rPr>
          <w:rFonts w:ascii="Calibri" w:cs="Calibri" w:eastAsia="Calibri" w:hAnsi="Calibri"/>
          <w:sz w:val="22"/>
          <w:szCs w:val="22"/>
        </w:rPr>
        <w:t xml:space="preserve">Native support for COPY commands enables efficient bulk ingestion of CSV files.</w:t>
      </w:r>
    </w:p>
    <w:p>
      <w:pPr>
        <w:pStyle w:val="ListParagraph"/>
        <w:numPr>
          <w:ilvl w:val="0"/>
          <w:numId w:val="2"/>
        </w:numPr>
        <w:spacing w:after="60" w:before="60"/>
      </w:pPr>
      <w:r>
        <w:rPr>
          <w:rFonts w:ascii="Calibri" w:cs="Calibri" w:eastAsia="Calibri" w:hAnsi="Calibri"/>
          <w:sz w:val="22"/>
          <w:szCs w:val="22"/>
        </w:rPr>
        <w:t xml:space="preserve">Views provide a zero-cost OLAP layer without requiring a separate warehouse.</w:t>
      </w:r>
    </w:p>
    <w:p>
      <w:pPr>
        <w:pStyle w:val="ListParagraph"/>
        <w:numPr>
          <w:ilvl w:val="0"/>
          <w:numId w:val="2"/>
        </w:numPr>
        <w:spacing w:after="60" w:before="60"/>
      </w:pPr>
      <w:r>
        <w:rPr>
          <w:rFonts w:ascii="Calibri" w:cs="Calibri" w:eastAsia="Calibri" w:hAnsi="Calibri"/>
          <w:sz w:val="22"/>
          <w:szCs w:val="22"/>
        </w:rPr>
        <w:t xml:space="preserve">Supabase provides managed cloud hosting with REST and direct SQL access, eliminating infrastructure overhead.</w:t>
      </w:r>
    </w:p>
    <w:p>
      <w:pPr>
        <w:pStyle w:val="ListParagraph"/>
        <w:numPr>
          <w:ilvl w:val="0"/>
          <w:numId w:val="2"/>
        </w:numPr>
        <w:spacing w:after="60" w:before="60"/>
      </w:pPr>
      <w:r>
        <w:rPr>
          <w:rFonts w:ascii="Calibri" w:cs="Calibri" w:eastAsia="Calibri" w:hAnsi="Calibri"/>
          <w:sz w:val="22"/>
          <w:szCs w:val="22"/>
        </w:rPr>
        <w:t xml:space="preserve">Full compatibility with Power BI, AI APIs (Claude, GPT), and direct SQL clients.</w:t>
      </w:r>
    </w:p>
    <w:p>
      <w:pPr>
        <w:spacing w:after="60" w:before="200"/>
      </w:pPr>
      <w:r>
        <w:rPr>
          <w:rFonts w:ascii="Calibri" w:cs="Calibri" w:eastAsia="Calibri" w:hAnsi="Calibri"/>
          <w:b/>
          <w:bCs/>
          <w:color w:val="C0392B"/>
          <w:sz w:val="22"/>
          <w:szCs w:val="22"/>
        </w:rPr>
        <w:t xml:space="preserve">Python Scripts</w:t>
      </w:r>
    </w:p>
    <w:p>
      <w:pPr>
        <w:spacing w:after="80" w:before="80"/>
        <w:jc w:val="both"/>
      </w:pPr>
      <w:r>
        <w:rPr>
          <w:rFonts w:ascii="Calibri" w:cs="Calibri" w:eastAsia="Calibri" w:hAnsi="Calibri"/>
          <w:sz w:val="22"/>
          <w:szCs w:val="22"/>
        </w:rPr>
        <w:t xml:space="preserve">Python was chosen for all pipeline scripts due to its rich ecosystem for data wrangling (pandas), HTTP requests (requests, Selenium), file parsing (pyaxis for PX files), and database connectivity (psycopg2).</w:t>
      </w:r>
    </w:p>
    <w:p>
      <w:pPr>
        <w:spacing w:after="60" w:before="200"/>
      </w:pPr>
      <w:r>
        <w:rPr>
          <w:rFonts w:ascii="Calibri" w:cs="Calibri" w:eastAsia="Calibri" w:hAnsi="Calibri"/>
          <w:b/>
          <w:bCs/>
          <w:color w:val="C0392B"/>
          <w:sz w:val="22"/>
          <w:szCs w:val="22"/>
        </w:rPr>
        <w:t xml:space="preserve">Separation of OLTP and OLAP</w:t>
      </w:r>
    </w:p>
    <w:p>
      <w:pPr>
        <w:spacing w:after="80" w:before="80"/>
        <w:jc w:val="both"/>
      </w:pPr>
      <w:r>
        <w:rPr>
          <w:rFonts w:ascii="Calibri" w:cs="Calibri" w:eastAsia="Calibri" w:hAnsi="Calibri"/>
          <w:sz w:val="22"/>
          <w:szCs w:val="22"/>
        </w:rPr>
        <w:t xml:space="preserve">A logical separation is maintained within the same PostgreSQL instance:</w:t>
      </w:r>
    </w:p>
    <w:p>
      <w:pPr>
        <w:pStyle w:val="ListParagraph"/>
        <w:numPr>
          <w:ilvl w:val="0"/>
          <w:numId w:val="2"/>
        </w:numPr>
        <w:spacing w:after="60" w:before="60"/>
      </w:pPr>
      <w:r>
        <w:rPr>
          <w:rFonts w:ascii="Calibri" w:cs="Calibri" w:eastAsia="Calibri" w:hAnsi="Calibri"/>
          <w:b/>
          <w:bCs/>
          <w:sz w:val="22"/>
          <w:szCs w:val="22"/>
        </w:rPr>
        <w:t xml:space="preserve">OLTP layer</w:t>
      </w:r>
      <w:r>
        <w:rPr>
          <w:rFonts w:ascii="Calibri" w:cs="Calibri" w:eastAsia="Calibri" w:hAnsi="Calibri"/>
          <w:sz w:val="22"/>
          <w:szCs w:val="22"/>
        </w:rPr>
        <w:t xml:space="preserve">: base tables store normalised, validated records. Write operations use TRUNCATE + COPY for idempotent reloads.</w:t>
      </w:r>
    </w:p>
    <w:p>
      <w:pPr>
        <w:pStyle w:val="ListParagraph"/>
        <w:numPr>
          <w:ilvl w:val="0"/>
          <w:numId w:val="2"/>
        </w:numPr>
        <w:spacing w:after="60" w:before="60"/>
      </w:pPr>
      <w:r>
        <w:rPr>
          <w:rFonts w:ascii="Calibri" w:cs="Calibri" w:eastAsia="Calibri" w:hAnsi="Calibri"/>
          <w:b/>
          <w:bCs/>
          <w:sz w:val="22"/>
          <w:szCs w:val="22"/>
        </w:rPr>
        <w:t xml:space="preserve">OLAP layer</w:t>
      </w:r>
      <w:r>
        <w:rPr>
          <w:rFonts w:ascii="Calibri" w:cs="Calibri" w:eastAsia="Calibri" w:hAnsi="Calibri"/>
          <w:sz w:val="22"/>
          <w:szCs w:val="22"/>
        </w:rPr>
        <w:t xml:space="preserve">: 23 SQL views built on top of the base tables provide analytical datasets ready for BI tools or AI consumption. Views are read-only and do not interfere with ingestion.</w:t>
      </w:r>
    </w:p>
    <w:p>
      <w:pPr>
        <w:pStyle w:val="Heading2"/>
        <w:spacing w:after="80" w:before="240"/>
      </w:pPr>
      <w:r>
        <w:rPr>
          <w:rFonts w:ascii="Calibri" w:cs="Calibri" w:eastAsia="Calibri" w:hAnsi="Calibri"/>
          <w:b/>
          <w:bCs/>
          <w:color w:val="2E74B5"/>
          <w:sz w:val="24"/>
          <w:szCs w:val="24"/>
        </w:rPr>
        <w:t xml:space="preserve">3.4.    Roles Associated with Each Process</w:t>
      </w:r>
    </w:p>
    <w:p>
      <w:pPr>
        <w:spacing w:after="80" w:before="80"/>
        <w:jc w:val="both"/>
      </w:pPr>
      <w:r>
        <w:rPr>
          <w:rFonts w:ascii="Calibri" w:cs="Calibri" w:eastAsia="Calibri" w:hAnsi="Calibri"/>
          <w:sz w:val="22"/>
          <w:szCs w:val="22"/>
        </w:rPr>
        <w:t xml:space="preserve">Each stage of the pipeline is designed with a clear single responsibility. Download scripts are responsible solely for acquiring raw data; transform scripts perform all cleaning and reshaping; ETL scripts orchestrate validation and loading; and the analytical views serve the OLAP consumer layer.</w:t>
      </w:r>
    </w:p>
    <w:p>
      <w:r>
        <w:br w:type="page"/>
      </w:r>
    </w:p>
    <w:p>
      <w:pPr>
        <w:pStyle w:val="Heading1"/>
        <w:spacing w:after="120" w:before="360"/>
      </w:pPr>
      <w:r>
        <w:rPr>
          <w:rFonts w:ascii="Calibri" w:cs="Calibri" w:eastAsia="Calibri" w:hAnsi="Calibri"/>
          <w:b/>
          <w:bCs/>
          <w:color w:val="1F4E79"/>
          <w:sz w:val="32"/>
          <w:szCs w:val="32"/>
        </w:rPr>
        <w:t xml:space="preserve">4.   Data Ingestion Pipeline</w:t>
      </w:r>
    </w:p>
    <w:p>
      <w:pPr>
        <w:pStyle w:val="Heading2"/>
        <w:spacing w:after="80" w:before="240"/>
      </w:pPr>
      <w:r>
        <w:rPr>
          <w:rFonts w:ascii="Calibri" w:cs="Calibri" w:eastAsia="Calibri" w:hAnsi="Calibri"/>
          <w:b/>
          <w:bCs/>
          <w:color w:val="2E74B5"/>
          <w:sz w:val="24"/>
          <w:szCs w:val="24"/>
        </w:rPr>
        <w:t xml:space="preserve">4.1.    Orchestration and Execution Order</w:t>
      </w:r>
    </w:p>
    <w:p>
      <w:pPr>
        <w:spacing w:after="80" w:before="80"/>
        <w:jc w:val="both"/>
      </w:pPr>
      <w:r>
        <w:rPr>
          <w:rFonts w:ascii="Calibri" w:cs="Calibri" w:eastAsia="Calibri" w:hAnsi="Calibri"/>
          <w:sz w:val="22"/>
          <w:szCs w:val="22"/>
        </w:rPr>
        <w:t xml:space="preserve">The pipeline is orchestrated by a single entry-point script (run_pipeline.py) that executes all phases sequentially. If pre-ingestion validations fail on any dataset, the pipeline halts before any TRUNCATE or COPY operation is executed, protecting the database from partial or corrupt loads.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60"/>
        <w:gridCol w:w="4600"/>
      </w:tblGrid>
      <w:tr>
        <w:trPr>
          <w:tblHeader/>
        </w:trPr>
        <w:tc>
          <w:tcPr>
            <w:tcW w:type="dxa" w:w="5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2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Script(s)</w:t>
            </w:r>
          </w:p>
        </w:tc>
        <w:tc>
          <w:tcPr>
            <w:tcW w:type="dxa" w:w="4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Outcome</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Database Initialisation</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init_db.py</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Creates all 12 tables. Idempotent — safe to re-run.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 Download (Raw)</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10 download scripts</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Official data saved to data_raw/ in original format. No transformations.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Transformations (Clean)</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11 transform scripts</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Wide-to-long conversion, type casting, label normalisation. Output to data_clean/.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Pre-Ingestion Validation</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pre_ingestion_checks.py</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Structure, NULLs, logical duplicates, year ranges. STOPS pipeline on critical failure.</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Load into PostgreSQL</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load_postgres.py</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TRUNCATE + COPY for each table. Logical load order maintained.</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Post-Ingestion Validation</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data_quality_checks.py</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Row counts, NULLs, duplicates verified in DB. Anomalies logged.</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Statistical Analysis</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run_descriptive_statistics.py</w:t>
            </w:r>
          </w:p>
        </w:tc>
        <w:tc>
          <w:tcPr>
            <w:tcW w:type="dxa" w:w="4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23 analytical views created. Results exported to analysis_results/.</w:t>
            </w:r>
          </w:p>
        </w:tc>
      </w:tr>
    </w:tbl>
    <w:p>
      <w:pPr>
        <w:spacing w:after="0" w:before="0"/>
      </w:pPr>
      <w:r>
        <w:t xml:space="preserve"/>
      </w:r>
    </w:p>
    <w:p>
      <w:pPr>
        <w:pStyle w:val="Heading2"/>
        <w:spacing w:after="80" w:before="240"/>
      </w:pPr>
      <w:r>
        <w:rPr>
          <w:rFonts w:ascii="Calibri" w:cs="Calibri" w:eastAsia="Calibri" w:hAnsi="Calibri"/>
          <w:b/>
          <w:bCs/>
          <w:color w:val="2E74B5"/>
          <w:sz w:val="24"/>
          <w:szCs w:val="24"/>
        </w:rPr>
        <w:t xml:space="preserve">4.2.    Download Phase</w:t>
      </w:r>
    </w:p>
    <w:p>
      <w:pPr>
        <w:spacing w:after="80" w:before="80"/>
        <w:jc w:val="both"/>
      </w:pPr>
      <w:r>
        <w:rPr>
          <w:rFonts w:ascii="Calibri" w:cs="Calibri" w:eastAsia="Calibri" w:hAnsi="Calibri"/>
          <w:sz w:val="22"/>
          <w:szCs w:val="22"/>
        </w:rPr>
        <w:t xml:space="preserve">Each download script is responsible for a single data source. No transformations are applied at this stage, only raw acquisition and local persistence. This separation ensures that transformation failures can be diagnosed independently of network or source issues.</w:t>
      </w:r>
    </w:p>
    <w:p>
      <w:pPr>
        <w:spacing w:after="80" w:before="80"/>
        <w:jc w:val="both"/>
      </w:pPr>
      <w:r>
        <w:rPr>
          <w:rFonts w:ascii="Calibri" w:cs="Calibri" w:eastAsia="Calibri" w:hAnsi="Calibri"/>
          <w:sz w:val="22"/>
          <w:szCs w:val="22"/>
        </w:rPr>
        <w:t xml:space="preserve">Notable challenges addressed during download:</w:t>
      </w:r>
    </w:p>
    <w:p>
      <w:pPr>
        <w:pStyle w:val="ListParagraph"/>
        <w:numPr>
          <w:ilvl w:val="0"/>
          <w:numId w:val="2"/>
        </w:numPr>
        <w:spacing w:after="60" w:before="60"/>
      </w:pPr>
      <w:r>
        <w:rPr>
          <w:rFonts w:ascii="Calibri" w:cs="Calibri" w:eastAsia="Calibri" w:hAnsi="Calibri"/>
          <w:sz w:val="22"/>
          <w:szCs w:val="22"/>
        </w:rPr>
        <w:t xml:space="preserve">PX-Web format: Crime data from the Ministry of the Interior is published in PX-Web format. The scripts use pyaxis to parse .px files directly.</w:t>
      </w:r>
    </w:p>
    <w:p>
      <w:pPr>
        <w:pStyle w:val="ListParagraph"/>
        <w:numPr>
          <w:ilvl w:val="0"/>
          <w:numId w:val="2"/>
        </w:numPr>
        <w:spacing w:after="60" w:before="60"/>
      </w:pPr>
      <w:r>
        <w:rPr>
          <w:rFonts w:ascii="Calibri" w:cs="Calibri" w:eastAsia="Calibri" w:hAnsi="Calibri"/>
          <w:sz w:val="22"/>
          <w:szCs w:val="22"/>
        </w:rPr>
        <w:t xml:space="preserve">Selenium-based download: Some EUSTAT resources require JavaScript rendering to generate download links. Selenium is used headlessly to automate this process.</w:t>
      </w:r>
    </w:p>
    <w:p>
      <w:pPr>
        <w:pStyle w:val="ListParagraph"/>
        <w:numPr>
          <w:ilvl w:val="0"/>
          <w:numId w:val="2"/>
        </w:numPr>
        <w:spacing w:after="60" w:before="60"/>
      </w:pPr>
      <w:r>
        <w:rPr>
          <w:rFonts w:ascii="Calibri" w:cs="Calibri" w:eastAsia="Calibri" w:hAnsi="Calibri"/>
          <w:sz w:val="22"/>
          <w:szCs w:val="22"/>
        </w:rPr>
        <w:t xml:space="preserve">Multi-format sources: Housing price data is drawn from two separate institutions (EUSTAT and MIVAU) in CSV and XLS respectively, later merged into a single target table.</w:t>
      </w:r>
    </w:p>
    <w:p>
      <w:pPr>
        <w:pStyle w:val="Heading2"/>
        <w:spacing w:after="80" w:before="240"/>
      </w:pPr>
      <w:r>
        <w:rPr>
          <w:rFonts w:ascii="Calibri" w:cs="Calibri" w:eastAsia="Calibri" w:hAnsi="Calibri"/>
          <w:b/>
          <w:bCs/>
          <w:color w:val="2E74B5"/>
          <w:sz w:val="24"/>
          <w:szCs w:val="24"/>
        </w:rPr>
        <w:t xml:space="preserve">4.3.    Transformation Phase</w:t>
      </w:r>
    </w:p>
    <w:p>
      <w:pPr>
        <w:spacing w:after="80" w:before="80"/>
        <w:jc w:val="both"/>
      </w:pPr>
      <w:r>
        <w:rPr>
          <w:rFonts w:ascii="Calibri" w:cs="Calibri" w:eastAsia="Calibri" w:hAnsi="Calibri"/>
          <w:sz w:val="22"/>
          <w:szCs w:val="22"/>
        </w:rPr>
        <w:t xml:space="preserve">Transformation scripts implement the following operations:</w:t>
      </w:r>
    </w:p>
    <w:p>
      <w:pPr>
        <w:pStyle w:val="ListParagraph"/>
        <w:numPr>
          <w:ilvl w:val="0"/>
          <w:numId w:val="2"/>
        </w:numPr>
        <w:spacing w:after="60" w:before="60"/>
      </w:pPr>
      <w:r>
        <w:rPr>
          <w:rFonts w:ascii="Calibri" w:cs="Calibri" w:eastAsia="Calibri" w:hAnsi="Calibri"/>
          <w:sz w:val="22"/>
          <w:szCs w:val="22"/>
        </w:rPr>
        <w:t xml:space="preserve">Wide-to-long conversion: Most official statistical tables are published in wide format (years as columns). All tables are converted to long format for consistent schema and easier querying.</w:t>
      </w:r>
    </w:p>
    <w:p>
      <w:pPr>
        <w:pStyle w:val="ListParagraph"/>
        <w:numPr>
          <w:ilvl w:val="0"/>
          <w:numId w:val="2"/>
        </w:numPr>
        <w:spacing w:after="60" w:before="60"/>
      </w:pPr>
      <w:r>
        <w:rPr>
          <w:rFonts w:ascii="Calibri" w:cs="Calibri" w:eastAsia="Calibri" w:hAnsi="Calibri"/>
          <w:sz w:val="22"/>
          <w:szCs w:val="22"/>
        </w:rPr>
        <w:t xml:space="preserve">Label normalisation: Territory names, nationality labels, and sex/age categories differ across INE and EUSTAT. Heuristic-based rules standardise these into common reference values.</w:t>
      </w:r>
    </w:p>
    <w:p>
      <w:pPr>
        <w:pStyle w:val="ListParagraph"/>
        <w:numPr>
          <w:ilvl w:val="0"/>
          <w:numId w:val="2"/>
        </w:numPr>
        <w:spacing w:after="60" w:before="60"/>
      </w:pPr>
      <w:r>
        <w:rPr>
          <w:rFonts w:ascii="Calibri" w:cs="Calibri" w:eastAsia="Calibri" w:hAnsi="Calibri"/>
          <w:sz w:val="22"/>
          <w:szCs w:val="22"/>
        </w:rPr>
        <w:t xml:space="preserve">Type casting: Year values are cast to INTEGER, numeric indicators to NUMERIC or DOUBLE PRECISION, and all text fields are stripped of leading/trailing whitespace.</w:t>
      </w:r>
    </w:p>
    <w:p>
      <w:pPr>
        <w:pStyle w:val="ListParagraph"/>
        <w:numPr>
          <w:ilvl w:val="0"/>
          <w:numId w:val="2"/>
        </w:numPr>
        <w:spacing w:after="60" w:before="60"/>
      </w:pPr>
      <w:r>
        <w:rPr>
          <w:rFonts w:ascii="Calibri" w:cs="Calibri" w:eastAsia="Calibri" w:hAnsi="Calibri"/>
          <w:sz w:val="22"/>
          <w:szCs w:val="22"/>
        </w:rPr>
        <w:t xml:space="preserve">Aggregate row removal: Official statistics often include subtotal rows (e.g. ‘Total’ nationality, ‘Both sexes’). These are retained or filtered depending on the target table’s purpose to avoid double-counting in views.</w:t>
      </w:r>
    </w:p>
    <w:p>
      <w:pPr>
        <w:pStyle w:val="ListParagraph"/>
        <w:numPr>
          <w:ilvl w:val="0"/>
          <w:numId w:val="2"/>
        </w:numPr>
        <w:spacing w:after="60" w:before="60"/>
      </w:pPr>
      <w:r>
        <w:rPr>
          <w:rFonts w:ascii="Calibri" w:cs="Calibri" w:eastAsia="Calibri" w:hAnsi="Calibri"/>
          <w:sz w:val="22"/>
          <w:szCs w:val="22"/>
        </w:rPr>
        <w:t xml:space="preserve">Schema alignment: Despite coming from different institutions, all datasets are aligned to a common schema convention (id, year, territory/province, value, etc.).</w:t>
      </w:r>
    </w:p>
    <w:p>
      <w:pPr>
        <w:pStyle w:val="Heading2"/>
        <w:spacing w:after="80" w:before="240"/>
      </w:pPr>
      <w:r>
        <w:rPr>
          <w:rFonts w:ascii="Calibri" w:cs="Calibri" w:eastAsia="Calibri" w:hAnsi="Calibri"/>
          <w:b/>
          <w:bCs/>
          <w:color w:val="2E74B5"/>
          <w:sz w:val="24"/>
          <w:szCs w:val="24"/>
        </w:rPr>
        <w:t xml:space="preserve">4.4.    Validation Phase</w:t>
      </w:r>
    </w:p>
    <w:p>
      <w:pPr>
        <w:spacing w:after="60" w:before="200"/>
      </w:pPr>
      <w:r>
        <w:rPr>
          <w:rFonts w:ascii="Calibri" w:cs="Calibri" w:eastAsia="Calibri" w:hAnsi="Calibri"/>
          <w:b/>
          <w:bCs/>
          <w:color w:val="C0392B"/>
          <w:sz w:val="22"/>
          <w:szCs w:val="22"/>
        </w:rPr>
        <w:t xml:space="preserve">Pre-Ingestion Validation (pre_ingestion_checks.py)</w:t>
      </w:r>
    </w:p>
    <w:p>
      <w:pPr>
        <w:spacing w:after="80" w:before="80"/>
        <w:jc w:val="both"/>
      </w:pPr>
      <w:r>
        <w:rPr>
          <w:rFonts w:ascii="Calibri" w:cs="Calibri" w:eastAsia="Calibri" w:hAnsi="Calibri"/>
          <w:sz w:val="22"/>
          <w:szCs w:val="22"/>
        </w:rPr>
        <w:t xml:space="preserve">This script validates each cleaned CSV file before any database writes occur. It checks:</w:t>
      </w:r>
    </w:p>
    <w:p>
      <w:pPr>
        <w:pStyle w:val="ListParagraph"/>
        <w:numPr>
          <w:ilvl w:val="0"/>
          <w:numId w:val="2"/>
        </w:numPr>
        <w:spacing w:after="60" w:before="60"/>
      </w:pPr>
      <w:r>
        <w:rPr>
          <w:rFonts w:ascii="Calibri" w:cs="Calibri" w:eastAsia="Calibri" w:hAnsi="Calibri"/>
          <w:sz w:val="22"/>
          <w:szCs w:val="22"/>
        </w:rPr>
        <w:t xml:space="preserve">Required columns are present and correctly named.</w:t>
      </w:r>
    </w:p>
    <w:p>
      <w:pPr>
        <w:pStyle w:val="ListParagraph"/>
        <w:numPr>
          <w:ilvl w:val="0"/>
          <w:numId w:val="2"/>
        </w:numPr>
        <w:spacing w:after="60" w:before="60"/>
      </w:pPr>
      <w:r>
        <w:rPr>
          <w:rFonts w:ascii="Calibri" w:cs="Calibri" w:eastAsia="Calibri" w:hAnsi="Calibri"/>
          <w:sz w:val="22"/>
          <w:szCs w:val="22"/>
        </w:rPr>
        <w:t xml:space="preserve">No NULL values exist in primary key or critical numeric fields.</w:t>
      </w:r>
    </w:p>
    <w:p>
      <w:pPr>
        <w:pStyle w:val="ListParagraph"/>
        <w:numPr>
          <w:ilvl w:val="0"/>
          <w:numId w:val="2"/>
        </w:numPr>
        <w:spacing w:after="60" w:before="60"/>
      </w:pPr>
      <w:r>
        <w:rPr>
          <w:rFonts w:ascii="Calibri" w:cs="Calibri" w:eastAsia="Calibri" w:hAnsi="Calibri"/>
          <w:sz w:val="22"/>
          <w:szCs w:val="22"/>
        </w:rPr>
        <w:t xml:space="preserve">No logical duplicate rows exist (same combination of identifying fields).</w:t>
      </w:r>
    </w:p>
    <w:p>
      <w:pPr>
        <w:pStyle w:val="ListParagraph"/>
        <w:numPr>
          <w:ilvl w:val="0"/>
          <w:numId w:val="2"/>
        </w:numPr>
        <w:spacing w:after="60" w:before="60"/>
      </w:pPr>
      <w:r>
        <w:rPr>
          <w:rFonts w:ascii="Calibri" w:cs="Calibri" w:eastAsia="Calibri" w:hAnsi="Calibri"/>
          <w:sz w:val="22"/>
          <w:szCs w:val="22"/>
        </w:rPr>
        <w:t xml:space="preserve">Year values fall within the expected range for each dataset.</w:t>
      </w:r>
    </w:p>
    <w:p>
      <w:pPr>
        <w:spacing w:after="80" w:before="80"/>
        <w:jc w:val="both"/>
      </w:pPr>
      <w:r>
        <w:rPr>
          <w:rFonts w:ascii="Calibri" w:cs="Calibri" w:eastAsia="Calibri" w:hAnsi="Calibri"/>
          <w:sz w:val="22"/>
          <w:szCs w:val="22"/>
        </w:rPr>
        <w:t xml:space="preserve">If any critical check fails, the orchestrator halts the pipeline and logs the failure.</w:t>
      </w:r>
    </w:p>
    <w:p>
      <w:pPr>
        <w:spacing w:after="60" w:before="200"/>
      </w:pPr>
      <w:r>
        <w:rPr>
          <w:rFonts w:ascii="Calibri" w:cs="Calibri" w:eastAsia="Calibri" w:hAnsi="Calibri"/>
          <w:b/>
          <w:bCs/>
          <w:color w:val="C0392B"/>
          <w:sz w:val="22"/>
          <w:szCs w:val="22"/>
        </w:rPr>
        <w:t xml:space="preserve">Post-Ingestion Validation (data_quality_checks.py)</w:t>
      </w:r>
    </w:p>
    <w:p>
      <w:pPr>
        <w:spacing w:after="80" w:before="80"/>
        <w:jc w:val="both"/>
      </w:pPr>
      <w:r>
        <w:rPr>
          <w:rFonts w:ascii="Calibri" w:cs="Calibri" w:eastAsia="Calibri" w:hAnsi="Calibri"/>
          <w:sz w:val="22"/>
          <w:szCs w:val="22"/>
        </w:rPr>
        <w:t xml:space="preserve">After loading, this script runs directly against the database. It verifies:</w:t>
      </w:r>
    </w:p>
    <w:p>
      <w:pPr>
        <w:pStyle w:val="ListParagraph"/>
        <w:numPr>
          <w:ilvl w:val="0"/>
          <w:numId w:val="2"/>
        </w:numPr>
        <w:spacing w:after="60" w:before="60"/>
      </w:pPr>
      <w:r>
        <w:rPr>
          <w:rFonts w:ascii="Calibri" w:cs="Calibri" w:eastAsia="Calibri" w:hAnsi="Calibri"/>
          <w:sz w:val="22"/>
          <w:szCs w:val="22"/>
        </w:rPr>
        <w:t xml:space="preserve">Row counts match expectations from the cleaned CSV files.</w:t>
      </w:r>
    </w:p>
    <w:p>
      <w:pPr>
        <w:pStyle w:val="ListParagraph"/>
        <w:numPr>
          <w:ilvl w:val="0"/>
          <w:numId w:val="2"/>
        </w:numPr>
        <w:spacing w:after="60" w:before="60"/>
      </w:pPr>
      <w:r>
        <w:rPr>
          <w:rFonts w:ascii="Calibri" w:cs="Calibri" w:eastAsia="Calibri" w:hAnsi="Calibri"/>
          <w:sz w:val="22"/>
          <w:szCs w:val="22"/>
        </w:rPr>
        <w:t xml:space="preserve">No NULL values were introduced during COPY.</w:t>
      </w:r>
    </w:p>
    <w:p>
      <w:pPr>
        <w:pStyle w:val="ListParagraph"/>
        <w:numPr>
          <w:ilvl w:val="0"/>
          <w:numId w:val="2"/>
        </w:numPr>
        <w:spacing w:after="60" w:before="60"/>
      </w:pPr>
      <w:r>
        <w:rPr>
          <w:rFonts w:ascii="Calibri" w:cs="Calibri" w:eastAsia="Calibri" w:hAnsi="Calibri"/>
          <w:sz w:val="22"/>
          <w:szCs w:val="22"/>
        </w:rPr>
        <w:t xml:space="preserve">Logical duplicates are absent in the database tables.</w:t>
      </w:r>
    </w:p>
    <w:p>
      <w:pPr>
        <w:spacing w:after="80" w:before="80"/>
        <w:jc w:val="both"/>
      </w:pPr>
      <w:r>
        <w:rPr>
          <w:rFonts w:ascii="Calibri" w:cs="Calibri" w:eastAsia="Calibri" w:hAnsi="Calibri"/>
          <w:sz w:val="22"/>
          <w:szCs w:val="22"/>
        </w:rPr>
        <w:t xml:space="preserve">Anomalies are logged but do not delete data; the pipeline documents deviations for review rather than silently discarding them.</w:t>
      </w:r>
    </w:p>
    <w:p>
      <w:pPr>
        <w:pStyle w:val="Heading2"/>
        <w:spacing w:after="80" w:before="240"/>
      </w:pPr>
      <w:r>
        <w:rPr>
          <w:rFonts w:ascii="Calibri" w:cs="Calibri" w:eastAsia="Calibri" w:hAnsi="Calibri"/>
          <w:b/>
          <w:bCs/>
          <w:color w:val="2E74B5"/>
          <w:sz w:val="24"/>
          <w:szCs w:val="24"/>
        </w:rPr>
        <w:t xml:space="preserve">4.5.    Prerequisites for Execution</w:t>
      </w:r>
    </w:p>
    <w:p>
      <w:pPr>
        <w:spacing w:after="80" w:before="80"/>
        <w:jc w:val="both"/>
      </w:pPr>
      <w:r>
        <w:rPr>
          <w:rFonts w:ascii="Calibri" w:cs="Calibri" w:eastAsia="Calibri" w:hAnsi="Calibri"/>
          <w:sz w:val="22"/>
          <w:szCs w:val="22"/>
        </w:rPr>
        <w:t xml:space="preserve">Before running the pipeline, the following setup is required:</w:t>
      </w:r>
    </w:p>
    <w:p>
      <w:pPr>
        <w:pStyle w:val="ListParagraph"/>
        <w:numPr>
          <w:ilvl w:val="0"/>
          <w:numId w:val="2"/>
        </w:numPr>
        <w:spacing w:after="60" w:before="60"/>
      </w:pPr>
      <w:r>
        <w:rPr>
          <w:rFonts w:ascii="Calibri" w:cs="Calibri" w:eastAsia="Calibri" w:hAnsi="Calibri"/>
          <w:sz w:val="22"/>
          <w:szCs w:val="22"/>
        </w:rPr>
        <w:t xml:space="preserve">A Supabase project must be created and a PostgreSQL database provisioned.</w:t>
      </w:r>
    </w:p>
    <w:p>
      <w:pPr>
        <w:pStyle w:val="ListParagraph"/>
        <w:numPr>
          <w:ilvl w:val="0"/>
          <w:numId w:val="2"/>
        </w:numPr>
        <w:spacing w:after="60" w:before="60"/>
      </w:pPr>
      <w:r>
        <w:rPr>
          <w:rFonts w:ascii="Calibri" w:cs="Calibri" w:eastAsia="Calibri" w:hAnsi="Calibri"/>
          <w:sz w:val="22"/>
          <w:szCs w:val="22"/>
        </w:rPr>
        <w:t xml:space="preserve">A .env file must be created at the project root containing: DB_USER, DB_PASSWORD, DB_HOST, DB_PORT, and DB_NAME.</w:t>
      </w:r>
    </w:p>
    <w:p>
      <w:pPr>
        <w:pStyle w:val="ListParagraph"/>
        <w:numPr>
          <w:ilvl w:val="0"/>
          <w:numId w:val="2"/>
        </w:numPr>
        <w:spacing w:after="60" w:before="60"/>
      </w:pPr>
      <w:r>
        <w:rPr>
          <w:rFonts w:ascii="Calibri" w:cs="Calibri" w:eastAsia="Calibri" w:hAnsi="Calibri"/>
          <w:sz w:val="22"/>
          <w:szCs w:val="22"/>
        </w:rPr>
        <w:t xml:space="preserve">Python dependencies must be installed (pandas, psycopg2, requests, selenium, pyaxis, python-dotenv).</w:t>
      </w:r>
    </w:p>
    <w:p>
      <w:pPr>
        <w:pStyle w:val="ListParagraph"/>
        <w:numPr>
          <w:ilvl w:val="0"/>
          <w:numId w:val="2"/>
        </w:numPr>
        <w:spacing w:after="60" w:before="60"/>
      </w:pPr>
      <w:r>
        <w:rPr>
          <w:rFonts w:ascii="Calibri" w:cs="Calibri" w:eastAsia="Calibri" w:hAnsi="Calibri"/>
          <w:sz w:val="22"/>
          <w:szCs w:val="22"/>
        </w:rPr>
        <w:t xml:space="preserve">For Selenium-based downloads, a compatible browser driver must be available in the system PATH.</w:t>
      </w:r>
    </w:p>
    <w:p>
      <w:r>
        <w:br w:type="page"/>
      </w:r>
    </w:p>
    <w:p>
      <w:pPr>
        <w:pStyle w:val="Heading1"/>
        <w:spacing w:after="120" w:before="360"/>
      </w:pPr>
      <w:r>
        <w:rPr>
          <w:rFonts w:ascii="Calibri" w:cs="Calibri" w:eastAsia="Calibri" w:hAnsi="Calibri"/>
          <w:b/>
          <w:bCs/>
          <w:color w:val="1F4E79"/>
          <w:sz w:val="32"/>
          <w:szCs w:val="32"/>
        </w:rPr>
        <w:t xml:space="preserve">5.   Data Dictionary</w:t>
      </w:r>
    </w:p>
    <w:p>
      <w:pPr>
        <w:spacing w:after="80" w:before="80"/>
        <w:jc w:val="both"/>
      </w:pPr>
      <w:r>
        <w:rPr>
          <w:rFonts w:ascii="Calibri" w:cs="Calibri" w:eastAsia="Calibri" w:hAnsi="Calibri"/>
          <w:sz w:val="22"/>
          <w:szCs w:val="22"/>
        </w:rPr>
        <w:t xml:space="preserve">The pipeline produces 12 base tables in PostgreSQL.</w:t>
      </w:r>
    </w:p>
    <w:p>
      <w:pPr>
        <w:spacing w:after="0" w:before="0"/>
      </w:pPr>
      <w:r>
        <w:t xml:space="preserve"/>
      </w:r>
    </w:p>
    <w:p>
      <w:pPr>
        <w:spacing w:after="40" w:before="180"/>
      </w:pPr>
      <w:r>
        <w:rPr>
          <w:rFonts w:ascii="Calibri" w:cs="Calibri" w:eastAsia="Calibri" w:hAnsi="Calibri"/>
          <w:b/>
          <w:bCs/>
          <w:sz w:val="22"/>
          <w:szCs w:val="22"/>
        </w:rPr>
        <w:t xml:space="preserve">population_total</w:t>
      </w:r>
    </w:p>
    <w:p>
      <w:pPr>
        <w:spacing w:after="80" w:before="0"/>
        <w:jc w:val="both"/>
      </w:pPr>
      <w:r>
        <w:rPr>
          <w:rFonts w:ascii="Calibri" w:cs="Calibri" w:eastAsia="Calibri" w:hAnsi="Calibri"/>
          <w:i/>
          <w:iCs/>
          <w:sz w:val="22"/>
          <w:szCs w:val="22"/>
        </w:rPr>
        <w:t xml:space="preserve">Official population data published by INE, with multiple territorial levels and demographic breakdowns.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row identifier (auto-generated primary key)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level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Administrative level: national, ccaa, or 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Name of the territory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Reference 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NUMERIC</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Number of inhabitants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Male, Female, or Both sexes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age_group</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 group classification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 classification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concept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Statistical concept as defined by INE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data_type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Provisional or final data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unit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Unit of measurement (default: Persons)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tipo_dato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Original INE label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periodo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Time period reference (January 1 / July 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created_at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TIMESTAMPTZ</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Timestamp of database insertion</w:t>
            </w:r>
          </w:p>
        </w:tc>
      </w:tr>
    </w:tbl>
    <w:p>
      <w:pPr>
        <w:spacing w:after="0" w:before="0"/>
      </w:pPr>
      <w:r>
        <w:t xml:space="preserve"/>
      </w:r>
    </w:p>
    <w:p>
      <w:pPr>
        <w:spacing w:after="40" w:before="180"/>
      </w:pPr>
      <w:r>
        <w:rPr>
          <w:rFonts w:ascii="Calibri" w:cs="Calibri" w:eastAsia="Calibri" w:hAnsi="Calibri"/>
          <w:b/>
          <w:bCs/>
          <w:sz w:val="22"/>
          <w:szCs w:val="22"/>
        </w:rPr>
        <w:t xml:space="preserve">population_eustat_total</w:t>
      </w:r>
    </w:p>
    <w:p>
      <w:pPr>
        <w:spacing w:after="80" w:before="0"/>
        <w:jc w:val="both"/>
      </w:pPr>
      <w:r>
        <w:rPr>
          <w:rFonts w:ascii="Calibri" w:cs="Calibri" w:eastAsia="Calibri" w:hAnsi="Calibri"/>
          <w:i/>
          <w:iCs/>
          <w:sz w:val="22"/>
          <w:szCs w:val="22"/>
        </w:rPr>
        <w:t xml:space="preserve">Total population by province and nationality in the Basque Country, sourced from EUSTAT.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Basque province (Álava, Bizkaia, Gipuzkoa)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 classification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Reference 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Number of inhabitants</w:t>
            </w:r>
          </w:p>
        </w:tc>
      </w:tr>
    </w:tbl>
    <w:p>
      <w:pPr>
        <w:spacing w:after="0" w:before="0"/>
      </w:pPr>
      <w:r>
        <w:t xml:space="preserve"/>
      </w:r>
    </w:p>
    <w:p>
      <w:pPr>
        <w:spacing w:after="40" w:before="180"/>
      </w:pPr>
      <w:r>
        <w:rPr>
          <w:rFonts w:ascii="Calibri" w:cs="Calibri" w:eastAsia="Calibri" w:hAnsi="Calibri"/>
          <w:b/>
          <w:bCs/>
          <w:sz w:val="22"/>
          <w:szCs w:val="22"/>
        </w:rPr>
        <w:t xml:space="preserve">population_eustat_nationality</w:t>
      </w:r>
    </w:p>
    <w:p>
      <w:pPr>
        <w:spacing w:after="80" w:before="0"/>
        <w:jc w:val="both"/>
      </w:pPr>
      <w:r>
        <w:rPr>
          <w:rFonts w:ascii="Calibri" w:cs="Calibri" w:eastAsia="Calibri" w:hAnsi="Calibri"/>
          <w:i/>
          <w:iCs/>
          <w:sz w:val="22"/>
          <w:szCs w:val="22"/>
        </w:rPr>
        <w:t xml:space="preserve">Population by nationality and relationship with the labour market (EUSTAT).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ccaa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Autonomous Community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relation_with_activity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Relationship with economic activity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population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NUMERIC</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Number of persons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created_at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TIMESTAMPTZ</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Insertion timestamp</w:t>
            </w:r>
          </w:p>
        </w:tc>
      </w:tr>
    </w:tbl>
    <w:p>
      <w:pPr>
        <w:spacing w:after="0" w:before="0"/>
      </w:pPr>
      <w:r>
        <w:t xml:space="preserve"/>
      </w:r>
    </w:p>
    <w:p>
      <w:pPr>
        <w:spacing w:after="40" w:before="180"/>
      </w:pPr>
      <w:r>
        <w:rPr>
          <w:rFonts w:ascii="Calibri" w:cs="Calibri" w:eastAsia="Calibri" w:hAnsi="Calibri"/>
          <w:b/>
          <w:bCs/>
          <w:sz w:val="22"/>
          <w:szCs w:val="22"/>
        </w:rPr>
        <w:t xml:space="preserve">epa_contract_stats</w:t>
      </w:r>
    </w:p>
    <w:p>
      <w:pPr>
        <w:spacing w:after="80" w:before="0"/>
        <w:jc w:val="both"/>
      </w:pPr>
      <w:r>
        <w:rPr>
          <w:rFonts w:ascii="Calibri" w:cs="Calibri" w:eastAsia="Calibri" w:hAnsi="Calibri"/>
          <w:i/>
          <w:iCs/>
          <w:sz w:val="22"/>
          <w:szCs w:val="22"/>
        </w:rPr>
        <w:t xml:space="preserve">Labour indicators from the Labour Force Survey (EPA), sourced from 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age_group</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 group</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indicator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Labour indicator type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disability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Disability status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value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DOUBLE PRECISION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Indicator value</w:t>
            </w:r>
          </w:p>
        </w:tc>
      </w:tr>
    </w:tbl>
    <w:p>
      <w:pPr>
        <w:spacing w:after="0" w:before="0"/>
      </w:pPr>
      <w:r>
        <w:t xml:space="preserve"/>
      </w:r>
    </w:p>
    <w:p>
      <w:pPr>
        <w:spacing w:after="40" w:before="180"/>
      </w:pPr>
      <w:r>
        <w:rPr>
          <w:rFonts w:ascii="Calibri" w:cs="Calibri" w:eastAsia="Calibri" w:hAnsi="Calibri"/>
          <w:b/>
          <w:bCs/>
          <w:sz w:val="22"/>
          <w:szCs w:val="22"/>
        </w:rPr>
        <w:t xml:space="preserve">migration_birth_country</w:t>
      </w:r>
    </w:p>
    <w:p>
      <w:pPr>
        <w:spacing w:after="80" w:before="0"/>
        <w:jc w:val="both"/>
      </w:pPr>
      <w:r>
        <w:rPr>
          <w:rFonts w:ascii="Calibri" w:cs="Calibri" w:eastAsia="Calibri" w:hAnsi="Calibri"/>
          <w:i/>
          <w:iCs/>
          <w:sz w:val="22"/>
          <w:szCs w:val="22"/>
        </w:rPr>
        <w:t xml:space="preserve">Migration indicators broken down by country or region of birth (INE).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Region or continent of origin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indicator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Migration indicator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age_group</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 group</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periodicity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 periodicity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data_type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 type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value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DOUBLE PRECISION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Indicator value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unit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Unit of measurement</w:t>
            </w:r>
          </w:p>
        </w:tc>
      </w:tr>
    </w:tbl>
    <w:p>
      <w:pPr>
        <w:spacing w:after="0" w:before="0"/>
      </w:pPr>
      <w:r>
        <w:t xml:space="preserve"/>
      </w:r>
    </w:p>
    <w:p>
      <w:pPr>
        <w:spacing w:after="40" w:before="180"/>
      </w:pPr>
      <w:r>
        <w:rPr>
          <w:rFonts w:ascii="Calibri" w:cs="Calibri" w:eastAsia="Calibri" w:hAnsi="Calibri"/>
          <w:b/>
          <w:bCs/>
          <w:sz w:val="22"/>
          <w:szCs w:val="22"/>
        </w:rPr>
        <w:t xml:space="preserve">crime_detentions</w:t>
      </w:r>
    </w:p>
    <w:p>
      <w:pPr>
        <w:spacing w:after="80" w:before="0"/>
        <w:jc w:val="both"/>
      </w:pPr>
      <w:r>
        <w:rPr>
          <w:rFonts w:ascii="Calibri" w:cs="Calibri" w:eastAsia="Calibri" w:hAnsi="Calibri"/>
          <w:i/>
          <w:iCs/>
          <w:sz w:val="22"/>
          <w:szCs w:val="22"/>
        </w:rPr>
        <w:t xml:space="preserve">Number of detentions disaggregated by demographic and geographic characteristics (Ministry of the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Region of nationality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 of detained individual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value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Number of detentions</w:t>
            </w:r>
          </w:p>
        </w:tc>
      </w:tr>
    </w:tbl>
    <w:p>
      <w:pPr>
        <w:spacing w:after="0" w:before="0"/>
      </w:pPr>
      <w:r>
        <w:t xml:space="preserve"/>
      </w:r>
    </w:p>
    <w:p>
      <w:pPr>
        <w:spacing w:after="40" w:before="180"/>
      </w:pPr>
      <w:r>
        <w:rPr>
          <w:rFonts w:ascii="Calibri" w:cs="Calibri" w:eastAsia="Calibri" w:hAnsi="Calibri"/>
          <w:b/>
          <w:bCs/>
          <w:sz w:val="22"/>
          <w:szCs w:val="22"/>
        </w:rPr>
        <w:t xml:space="preserve">crime_detentions_total</w:t>
      </w:r>
    </w:p>
    <w:p>
      <w:pPr>
        <w:spacing w:after="80" w:before="0"/>
        <w:jc w:val="both"/>
      </w:pPr>
      <w:r>
        <w:rPr>
          <w:rFonts w:ascii="Calibri" w:cs="Calibri" w:eastAsia="Calibri" w:hAnsi="Calibri"/>
          <w:i/>
          <w:iCs/>
          <w:sz w:val="22"/>
          <w:szCs w:val="22"/>
        </w:rPr>
        <w:t xml:space="preserve">Aggregated crime data by type of offence (Ministry of the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crime_type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 category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age_group</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Age group</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value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Number of records</w:t>
            </w:r>
          </w:p>
        </w:tc>
      </w:tr>
    </w:tbl>
    <w:p>
      <w:pPr>
        <w:spacing w:after="0" w:before="0"/>
      </w:pPr>
      <w:r>
        <w:t xml:space="preserve"/>
      </w:r>
    </w:p>
    <w:p>
      <w:pPr>
        <w:spacing w:after="40" w:before="180"/>
      </w:pPr>
      <w:r>
        <w:rPr>
          <w:rFonts w:ascii="Calibri" w:cs="Calibri" w:eastAsia="Calibri" w:hAnsi="Calibri"/>
          <w:b/>
          <w:bCs/>
          <w:sz w:val="22"/>
          <w:szCs w:val="22"/>
        </w:rPr>
        <w:t xml:space="preserve">ine_employment</w:t>
      </w:r>
    </w:p>
    <w:p>
      <w:pPr>
        <w:spacing w:after="80" w:before="0"/>
        <w:jc w:val="both"/>
      </w:pPr>
      <w:r>
        <w:rPr>
          <w:rFonts w:ascii="Calibri" w:cs="Calibri" w:eastAsia="Calibri" w:hAnsi="Calibri"/>
          <w:i/>
          <w:iCs/>
          <w:sz w:val="22"/>
          <w:szCs w:val="22"/>
        </w:rPr>
        <w:t xml:space="preserve">Employment indicators disaggregated by nationality and sector (INE).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relation_activity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Relation to economic activity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Sex</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sector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Economic sector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value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DOUBLE PRECISION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Indicator value</w:t>
            </w:r>
          </w:p>
        </w:tc>
      </w:tr>
    </w:tbl>
    <w:p>
      <w:pPr>
        <w:spacing w:after="0" w:before="0"/>
      </w:pPr>
      <w:r>
        <w:t xml:space="preserve"/>
      </w:r>
    </w:p>
    <w:p>
      <w:pPr>
        <w:spacing w:after="40" w:before="180"/>
      </w:pPr>
      <w:r>
        <w:rPr>
          <w:rFonts w:ascii="Calibri" w:cs="Calibri" w:eastAsia="Calibri" w:hAnsi="Calibri"/>
          <w:b/>
          <w:bCs/>
          <w:sz w:val="22"/>
          <w:szCs w:val="22"/>
        </w:rPr>
        <w:t xml:space="preserve">eustat_activity_nationality</w:t>
      </w:r>
    </w:p>
    <w:p>
      <w:pPr>
        <w:spacing w:after="80" w:before="0"/>
        <w:jc w:val="both"/>
      </w:pPr>
      <w:r>
        <w:rPr>
          <w:rFonts w:ascii="Calibri" w:cs="Calibri" w:eastAsia="Calibri" w:hAnsi="Calibri"/>
          <w:i/>
          <w:iCs/>
          <w:sz w:val="22"/>
          <w:szCs w:val="22"/>
        </w:rPr>
        <w:t xml:space="preserve">Quarterly activity, unemployment, and employment rates by nationality and province (EUSTAT).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rate_type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Type of rate (activity, unemployment, employment)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Nationality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quarter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Quarter (Q1–Q4)</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value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DOUBLE PRECISION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Rate value</w:t>
            </w:r>
          </w:p>
        </w:tc>
      </w:tr>
    </w:tbl>
    <w:p>
      <w:pPr>
        <w:spacing w:after="0" w:before="0"/>
      </w:pPr>
      <w:r>
        <w:t xml:space="preserve"/>
      </w:r>
    </w:p>
    <w:p>
      <w:pPr>
        <w:spacing w:after="40" w:before="180"/>
      </w:pPr>
      <w:r>
        <w:rPr>
          <w:rFonts w:ascii="Calibri" w:cs="Calibri" w:eastAsia="Calibri" w:hAnsi="Calibri"/>
          <w:b/>
          <w:bCs/>
          <w:sz w:val="22"/>
          <w:szCs w:val="22"/>
        </w:rPr>
        <w:t xml:space="preserve">elections_parlamento_vasco</w:t>
      </w:r>
    </w:p>
    <w:p>
      <w:pPr>
        <w:spacing w:after="80" w:before="0"/>
        <w:jc w:val="both"/>
      </w:pPr>
      <w:r>
        <w:rPr>
          <w:rFonts w:ascii="Calibri" w:cs="Calibri" w:eastAsia="Calibri" w:hAnsi="Calibri"/>
          <w:i/>
          <w:iCs/>
          <w:sz w:val="22"/>
          <w:szCs w:val="22"/>
        </w:rPr>
        <w:t xml:space="preserve">Basque Parliament election results by year and political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Election 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month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Month of election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party_name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Political party name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seats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BIGINT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Number of seats obtained</w:t>
            </w:r>
          </w:p>
        </w:tc>
      </w:tr>
    </w:tbl>
    <w:p>
      <w:pPr>
        <w:spacing w:after="0" w:before="0"/>
      </w:pPr>
      <w:r>
        <w:t xml:space="preserve"/>
      </w:r>
    </w:p>
    <w:p>
      <w:pPr>
        <w:spacing w:after="40" w:before="180"/>
      </w:pPr>
      <w:r>
        <w:rPr>
          <w:rFonts w:ascii="Calibri" w:cs="Calibri" w:eastAsia="Calibri" w:hAnsi="Calibri"/>
          <w:b/>
          <w:bCs/>
          <w:sz w:val="22"/>
          <w:szCs w:val="22"/>
        </w:rPr>
        <w:t xml:space="preserve">housing_prices_annual</w:t>
      </w:r>
    </w:p>
    <w:p>
      <w:pPr>
        <w:spacing w:after="80" w:before="0"/>
        <w:jc w:val="both"/>
      </w:pPr>
      <w:r>
        <w:rPr>
          <w:rFonts w:ascii="Calibri" w:cs="Calibri" w:eastAsia="Calibri" w:hAnsi="Calibri"/>
          <w:i/>
          <w:iCs/>
          <w:sz w:val="22"/>
          <w:szCs w:val="22"/>
        </w:rPr>
        <w:t xml:space="preserve">Annual housing prices per square metre by territory, integrating EUSTAT and MIVAU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region_type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Province or Autonomous Community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price_per_m2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NUMERIC(12,2)</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Average price in EUR per m²</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source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Data source (MIVAU or EUSTAT)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created_at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TIMESTAMPTZ</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Insertion timestamp</w:t>
            </w:r>
          </w:p>
        </w:tc>
      </w:tr>
    </w:tbl>
    <w:p>
      <w:pPr>
        <w:spacing w:after="0" w:before="0"/>
      </w:pPr>
      <w:r>
        <w:t xml:space="preserve"/>
      </w:r>
    </w:p>
    <w:p>
      <w:pPr>
        <w:spacing w:after="40" w:before="180"/>
      </w:pPr>
      <w:r>
        <w:rPr>
          <w:rFonts w:ascii="Calibri" w:cs="Calibri" w:eastAsia="Calibri" w:hAnsi="Calibri"/>
          <w:b/>
          <w:bCs/>
          <w:sz w:val="22"/>
          <w:szCs w:val="22"/>
        </w:rPr>
        <w:t xml:space="preserve">ine_poverty_stats</w:t>
      </w:r>
    </w:p>
    <w:p>
      <w:pPr>
        <w:spacing w:after="80" w:before="0"/>
        <w:jc w:val="both"/>
      </w:pPr>
      <w:r>
        <w:rPr>
          <w:rFonts w:ascii="Calibri" w:cs="Calibri" w:eastAsia="Calibri" w:hAnsi="Calibri"/>
          <w:i/>
          <w:iCs/>
          <w:sz w:val="22"/>
          <w:szCs w:val="22"/>
        </w:rPr>
        <w:t xml:space="preserve">Poverty risk indicators by territorial level and year (INE).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BIGSERIAL</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Internal identifier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level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Territorial level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Territory name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indicator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TEXT</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Poverty indicator type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INTEGER</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Year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value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DOUBLE PRECISION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Indicator value</w:t>
            </w:r>
          </w:p>
        </w:tc>
      </w:tr>
    </w:tbl>
    <w:p>
      <w:r>
        <w:br w:type="page"/>
      </w:r>
    </w:p>
    <w:p>
      <w:pPr>
        <w:pStyle w:val="Heading1"/>
        <w:spacing w:after="120" w:before="360"/>
      </w:pPr>
      <w:r>
        <w:rPr>
          <w:rFonts w:ascii="Calibri" w:cs="Calibri" w:eastAsia="Calibri" w:hAnsi="Calibri"/>
          <w:b/>
          <w:bCs/>
          <w:color w:val="1F4E79"/>
          <w:sz w:val="32"/>
          <w:szCs w:val="32"/>
        </w:rPr>
        <w:t xml:space="preserve">6.   Descriptive Statistics – SQL Queries</w:t>
      </w:r>
    </w:p>
    <w:p>
      <w:pPr>
        <w:pStyle w:val="Heading2"/>
        <w:spacing w:after="80" w:before="240"/>
      </w:pPr>
      <w:r>
        <w:rPr>
          <w:rFonts w:ascii="Calibri" w:cs="Calibri" w:eastAsia="Calibri" w:hAnsi="Calibri"/>
          <w:b/>
          <w:bCs/>
          <w:color w:val="2E74B5"/>
          <w:sz w:val="24"/>
          <w:szCs w:val="24"/>
        </w:rPr>
        <w:t xml:space="preserve">6.1.    Overview of the Analytical Views</w:t>
      </w:r>
    </w:p>
    <w:p>
      <w:pPr>
        <w:spacing w:after="80" w:before="80"/>
        <w:jc w:val="both"/>
      </w:pPr>
      <w:r>
        <w:rPr>
          <w:rFonts w:ascii="Calibri" w:cs="Calibri" w:eastAsia="Calibri" w:hAnsi="Calibri"/>
          <w:sz w:val="22"/>
          <w:szCs w:val="22"/>
        </w:rPr>
        <w:t xml:space="preserve">Twenty-three analytical SQL views have been created on top of the base tables. These views constitute the OLAP layer of the architecture. They do not modify base tables and are optimised for read access by BI tools or AI APIs.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000"/>
        <w:gridCol w:w="3400"/>
      </w:tblGrid>
      <w:tr>
        <w:trPr>
          <w:tblHeader/>
        </w:trPr>
        <w:tc>
          <w:tcPr>
            <w:tcW w:type="dxa" w:w="3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View Name</w:t>
            </w:r>
          </w:p>
        </w:tc>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Theme</w:t>
            </w:r>
          </w:p>
        </w:tc>
        <w:tc>
          <w:tcPr>
            <w:tcW w:type="dxa" w:w="3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vw_ine_population_province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Demography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Total resident population by province, denominator for all ratio calculations</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vw_eustat_population_total_province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Demography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EUSTAT total population for cross-validation with INE</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vw_eustat_foreign_population_province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Immigration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Absolute foreign resident count by province and year</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vw_eustat_foreign_population_clean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Immigration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Clean foreign population base for percentage calculations</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vw_foreign_population_pct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Immigration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Share of foreign population as % of total, by province</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vw_eustat_activity_by_nationality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Labour Market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Activity, employment, and inactivity status by nationality</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vw_ine_employment_total_sector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Labour Market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Total employment by nationality and gender</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vw_ine_employment_by_sector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Labour Market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Employment distribution across economic sectors by nationality</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vw_activity_rate_annual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Labour Market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Annual average labour participation rate by nationality</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vw_unemployment_rate_annual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Labour Market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Unemployment rate by nationality — vulnerability measure</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vw_employment_rate_annual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Labour Market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Effective labour integration rate by nationality</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vw_crime_total_national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Total detentions by sex and year at provincial level</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vw_crime_total_pais_vasco</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Aggregated detentions at Basque Country level</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vw_crime_by_province_nationality_clean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Detentions by province and nationality, cleaned for ratio analysis</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vw_foreign_detentions_pv</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Aggregated foreign detentions across three provinces</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vw_immigration_crime_study_pv_rates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Crime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Standardised crime rates per 100,000 inhabitants — adjusted model</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vw_poverty_basque_country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Poverty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Official poverty rate for the Basque Country over time</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vw_poverty_ccaa_all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Poverty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Poverty rates for all Spanish CCAA — regional comparison</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vw_housing_prices_province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Housing</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Average housing price per m² by province and year</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vw_immigration_poverty_pv</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Poverty / Immigration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Combines immigration share with regional poverty rate</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vw_housing_foreign_share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Housing / Immigration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Housing prices alongside foreign population share by province</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vw_population_pais_vasco_year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Demography / Immigration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Aggregated total and foreign population for the Basque Country by year</w:t>
            </w:r>
          </w:p>
        </w:tc>
      </w:tr>
      <w:tr>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vw_elections_results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Elections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Parliamentary seats by party and election year</w:t>
            </w:r>
          </w:p>
        </w:tc>
      </w:tr>
    </w:tbl>
    <w:p>
      <w:pPr>
        <w:spacing w:after="0" w:before="0"/>
      </w:pPr>
      <w:r>
        <w:t xml:space="preserve"/>
      </w:r>
    </w:p>
    <w:p>
      <w:pPr>
        <w:pStyle w:val="Heading2"/>
        <w:spacing w:after="80" w:before="240"/>
      </w:pPr>
      <w:r>
        <w:rPr>
          <w:rFonts w:ascii="Calibri" w:cs="Calibri" w:eastAsia="Calibri" w:hAnsi="Calibri"/>
          <w:b/>
          <w:bCs/>
          <w:color w:val="2E74B5"/>
          <w:sz w:val="24"/>
          <w:szCs w:val="24"/>
        </w:rPr>
        <w:t xml:space="preserve">6.2.    Validation Queries</w:t>
      </w:r>
    </w:p>
    <w:p>
      <w:pPr>
        <w:spacing w:after="80" w:before="80"/>
        <w:jc w:val="both"/>
      </w:pPr>
      <w:r>
        <w:rPr>
          <w:rFonts w:ascii="Calibri" w:cs="Calibri" w:eastAsia="Calibri" w:hAnsi="Calibri"/>
          <w:sz w:val="22"/>
          <w:szCs w:val="22"/>
        </w:rPr>
        <w:t xml:space="preserve">The following categories of validation queries are executed post-ingestion to confirm data integrity:</w:t>
      </w:r>
    </w:p>
    <w:p>
      <w:pPr>
        <w:pStyle w:val="ListParagraph"/>
        <w:numPr>
          <w:ilvl w:val="0"/>
          <w:numId w:val="2"/>
        </w:numPr>
        <w:spacing w:after="60" w:before="60"/>
      </w:pPr>
      <w:r>
        <w:rPr>
          <w:rFonts w:ascii="Calibri" w:cs="Calibri" w:eastAsia="Calibri" w:hAnsi="Calibri"/>
          <w:sz w:val="22"/>
          <w:szCs w:val="22"/>
        </w:rPr>
        <w:t xml:space="preserve">Row count checks: each table is queried for COUNT(*) and compared to the row count of the source CSV file.</w:t>
      </w:r>
    </w:p>
    <w:p>
      <w:pPr>
        <w:pStyle w:val="ListParagraph"/>
        <w:numPr>
          <w:ilvl w:val="0"/>
          <w:numId w:val="2"/>
        </w:numPr>
        <w:spacing w:after="60" w:before="60"/>
      </w:pPr>
      <w:r>
        <w:rPr>
          <w:rFonts w:ascii="Calibri" w:cs="Calibri" w:eastAsia="Calibri" w:hAnsi="Calibri"/>
          <w:sz w:val="22"/>
          <w:szCs w:val="22"/>
        </w:rPr>
        <w:t xml:space="preserve">NULL checks: critical fields (year, territory/province, value) are checked for NULL across all tables.</w:t>
      </w:r>
    </w:p>
    <w:p>
      <w:pPr>
        <w:pStyle w:val="ListParagraph"/>
        <w:numPr>
          <w:ilvl w:val="0"/>
          <w:numId w:val="2"/>
        </w:numPr>
        <w:spacing w:after="60" w:before="60"/>
      </w:pPr>
      <w:r>
        <w:rPr>
          <w:rFonts w:ascii="Calibri" w:cs="Calibri" w:eastAsia="Calibri" w:hAnsi="Calibri"/>
          <w:sz w:val="22"/>
          <w:szCs w:val="22"/>
        </w:rPr>
        <w:t xml:space="preserve">Logical duplicate checks: composite key combinations are checked for repeated rows.</w:t>
      </w:r>
    </w:p>
    <w:p>
      <w:pPr>
        <w:pStyle w:val="ListParagraph"/>
        <w:numPr>
          <w:ilvl w:val="0"/>
          <w:numId w:val="2"/>
        </w:numPr>
        <w:spacing w:after="60" w:before="60"/>
      </w:pPr>
      <w:r>
        <w:rPr>
          <w:rFonts w:ascii="Calibri" w:cs="Calibri" w:eastAsia="Calibri" w:hAnsi="Calibri"/>
          <w:sz w:val="22"/>
          <w:szCs w:val="22"/>
        </w:rPr>
        <w:t xml:space="preserve">Range checks: year values and numeric indicators are validated against expected bounds.</w:t>
      </w:r>
    </w:p>
    <w:p>
      <w:pPr>
        <w:spacing w:after="80" w:before="80"/>
        <w:jc w:val="both"/>
      </w:pPr>
      <w:r>
        <w:rPr>
          <w:rFonts w:ascii="Calibri" w:cs="Calibri" w:eastAsia="Calibri" w:hAnsi="Calibri"/>
          <w:sz w:val="22"/>
          <w:szCs w:val="22"/>
        </w:rPr>
        <w:t xml:space="preserve">All 12 tables passed post-ingestion validation. Anomalies observed in the elections table (merged multi-year scraping artefacts) were logged and documented but not silently deleted.</w:t>
      </w:r>
    </w:p>
    <w:p>
      <w:r>
        <w:br w:type="page"/>
      </w:r>
    </w:p>
    <w:p>
      <w:pPr>
        <w:pStyle w:val="Heading1"/>
        <w:spacing w:after="120" w:before="360"/>
      </w:pPr>
      <w:r>
        <w:rPr>
          <w:rFonts w:ascii="Calibri" w:cs="Calibri" w:eastAsia="Calibri" w:hAnsi="Calibri"/>
          <w:b/>
          <w:bCs/>
          <w:color w:val="1F4E79"/>
          <w:sz w:val="32"/>
          <w:szCs w:val="32"/>
        </w:rPr>
        <w:t xml:space="preserve">7.   Conclusions and Further Work</w:t>
      </w:r>
    </w:p>
    <w:p>
      <w:pPr>
        <w:pStyle w:val="Heading2"/>
        <w:spacing w:after="80" w:before="240"/>
      </w:pPr>
      <w:r>
        <w:rPr>
          <w:rFonts w:ascii="Calibri" w:cs="Calibri" w:eastAsia="Calibri" w:hAnsi="Calibri"/>
          <w:b/>
          <w:bCs/>
          <w:color w:val="2E74B5"/>
          <w:sz w:val="24"/>
          <w:szCs w:val="24"/>
        </w:rPr>
        <w:t xml:space="preserve">7.1.    Key Outcomes</w:t>
      </w:r>
    </w:p>
    <w:p>
      <w:pPr>
        <w:spacing w:after="80" w:before="80"/>
        <w:jc w:val="both"/>
      </w:pPr>
      <w:r>
        <w:rPr>
          <w:rFonts w:ascii="Calibri" w:cs="Calibri" w:eastAsia="Calibri" w:hAnsi="Calibri"/>
          <w:sz w:val="22"/>
          <w:szCs w:val="22"/>
        </w:rPr>
        <w:t xml:space="preserve">The pipeline successfully integrates data from four official institutions in five thematic domains into a unified, queryable PostgreSQL schema. The main outcomes are:</w:t>
      </w:r>
    </w:p>
    <w:p>
      <w:pPr>
        <w:pStyle w:val="ListParagraph"/>
        <w:numPr>
          <w:ilvl w:val="0"/>
          <w:numId w:val="2"/>
        </w:numPr>
        <w:spacing w:after="60" w:before="60"/>
      </w:pPr>
      <w:r>
        <w:rPr>
          <w:rFonts w:ascii="Calibri" w:cs="Calibri" w:eastAsia="Calibri" w:hAnsi="Calibri"/>
          <w:sz w:val="22"/>
          <w:szCs w:val="22"/>
        </w:rPr>
        <w:t xml:space="preserve">12 normalised base tables covering demography, crime, employment, housing, poverty, and elections for the Basque Country.</w:t>
      </w:r>
    </w:p>
    <w:p>
      <w:pPr>
        <w:pStyle w:val="ListParagraph"/>
        <w:numPr>
          <w:ilvl w:val="0"/>
          <w:numId w:val="2"/>
        </w:numPr>
        <w:spacing w:after="60" w:before="60"/>
      </w:pPr>
      <w:r>
        <w:rPr>
          <w:rFonts w:ascii="Calibri" w:cs="Calibri" w:eastAsia="Calibri" w:hAnsi="Calibri"/>
          <w:sz w:val="22"/>
          <w:szCs w:val="22"/>
        </w:rPr>
        <w:t xml:space="preserve">23 analytical SQL views providing ready-to-consume statistical datasets for BI tools and AI APIs.</w:t>
      </w:r>
    </w:p>
    <w:p>
      <w:pPr>
        <w:pStyle w:val="ListParagraph"/>
        <w:numPr>
          <w:ilvl w:val="0"/>
          <w:numId w:val="2"/>
        </w:numPr>
        <w:spacing w:after="60" w:before="60"/>
      </w:pPr>
      <w:r>
        <w:rPr>
          <w:rFonts w:ascii="Calibri" w:cs="Calibri" w:eastAsia="Calibri" w:hAnsi="Calibri"/>
          <w:sz w:val="22"/>
          <w:szCs w:val="22"/>
        </w:rPr>
        <w:t xml:space="preserve">End-to-end reproducibility: any analyst can clone the repository, configure the .env file, and re-run the full pipeline deterministically.</w:t>
      </w:r>
    </w:p>
    <w:p>
      <w:pPr>
        <w:pStyle w:val="ListParagraph"/>
        <w:numPr>
          <w:ilvl w:val="0"/>
          <w:numId w:val="2"/>
        </w:numPr>
        <w:spacing w:after="60" w:before="60"/>
      </w:pPr>
      <w:r>
        <w:rPr>
          <w:rFonts w:ascii="Calibri" w:cs="Calibri" w:eastAsia="Calibri" w:hAnsi="Calibri"/>
          <w:sz w:val="22"/>
          <w:szCs w:val="22"/>
        </w:rPr>
        <w:t xml:space="preserve">A validated OLTP/OLAP separation that keeps ingestion and analytical workloads cleanly decoupled.</w:t>
      </w:r>
    </w:p>
    <w:p>
      <w:pPr>
        <w:pStyle w:val="Heading2"/>
        <w:spacing w:after="80" w:before="240"/>
      </w:pPr>
      <w:r>
        <w:rPr>
          <w:rFonts w:ascii="Calibri" w:cs="Calibri" w:eastAsia="Calibri" w:hAnsi="Calibri"/>
          <w:b/>
          <w:bCs/>
          <w:color w:val="2E74B5"/>
          <w:sz w:val="24"/>
          <w:szCs w:val="24"/>
        </w:rPr>
        <w:t xml:space="preserve">7.2.    Technical Lessons Learned</w:t>
      </w:r>
    </w:p>
    <w:p>
      <w:pPr>
        <w:spacing w:after="80" w:before="80"/>
        <w:jc w:val="both"/>
      </w:pPr>
      <w:r>
        <w:rPr>
          <w:rFonts w:ascii="Calibri" w:cs="Calibri" w:eastAsia="Calibri" w:hAnsi="Calibri"/>
          <w:sz w:val="22"/>
          <w:szCs w:val="22"/>
        </w:rPr>
        <w:t xml:space="preserve">Working with official government data revealed several important lessons for data engineering practice:</w:t>
      </w:r>
    </w:p>
    <w:p>
      <w:pPr>
        <w:pStyle w:val="ListParagraph"/>
        <w:numPr>
          <w:ilvl w:val="0"/>
          <w:numId w:val="2"/>
        </w:numPr>
        <w:spacing w:after="60" w:before="60"/>
      </w:pPr>
      <w:r>
        <w:rPr>
          <w:rFonts w:ascii="Calibri" w:cs="Calibri" w:eastAsia="Calibri" w:hAnsi="Calibri"/>
          <w:sz w:val="22"/>
          <w:szCs w:val="22"/>
        </w:rPr>
        <w:t xml:space="preserve">Official does not mean clean: inconsistent labels, mixed aggregation levels, and changing schemas over time require systematic heuristic normalisation, not just schema mapping.</w:t>
      </w:r>
    </w:p>
    <w:p>
      <w:pPr>
        <w:pStyle w:val="ListParagraph"/>
        <w:numPr>
          <w:ilvl w:val="0"/>
          <w:numId w:val="2"/>
        </w:numPr>
        <w:spacing w:after="60" w:before="60"/>
      </w:pPr>
      <w:r>
        <w:rPr>
          <w:rFonts w:ascii="Calibri" w:cs="Calibri" w:eastAsia="Calibri" w:hAnsi="Calibri"/>
          <w:sz w:val="22"/>
          <w:szCs w:val="22"/>
        </w:rPr>
        <w:t xml:space="preserve">Validation must be double-gated: checking data before and after ingestion catches different classes of errors. Pre-ingestion catches transformation bugs; post-ingestion catches load-level issues.</w:t>
      </w:r>
    </w:p>
    <w:p>
      <w:pPr>
        <w:pStyle w:val="ListParagraph"/>
        <w:numPr>
          <w:ilvl w:val="0"/>
          <w:numId w:val="2"/>
        </w:numPr>
        <w:spacing w:after="60" w:before="60"/>
      </w:pPr>
      <w:r>
        <w:rPr>
          <w:rFonts w:ascii="Calibri" w:cs="Calibri" w:eastAsia="Calibri" w:hAnsi="Calibri"/>
          <w:sz w:val="22"/>
          <w:szCs w:val="22"/>
        </w:rPr>
        <w:t xml:space="preserve">Soft validation is sometimes preferable: rigidly rejecting records with unexpected values would have removed legitimate data for edge-case territories. Logging anomalies and continuing is a more robust strategy for official statistics.</w:t>
      </w:r>
    </w:p>
    <w:p>
      <w:pPr>
        <w:pStyle w:val="ListParagraph"/>
        <w:numPr>
          <w:ilvl w:val="0"/>
          <w:numId w:val="2"/>
        </w:numPr>
        <w:spacing w:after="60" w:before="60"/>
      </w:pPr>
      <w:r>
        <w:rPr>
          <w:rFonts w:ascii="Calibri" w:cs="Calibri" w:eastAsia="Calibri" w:hAnsi="Calibri"/>
          <w:sz w:val="22"/>
          <w:szCs w:val="22"/>
        </w:rPr>
        <w:t xml:space="preserve">PX-Web is a recurring obstacle: several Spanish government statistical systems publish data exclusively in PX-Web format, which is not widely supported by standard libraries.</w:t>
      </w:r>
    </w:p>
    <w:p>
      <w:pPr>
        <w:pStyle w:val="Heading2"/>
        <w:spacing w:after="80" w:before="240"/>
      </w:pPr>
      <w:r>
        <w:rPr>
          <w:rFonts w:ascii="Calibri" w:cs="Calibri" w:eastAsia="Calibri" w:hAnsi="Calibri"/>
          <w:b/>
          <w:bCs/>
          <w:color w:val="2E74B5"/>
          <w:sz w:val="24"/>
          <w:szCs w:val="24"/>
        </w:rPr>
        <w:t xml:space="preserve">7.3.    Scalability Considerations</w:t>
      </w:r>
    </w:p>
    <w:p>
      <w:pPr>
        <w:spacing w:after="80" w:before="80"/>
        <w:jc w:val="both"/>
      </w:pPr>
      <w:r>
        <w:rPr>
          <w:rFonts w:ascii="Calibri" w:cs="Calibri" w:eastAsia="Calibri" w:hAnsi="Calibri"/>
          <w:sz w:val="22"/>
          <w:szCs w:val="22"/>
        </w:rPr>
        <w:t xml:space="preserve">The current architecture scales well for the present data volume (~tens of thousands of rows per table). For future extensions:</w:t>
      </w:r>
    </w:p>
    <w:p>
      <w:pPr>
        <w:pStyle w:val="ListParagraph"/>
        <w:numPr>
          <w:ilvl w:val="0"/>
          <w:numId w:val="2"/>
        </w:numPr>
        <w:spacing w:after="60" w:before="60"/>
      </w:pPr>
      <w:r>
        <w:rPr>
          <w:rFonts w:ascii="Calibri" w:cs="Calibri" w:eastAsia="Calibri" w:hAnsi="Calibri"/>
          <w:sz w:val="22"/>
          <w:szCs w:val="22"/>
        </w:rPr>
        <w:t xml:space="preserve">Materialised views can replace regular views if query performance degrades with larger datasets.</w:t>
      </w:r>
    </w:p>
    <w:p>
      <w:pPr>
        <w:pStyle w:val="ListParagraph"/>
        <w:numPr>
          <w:ilvl w:val="0"/>
          <w:numId w:val="2"/>
        </w:numPr>
        <w:spacing w:after="60" w:before="60"/>
      </w:pPr>
      <w:r>
        <w:rPr>
          <w:rFonts w:ascii="Calibri" w:cs="Calibri" w:eastAsia="Calibri" w:hAnsi="Calibri"/>
          <w:sz w:val="22"/>
          <w:szCs w:val="22"/>
        </w:rPr>
        <w:t xml:space="preserve">Separate OLTP and OLAP instances (e.g. a dedicated data warehouse) would be warranted if row counts reach tens of millions.</w:t>
      </w:r>
    </w:p>
    <w:p>
      <w:pPr>
        <w:pStyle w:val="ListParagraph"/>
        <w:numPr>
          <w:ilvl w:val="0"/>
          <w:numId w:val="2"/>
        </w:numPr>
        <w:spacing w:after="60" w:before="60"/>
      </w:pPr>
      <w:r>
        <w:rPr>
          <w:rFonts w:ascii="Calibri" w:cs="Calibri" w:eastAsia="Calibri" w:hAnsi="Calibri"/>
          <w:sz w:val="22"/>
          <w:szCs w:val="22"/>
        </w:rPr>
        <w:t xml:space="preserve">The modular script structure allows adding new datasets or data sources without modifying the orchestration logic.</w:t>
      </w:r>
    </w:p>
    <w:p>
      <w:pPr>
        <w:pStyle w:val="ListParagraph"/>
        <w:numPr>
          <w:ilvl w:val="0"/>
          <w:numId w:val="2"/>
        </w:numPr>
        <w:spacing w:after="60" w:before="60"/>
      </w:pPr>
      <w:r>
        <w:rPr>
          <w:rFonts w:ascii="Calibri" w:cs="Calibri" w:eastAsia="Calibri" w:hAnsi="Calibri"/>
          <w:sz w:val="22"/>
          <w:szCs w:val="22"/>
        </w:rPr>
        <w:t xml:space="preserve">COPY-based bulk loading already represents the most efficient ingestion method for PostgreSQL at this scale.</w:t>
      </w:r>
    </w:p>
    <w:p>
      <w:pPr>
        <w:pStyle w:val="Heading2"/>
        <w:spacing w:after="80" w:before="240"/>
      </w:pPr>
      <w:r>
        <w:rPr>
          <w:rFonts w:ascii="Calibri" w:cs="Calibri" w:eastAsia="Calibri" w:hAnsi="Calibri"/>
          <w:b/>
          <w:bCs/>
          <w:color w:val="2E74B5"/>
          <w:sz w:val="24"/>
          <w:szCs w:val="24"/>
        </w:rPr>
        <w:t xml:space="preserve">7.4.    AI Integration Strategy</w:t>
      </w:r>
    </w:p>
    <w:p>
      <w:pPr>
        <w:spacing w:after="80" w:before="80"/>
        <w:jc w:val="both"/>
      </w:pPr>
      <w:r>
        <w:rPr>
          <w:rFonts w:ascii="Calibri" w:cs="Calibri" w:eastAsia="Calibri" w:hAnsi="Calibri"/>
          <w:sz w:val="22"/>
          <w:szCs w:val="22"/>
        </w:rPr>
        <w:t xml:space="preserve">The architecture was designed from the outset to be consumable by AI systems in addition to traditional BI tools. The 23 analytical views produce:</w:t>
      </w:r>
    </w:p>
    <w:p>
      <w:pPr>
        <w:pStyle w:val="ListParagraph"/>
        <w:numPr>
          <w:ilvl w:val="0"/>
          <w:numId w:val="2"/>
        </w:numPr>
        <w:spacing w:after="60" w:before="60"/>
      </w:pPr>
      <w:r>
        <w:rPr>
          <w:rFonts w:ascii="Calibri" w:cs="Calibri" w:eastAsia="Calibri" w:hAnsi="Calibri"/>
          <w:sz w:val="22"/>
          <w:szCs w:val="22"/>
        </w:rPr>
        <w:t xml:space="preserve">Clean aggregated datasets with consistent naming conventions.</w:t>
      </w:r>
    </w:p>
    <w:p>
      <w:pPr>
        <w:pStyle w:val="ListParagraph"/>
        <w:numPr>
          <w:ilvl w:val="0"/>
          <w:numId w:val="2"/>
        </w:numPr>
        <w:spacing w:after="60" w:before="60"/>
      </w:pPr>
      <w:r>
        <w:rPr>
          <w:rFonts w:ascii="Calibri" w:cs="Calibri" w:eastAsia="Calibri" w:hAnsi="Calibri"/>
          <w:sz w:val="22"/>
          <w:szCs w:val="22"/>
        </w:rPr>
        <w:t xml:space="preserve">Standardised rates (per 100,000 inhabitants) that remove the confounding effect of population size.</w:t>
      </w:r>
    </w:p>
    <w:p>
      <w:pPr>
        <w:pStyle w:val="ListParagraph"/>
        <w:numPr>
          <w:ilvl w:val="0"/>
          <w:numId w:val="2"/>
        </w:numPr>
        <w:spacing w:after="60" w:before="60"/>
      </w:pPr>
      <w:r>
        <w:rPr>
          <w:rFonts w:ascii="Calibri" w:cs="Calibri" w:eastAsia="Calibri" w:hAnsi="Calibri"/>
          <w:sz w:val="22"/>
          <w:szCs w:val="22"/>
        </w:rPr>
        <w:t xml:space="preserve">Semantic output structures that can be directly described in a system prompt context for AI models.</w:t>
      </w:r>
    </w:p>
    <w:p>
      <w:pPr>
        <w:spacing w:after="80" w:before="80"/>
        <w:jc w:val="both"/>
      </w:pPr>
      <w:r>
        <w:rPr>
          <w:rFonts w:ascii="Calibri" w:cs="Calibri" w:eastAsia="Calibri" w:hAnsi="Calibri"/>
          <w:sz w:val="22"/>
          <w:szCs w:val="22"/>
        </w:rPr>
        <w:t xml:space="preserve">This enables an AI-augmented analytics layer in which models such as Claude can:</w:t>
      </w:r>
    </w:p>
    <w:p>
      <w:pPr>
        <w:pStyle w:val="ListParagraph"/>
        <w:numPr>
          <w:ilvl w:val="0"/>
          <w:numId w:val="2"/>
        </w:numPr>
        <w:spacing w:after="60" w:before="60"/>
      </w:pPr>
      <w:r>
        <w:rPr>
          <w:rFonts w:ascii="Calibri" w:cs="Calibri" w:eastAsia="Calibri" w:hAnsi="Calibri"/>
          <w:sz w:val="22"/>
          <w:szCs w:val="22"/>
        </w:rPr>
        <w:t xml:space="preserve">Automatically generate narrative summaries of trends.</w:t>
      </w:r>
    </w:p>
    <w:p>
      <w:pPr>
        <w:pStyle w:val="ListParagraph"/>
        <w:numPr>
          <w:ilvl w:val="0"/>
          <w:numId w:val="2"/>
        </w:numPr>
        <w:spacing w:after="60" w:before="60"/>
      </w:pPr>
      <w:r>
        <w:rPr>
          <w:rFonts w:ascii="Calibri" w:cs="Calibri" w:eastAsia="Calibri" w:hAnsi="Calibri"/>
          <w:sz w:val="22"/>
          <w:szCs w:val="22"/>
        </w:rPr>
        <w:t xml:space="preserve">Detect anomalies or unexpected patterns across indicators.</w:t>
      </w:r>
    </w:p>
    <w:p>
      <w:pPr>
        <w:pStyle w:val="ListParagraph"/>
        <w:numPr>
          <w:ilvl w:val="0"/>
          <w:numId w:val="2"/>
        </w:numPr>
        <w:spacing w:after="60" w:before="60"/>
      </w:pPr>
      <w:r>
        <w:rPr>
          <w:rFonts w:ascii="Calibri" w:cs="Calibri" w:eastAsia="Calibri" w:hAnsi="Calibri"/>
          <w:sz w:val="22"/>
          <w:szCs w:val="22"/>
        </w:rPr>
        <w:t xml:space="preserve">Produce executive briefings by combining multiple views.</w:t>
      </w:r>
    </w:p>
    <w:p>
      <w:pPr>
        <w:pStyle w:val="ListParagraph"/>
        <w:numPr>
          <w:ilvl w:val="0"/>
          <w:numId w:val="2"/>
        </w:numPr>
        <w:spacing w:after="60" w:before="60"/>
      </w:pPr>
      <w:r>
        <w:rPr>
          <w:rFonts w:ascii="Calibri" w:cs="Calibri" w:eastAsia="Calibri" w:hAnsi="Calibri"/>
          <w:sz w:val="22"/>
          <w:szCs w:val="22"/>
        </w:rPr>
        <w:t xml:space="preserve">Answer natural-language questions directly against the database schema.</w:t>
      </w:r>
    </w:p>
    <w:p>
      <w:pPr>
        <w:spacing w:after="80" w:before="80"/>
        <w:jc w:val="both"/>
      </w:pPr>
      <w:r>
        <w:rPr>
          <w:rFonts w:ascii="Calibri" w:cs="Calibri" w:eastAsia="Calibri" w:hAnsi="Calibri"/>
          <w:sz w:val="22"/>
          <w:szCs w:val="22"/>
        </w:rPr>
        <w:t xml:space="preserve">This approach positions the architecture for AI-augmented analytics rather than static dashboard-based reporting, representing a more flexible and forward-looking analytical paradigm.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dg3mix-g5qvr980mgj1q" Type="http://schemas.openxmlformats.org/officeDocument/2006/relationships/hyperlink" Target="https://github.com/cmarina2605-alt/BigDataMarina" TargetMode="External"/><Relationship Id="rId8" Type="http://schemas.openxmlformats.org/officeDocument/2006/relationships/image" Target="media/af86ad86c4587f577a0615c03a9641d2be8f9b5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2026-02-28T17:17:21.556Z</dcterms:created>
  <dcterms:modified xsi:type="dcterms:W3CDTF">2026-02-28T17:17:21.557Z</dcterms:modified>
</cp:coreProperties>
</file>

<file path=docProps/custom.xml><?xml version="1.0" encoding="utf-8"?>
<Properties xmlns="http://schemas.openxmlformats.org/officeDocument/2006/custom-properties" xmlns:vt="http://schemas.openxmlformats.org/officeDocument/2006/docPropsVTypes"/>
</file>