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7C5A9" w14:textId="341ACFAA" w:rsidR="00A517BA" w:rsidRPr="00B83B21" w:rsidRDefault="00B83B21">
      <w:pPr>
        <w:rPr>
          <w:rFonts w:ascii="Times New Roman" w:hAnsi="Times New Roman" w:cs="Times New Roman"/>
        </w:rPr>
      </w:pPr>
      <w:r w:rsidRPr="00B83B21">
        <w:rPr>
          <w:rFonts w:ascii="Times New Roman" w:hAnsi="Times New Roman" w:cs="Times New Roman"/>
        </w:rPr>
        <w:t>Charles Marshall</w:t>
      </w:r>
    </w:p>
    <w:p w14:paraId="039D8D32" w14:textId="51AF7C5B" w:rsidR="00B83B21" w:rsidRPr="00B83B21" w:rsidRDefault="00B83B21">
      <w:pPr>
        <w:rPr>
          <w:rFonts w:ascii="Times New Roman" w:hAnsi="Times New Roman" w:cs="Times New Roman"/>
        </w:rPr>
      </w:pPr>
      <w:r w:rsidRPr="00B83B21">
        <w:rPr>
          <w:rFonts w:ascii="Times New Roman" w:hAnsi="Times New Roman" w:cs="Times New Roman"/>
        </w:rPr>
        <w:t xml:space="preserve">Prof </w:t>
      </w:r>
      <w:proofErr w:type="spellStart"/>
      <w:r w:rsidRPr="00B83B21">
        <w:rPr>
          <w:rFonts w:ascii="Times New Roman" w:hAnsi="Times New Roman" w:cs="Times New Roman"/>
        </w:rPr>
        <w:t>Klabjan</w:t>
      </w:r>
      <w:proofErr w:type="spellEnd"/>
    </w:p>
    <w:p w14:paraId="5442812E" w14:textId="29A15743" w:rsidR="00B83B21" w:rsidRPr="00B83B21" w:rsidRDefault="00B83B21">
      <w:pPr>
        <w:rPr>
          <w:rFonts w:ascii="Times New Roman" w:hAnsi="Times New Roman" w:cs="Times New Roman"/>
        </w:rPr>
      </w:pPr>
      <w:r w:rsidRPr="00B83B21">
        <w:rPr>
          <w:rFonts w:ascii="Times New Roman" w:hAnsi="Times New Roman" w:cs="Times New Roman"/>
        </w:rPr>
        <w:t>IEMS 308</w:t>
      </w:r>
    </w:p>
    <w:p w14:paraId="2D9D60D6" w14:textId="3C220273" w:rsidR="00B83B21" w:rsidRPr="00B83B21" w:rsidRDefault="00B83B21">
      <w:pPr>
        <w:rPr>
          <w:rFonts w:ascii="Times New Roman" w:hAnsi="Times New Roman" w:cs="Times New Roman"/>
        </w:rPr>
      </w:pPr>
      <w:r w:rsidRPr="00B83B21">
        <w:rPr>
          <w:rFonts w:ascii="Times New Roman" w:hAnsi="Times New Roman" w:cs="Times New Roman"/>
        </w:rPr>
        <w:t>27 January 2020</w:t>
      </w:r>
    </w:p>
    <w:p w14:paraId="7FC4D7EE" w14:textId="5538CE10" w:rsidR="00B83B21" w:rsidRDefault="00B83B21" w:rsidP="00B83B21">
      <w:pPr>
        <w:jc w:val="center"/>
        <w:rPr>
          <w:rFonts w:ascii="Times New Roman" w:hAnsi="Times New Roman" w:cs="Times New Roman"/>
        </w:rPr>
      </w:pPr>
      <w:r w:rsidRPr="00B83B21">
        <w:rPr>
          <w:rFonts w:ascii="Times New Roman" w:hAnsi="Times New Roman" w:cs="Times New Roman"/>
        </w:rPr>
        <w:t>Executive Summary</w:t>
      </w:r>
    </w:p>
    <w:p w14:paraId="7F462A7A" w14:textId="4DE38FA3" w:rsidR="00B83B21" w:rsidRDefault="00B83B21" w:rsidP="00B83B21">
      <w:pPr>
        <w:rPr>
          <w:rFonts w:ascii="Times New Roman" w:hAnsi="Times New Roman" w:cs="Times New Roman"/>
        </w:rPr>
      </w:pPr>
    </w:p>
    <w:p w14:paraId="2E0A4E96" w14:textId="310660BA" w:rsidR="00533B4E" w:rsidRDefault="00533B4E" w:rsidP="00533B4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analysis of the number of unique patients and the pay ratio, </w:t>
      </w:r>
      <w:r w:rsidR="006430AD">
        <w:rPr>
          <w:rFonts w:ascii="Times New Roman" w:hAnsi="Times New Roman" w:cs="Times New Roman"/>
        </w:rPr>
        <w:t xml:space="preserve">which is the </w:t>
      </w:r>
      <w:r>
        <w:rPr>
          <w:rFonts w:ascii="Times New Roman" w:hAnsi="Times New Roman" w:cs="Times New Roman"/>
        </w:rPr>
        <w:t>proportion of the amount that providers are payed compared to their submitted charge, for common outpatient services led to finding 3 unique clusters. The clusters were separated in the following way:</w:t>
      </w:r>
    </w:p>
    <w:p w14:paraId="7DFE28B4" w14:textId="0209E04B" w:rsidR="00533B4E" w:rsidRDefault="00533B4E" w:rsidP="00533B4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Cluster 0: Average service count, relatively low pay ratio.</w:t>
      </w:r>
    </w:p>
    <w:p w14:paraId="1A6C8AD0" w14:textId="77777777" w:rsidR="00533B4E" w:rsidRDefault="00533B4E" w:rsidP="00533B4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Cluster 1: Average service count, relatively high pay ratio.</w:t>
      </w:r>
    </w:p>
    <w:p w14:paraId="51160622" w14:textId="4FEE5E95" w:rsidR="00533B4E" w:rsidRDefault="00533B4E" w:rsidP="00533B4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Cluster 2: Relatively high service count, average pay ratio.</w:t>
      </w:r>
    </w:p>
    <w:p w14:paraId="06AF62F6" w14:textId="1C31A8AA" w:rsidR="00533B4E" w:rsidRDefault="00533B4E" w:rsidP="00533B4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comparison of the clusters with US regional and treatment relative frequency data led only to the conclusion that further analysis is necessary to make a conclusion about the differences between the clusters. However, it is supposed that the disparity is due to a difference in provider type, </w:t>
      </w:r>
      <w:r w:rsidR="0050024D">
        <w:rPr>
          <w:rFonts w:ascii="Times New Roman" w:hAnsi="Times New Roman" w:cs="Times New Roman"/>
        </w:rPr>
        <w:t xml:space="preserve">such as </w:t>
      </w:r>
      <w:r w:rsidR="006430AD">
        <w:rPr>
          <w:rFonts w:ascii="Times New Roman" w:hAnsi="Times New Roman" w:cs="Times New Roman"/>
        </w:rPr>
        <w:t xml:space="preserve">higher volume </w:t>
      </w:r>
      <w:r w:rsidR="0050024D">
        <w:rPr>
          <w:rFonts w:ascii="Times New Roman" w:hAnsi="Times New Roman" w:cs="Times New Roman"/>
        </w:rPr>
        <w:t>walk-in clinics in cluster 2 and specialists, more likely to be frequented by older Medicare patients</w:t>
      </w:r>
      <w:r w:rsidR="006430AD">
        <w:rPr>
          <w:rFonts w:ascii="Times New Roman" w:hAnsi="Times New Roman" w:cs="Times New Roman"/>
        </w:rPr>
        <w:t>,</w:t>
      </w:r>
      <w:r w:rsidR="0050024D">
        <w:rPr>
          <w:rFonts w:ascii="Times New Roman" w:hAnsi="Times New Roman" w:cs="Times New Roman"/>
        </w:rPr>
        <w:t xml:space="preserve"> in clusters 0 and 1. Based on </w:t>
      </w:r>
      <w:r w:rsidR="006430AD">
        <w:rPr>
          <w:rFonts w:ascii="Times New Roman" w:hAnsi="Times New Roman" w:cs="Times New Roman"/>
        </w:rPr>
        <w:t>this intuition</w:t>
      </w:r>
      <w:r w:rsidR="0050024D">
        <w:rPr>
          <w:rFonts w:ascii="Times New Roman" w:hAnsi="Times New Roman" w:cs="Times New Roman"/>
        </w:rPr>
        <w:t>, it was concluded that regions with zip codes starting with 2, 3, and 7 most likely have better access to high volume clinics that other US regions.</w:t>
      </w:r>
      <w:bookmarkStart w:id="0" w:name="_GoBack"/>
      <w:bookmarkEnd w:id="0"/>
    </w:p>
    <w:p w14:paraId="6FD77131" w14:textId="54F62582" w:rsidR="00533B4E" w:rsidRPr="00B83B21" w:rsidRDefault="00533B4E" w:rsidP="00533B4E">
      <w:pPr>
        <w:spacing w:line="480" w:lineRule="auto"/>
        <w:rPr>
          <w:rFonts w:ascii="Times New Roman" w:hAnsi="Times New Roman" w:cs="Times New Roman"/>
        </w:rPr>
      </w:pPr>
    </w:p>
    <w:sectPr w:rsidR="00533B4E" w:rsidRPr="00B83B21" w:rsidSect="004D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21"/>
    <w:rsid w:val="004D769C"/>
    <w:rsid w:val="0050024D"/>
    <w:rsid w:val="00533B4E"/>
    <w:rsid w:val="006430AD"/>
    <w:rsid w:val="0094765F"/>
    <w:rsid w:val="00B83B21"/>
    <w:rsid w:val="00D1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FE6EA"/>
  <w14:defaultImageDpi w14:val="32767"/>
  <w15:chartTrackingRefBased/>
  <w15:docId w15:val="{37262F2D-1008-5241-B881-E8430912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ckmmail99@gmail.com</dc:creator>
  <cp:keywords/>
  <dc:description/>
  <cp:lastModifiedBy>ckmmail99@gmail.com</cp:lastModifiedBy>
  <cp:revision>3</cp:revision>
  <dcterms:created xsi:type="dcterms:W3CDTF">2020-01-27T09:19:00Z</dcterms:created>
  <dcterms:modified xsi:type="dcterms:W3CDTF">2020-01-27T13:13:00Z</dcterms:modified>
</cp:coreProperties>
</file>