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C26F" w14:textId="77777777" w:rsidR="000464DD" w:rsidRDefault="000464DD" w:rsidP="000464DD">
      <w:pPr>
        <w:jc w:val="center"/>
      </w:pPr>
    </w:p>
    <w:p w14:paraId="7977BE67" w14:textId="77777777" w:rsidR="000464DD" w:rsidRDefault="000464DD" w:rsidP="000464DD">
      <w:pPr>
        <w:jc w:val="center"/>
      </w:pPr>
    </w:p>
    <w:p w14:paraId="339F3922" w14:textId="77777777" w:rsidR="000464DD" w:rsidRDefault="000464DD" w:rsidP="000464DD">
      <w:pPr>
        <w:jc w:val="center"/>
      </w:pPr>
    </w:p>
    <w:p w14:paraId="348A2367" w14:textId="77777777" w:rsidR="000464DD" w:rsidRDefault="000464DD" w:rsidP="000464DD">
      <w:pPr>
        <w:jc w:val="center"/>
      </w:pPr>
    </w:p>
    <w:p w14:paraId="7E57CE7A" w14:textId="77777777" w:rsidR="000464DD" w:rsidRDefault="000464DD" w:rsidP="000464DD">
      <w:pPr>
        <w:jc w:val="center"/>
      </w:pPr>
    </w:p>
    <w:p w14:paraId="4FFBA608" w14:textId="77777777" w:rsidR="000464DD" w:rsidRDefault="000464DD" w:rsidP="000464DD">
      <w:pPr>
        <w:jc w:val="center"/>
      </w:pPr>
    </w:p>
    <w:p w14:paraId="77B5E5F5" w14:textId="77777777" w:rsidR="000464DD" w:rsidRDefault="000464DD" w:rsidP="000464DD">
      <w:pPr>
        <w:jc w:val="center"/>
      </w:pPr>
    </w:p>
    <w:p w14:paraId="7F24B719" w14:textId="77777777" w:rsidR="000464DD" w:rsidRDefault="000464DD" w:rsidP="000464DD">
      <w:pPr>
        <w:jc w:val="center"/>
      </w:pPr>
    </w:p>
    <w:p w14:paraId="666CDDB5" w14:textId="77777777" w:rsidR="000464DD" w:rsidRDefault="000464DD" w:rsidP="000464DD">
      <w:pPr>
        <w:jc w:val="center"/>
      </w:pPr>
    </w:p>
    <w:p w14:paraId="186F0E4B" w14:textId="77777777" w:rsidR="000464DD" w:rsidRDefault="000464DD" w:rsidP="000464DD">
      <w:pPr>
        <w:jc w:val="center"/>
      </w:pPr>
    </w:p>
    <w:p w14:paraId="2266D1D3" w14:textId="77777777" w:rsidR="000464DD" w:rsidRDefault="000464DD" w:rsidP="000464DD">
      <w:pPr>
        <w:jc w:val="center"/>
      </w:pPr>
    </w:p>
    <w:p w14:paraId="6B838272" w14:textId="77777777" w:rsidR="000464DD" w:rsidRDefault="000464DD" w:rsidP="000464DD">
      <w:pPr>
        <w:jc w:val="center"/>
      </w:pPr>
    </w:p>
    <w:p w14:paraId="6AE6F818" w14:textId="77777777" w:rsidR="000464DD" w:rsidRDefault="000464DD" w:rsidP="000464DD">
      <w:pPr>
        <w:jc w:val="center"/>
      </w:pPr>
    </w:p>
    <w:p w14:paraId="5E1C3A3F" w14:textId="77777777" w:rsidR="000464DD" w:rsidRDefault="000464DD" w:rsidP="000464DD">
      <w:pPr>
        <w:jc w:val="center"/>
      </w:pPr>
    </w:p>
    <w:p w14:paraId="473283F3" w14:textId="77777777" w:rsidR="000464DD" w:rsidRDefault="000464DD" w:rsidP="000464DD">
      <w:pPr>
        <w:jc w:val="center"/>
      </w:pPr>
    </w:p>
    <w:p w14:paraId="3CBF04EE" w14:textId="77777777" w:rsidR="000464DD" w:rsidRDefault="000464DD" w:rsidP="000464DD">
      <w:pPr>
        <w:jc w:val="center"/>
      </w:pPr>
    </w:p>
    <w:p w14:paraId="626F7CF4" w14:textId="77777777" w:rsidR="000464DD" w:rsidRDefault="000464DD" w:rsidP="000464DD">
      <w:pPr>
        <w:jc w:val="center"/>
      </w:pPr>
    </w:p>
    <w:p w14:paraId="720AAE81" w14:textId="77777777" w:rsidR="000464DD" w:rsidRDefault="000464DD" w:rsidP="000464DD">
      <w:pPr>
        <w:jc w:val="center"/>
      </w:pPr>
    </w:p>
    <w:p w14:paraId="7CE98F19" w14:textId="0B134C5E" w:rsidR="000464DD" w:rsidRPr="000464DD" w:rsidRDefault="000464DD" w:rsidP="000464DD">
      <w:pPr>
        <w:jc w:val="center"/>
        <w:rPr>
          <w:rFonts w:ascii="Times New Roman" w:hAnsi="Times New Roman" w:cs="Times New Roman"/>
          <w:b/>
          <w:bCs/>
          <w:sz w:val="40"/>
          <w:szCs w:val="40"/>
        </w:rPr>
      </w:pPr>
      <w:r w:rsidRPr="000464DD">
        <w:rPr>
          <w:rFonts w:ascii="Times New Roman" w:hAnsi="Times New Roman" w:cs="Times New Roman"/>
          <w:b/>
          <w:bCs/>
          <w:sz w:val="40"/>
          <w:szCs w:val="40"/>
        </w:rPr>
        <w:t>Clustering of Medicare Physician and Other Supplier Data</w:t>
      </w:r>
    </w:p>
    <w:p w14:paraId="1E9E164D" w14:textId="77777777" w:rsidR="000464DD" w:rsidRDefault="000464DD" w:rsidP="000464DD">
      <w:pPr>
        <w:jc w:val="center"/>
      </w:pPr>
    </w:p>
    <w:p w14:paraId="39EC7332" w14:textId="77777777" w:rsidR="000464DD" w:rsidRDefault="000464DD" w:rsidP="000464DD">
      <w:pPr>
        <w:jc w:val="center"/>
      </w:pPr>
    </w:p>
    <w:p w14:paraId="66B34C99" w14:textId="4D732D87" w:rsidR="00A517BA" w:rsidRDefault="00F91E4B" w:rsidP="000464DD">
      <w:pPr>
        <w:jc w:val="center"/>
      </w:pPr>
      <w:r>
        <w:t>Charles Marshall</w:t>
      </w:r>
    </w:p>
    <w:p w14:paraId="04C07020" w14:textId="6BED2F15" w:rsidR="00F91E4B" w:rsidRDefault="00F91E4B" w:rsidP="000464DD">
      <w:pPr>
        <w:jc w:val="center"/>
      </w:pPr>
      <w:r>
        <w:t xml:space="preserve">Prof. </w:t>
      </w:r>
      <w:proofErr w:type="spellStart"/>
      <w:r>
        <w:t>Klabjan</w:t>
      </w:r>
      <w:proofErr w:type="spellEnd"/>
    </w:p>
    <w:p w14:paraId="05342FB2" w14:textId="6DD85EB7" w:rsidR="00F91E4B" w:rsidRDefault="00F91E4B" w:rsidP="000464DD">
      <w:pPr>
        <w:jc w:val="center"/>
      </w:pPr>
      <w:r>
        <w:t>IEMS 308</w:t>
      </w:r>
    </w:p>
    <w:p w14:paraId="74067167" w14:textId="50232BB0" w:rsidR="000464DD" w:rsidRDefault="00F91E4B" w:rsidP="000464DD">
      <w:pPr>
        <w:jc w:val="center"/>
      </w:pPr>
      <w:r>
        <w:t>27 January 2020</w:t>
      </w:r>
    </w:p>
    <w:p w14:paraId="704FED87" w14:textId="77777777" w:rsidR="000464DD" w:rsidRDefault="000464DD">
      <w:r>
        <w:br w:type="page"/>
      </w:r>
    </w:p>
    <w:p w14:paraId="62FAF202" w14:textId="7AE0BCDB" w:rsidR="000464DD" w:rsidRDefault="00B1306B" w:rsidP="00B1306B">
      <w:pPr>
        <w:spacing w:line="480" w:lineRule="auto"/>
        <w:rPr>
          <w:rFonts w:ascii="Times New Roman" w:hAnsi="Times New Roman" w:cs="Times New Roman"/>
          <w:b/>
          <w:bCs/>
        </w:rPr>
      </w:pPr>
      <w:r w:rsidRPr="00B1306B">
        <w:rPr>
          <w:rFonts w:ascii="Times New Roman" w:hAnsi="Times New Roman" w:cs="Times New Roman"/>
          <w:b/>
          <w:bCs/>
        </w:rPr>
        <w:lastRenderedPageBreak/>
        <w:t>Exploratory Data Analysis:</w:t>
      </w:r>
    </w:p>
    <w:p w14:paraId="1AB1EEA9" w14:textId="77777777" w:rsidR="005754FF" w:rsidRDefault="00A768EF" w:rsidP="005754FF">
      <w:pPr>
        <w:spacing w:line="480" w:lineRule="auto"/>
        <w:rPr>
          <w:rFonts w:ascii="Times New Roman" w:hAnsi="Times New Roman" w:cs="Times New Roman"/>
        </w:rPr>
      </w:pPr>
      <w:r>
        <w:rPr>
          <w:rFonts w:ascii="Times New Roman" w:hAnsi="Times New Roman" w:cs="Times New Roman"/>
        </w:rPr>
        <w:t>After initially cleansing the data of outliers</w:t>
      </w:r>
      <w:r w:rsidR="005754FF">
        <w:rPr>
          <w:rFonts w:ascii="Times New Roman" w:hAnsi="Times New Roman" w:cs="Times New Roman"/>
        </w:rPr>
        <w:t xml:space="preserve">, </w:t>
      </w:r>
      <w:r w:rsidR="00B1306B">
        <w:rPr>
          <w:rFonts w:ascii="Times New Roman" w:hAnsi="Times New Roman" w:cs="Times New Roman"/>
        </w:rPr>
        <w:t xml:space="preserve">Figure 1 </w:t>
      </w:r>
      <w:r w:rsidR="005754FF">
        <w:rPr>
          <w:rFonts w:ascii="Times New Roman" w:hAnsi="Times New Roman" w:cs="Times New Roman"/>
        </w:rPr>
        <w:t>was completed to show</w:t>
      </w:r>
      <w:r w:rsidR="00B1306B">
        <w:rPr>
          <w:rFonts w:ascii="Times New Roman" w:hAnsi="Times New Roman" w:cs="Times New Roman"/>
        </w:rPr>
        <w:t xml:space="preserve"> the distributions of the </w:t>
      </w:r>
      <w:r w:rsidR="00282796">
        <w:rPr>
          <w:rFonts w:ascii="Times New Roman" w:hAnsi="Times New Roman" w:cs="Times New Roman"/>
        </w:rPr>
        <w:t>seven</w:t>
      </w:r>
      <w:r w:rsidR="00B1306B">
        <w:rPr>
          <w:rFonts w:ascii="Times New Roman" w:hAnsi="Times New Roman" w:cs="Times New Roman"/>
        </w:rPr>
        <w:t xml:space="preserve"> numerical features in the data set. </w:t>
      </w:r>
      <w:r w:rsidR="005754FF">
        <w:rPr>
          <w:rFonts w:ascii="Times New Roman" w:hAnsi="Times New Roman" w:cs="Times New Roman"/>
        </w:rPr>
        <w:t>None</w:t>
      </w:r>
      <w:r w:rsidR="00282796">
        <w:rPr>
          <w:rFonts w:ascii="Times New Roman" w:hAnsi="Times New Roman" w:cs="Times New Roman"/>
        </w:rPr>
        <w:t xml:space="preserve"> of the features are normally distributed. However, when a log transformation </w:t>
      </w:r>
      <w:r w:rsidR="005754FF">
        <w:rPr>
          <w:rFonts w:ascii="Times New Roman" w:hAnsi="Times New Roman" w:cs="Times New Roman"/>
        </w:rPr>
        <w:t>is</w:t>
      </w:r>
      <w:r w:rsidR="00282796">
        <w:rPr>
          <w:rFonts w:ascii="Times New Roman" w:hAnsi="Times New Roman" w:cs="Times New Roman"/>
        </w:rPr>
        <w:t xml:space="preserve"> applied in Figure 2, four</w:t>
      </w:r>
      <w:r w:rsidR="00B1306B">
        <w:rPr>
          <w:rFonts w:ascii="Times New Roman" w:hAnsi="Times New Roman" w:cs="Times New Roman"/>
        </w:rPr>
        <w:t xml:space="preserve"> </w:t>
      </w:r>
      <w:r w:rsidR="00282796">
        <w:rPr>
          <w:rFonts w:ascii="Times New Roman" w:hAnsi="Times New Roman" w:cs="Times New Roman"/>
        </w:rPr>
        <w:t>of the features display an approximately normal distribution. The</w:t>
      </w:r>
      <w:r w:rsidR="005754FF">
        <w:rPr>
          <w:rFonts w:ascii="Times New Roman" w:hAnsi="Times New Roman" w:cs="Times New Roman"/>
        </w:rPr>
        <w:t>se</w:t>
      </w:r>
      <w:r w:rsidR="00282796">
        <w:rPr>
          <w:rFonts w:ascii="Times New Roman" w:hAnsi="Times New Roman" w:cs="Times New Roman"/>
        </w:rPr>
        <w:t xml:space="preserve"> features are:</w:t>
      </w:r>
    </w:p>
    <w:p w14:paraId="6BC572BA" w14:textId="77777777" w:rsidR="005754FF" w:rsidRDefault="00282796" w:rsidP="005754FF">
      <w:pPr>
        <w:spacing w:line="480" w:lineRule="auto"/>
        <w:ind w:firstLine="720"/>
        <w:jc w:val="center"/>
        <w:rPr>
          <w:rFonts w:ascii="Times New Roman" w:hAnsi="Times New Roman" w:cs="Times New Roman"/>
        </w:rPr>
      </w:pPr>
      <w:proofErr w:type="spellStart"/>
      <w:r>
        <w:rPr>
          <w:rFonts w:ascii="Times New Roman" w:hAnsi="Times New Roman" w:cs="Times New Roman"/>
        </w:rPr>
        <w:t>average_Medicare_allowed_amt</w:t>
      </w:r>
      <w:proofErr w:type="spellEnd"/>
      <w:r>
        <w:rPr>
          <w:rFonts w:ascii="Times New Roman" w:hAnsi="Times New Roman" w:cs="Times New Roman"/>
        </w:rPr>
        <w:t xml:space="preserve">, </w:t>
      </w:r>
      <w:proofErr w:type="spellStart"/>
      <w:r>
        <w:rPr>
          <w:rFonts w:ascii="Times New Roman" w:hAnsi="Times New Roman" w:cs="Times New Roman"/>
        </w:rPr>
        <w:t>average_submitted_chrg_amt</w:t>
      </w:r>
      <w:proofErr w:type="spellEnd"/>
      <w:r>
        <w:rPr>
          <w:rFonts w:ascii="Times New Roman" w:hAnsi="Times New Roman" w:cs="Times New Roman"/>
        </w:rPr>
        <w:t>,</w:t>
      </w:r>
    </w:p>
    <w:p w14:paraId="1ABA0646" w14:textId="056E1918" w:rsidR="00B1306B" w:rsidRPr="00B1306B" w:rsidRDefault="00282796" w:rsidP="005754FF">
      <w:pPr>
        <w:spacing w:line="480" w:lineRule="auto"/>
        <w:ind w:firstLine="720"/>
        <w:jc w:val="center"/>
        <w:rPr>
          <w:rFonts w:ascii="Times New Roman" w:hAnsi="Times New Roman" w:cs="Times New Roman"/>
        </w:rPr>
      </w:pPr>
      <w:proofErr w:type="spellStart"/>
      <w:r>
        <w:rPr>
          <w:rFonts w:ascii="Times New Roman" w:hAnsi="Times New Roman" w:cs="Times New Roman"/>
        </w:rPr>
        <w:t>average_Medicare_payment_amt</w:t>
      </w:r>
      <w:proofErr w:type="spellEnd"/>
      <w:r>
        <w:rPr>
          <w:rFonts w:ascii="Times New Roman" w:hAnsi="Times New Roman" w:cs="Times New Roman"/>
        </w:rPr>
        <w:t xml:space="preserve">, and </w:t>
      </w:r>
      <w:proofErr w:type="spellStart"/>
      <w:r>
        <w:rPr>
          <w:rFonts w:ascii="Times New Roman" w:hAnsi="Times New Roman" w:cs="Times New Roman"/>
        </w:rPr>
        <w:t>average_Medicare_std_amt</w:t>
      </w:r>
      <w:proofErr w:type="spellEnd"/>
      <w:r>
        <w:rPr>
          <w:rFonts w:ascii="Times New Roman" w:hAnsi="Times New Roman" w:cs="Times New Roman"/>
        </w:rPr>
        <w:t>.</w:t>
      </w:r>
    </w:p>
    <w:p w14:paraId="62CD2C7D" w14:textId="32876EF8" w:rsidR="00282796" w:rsidRDefault="00B1306B" w:rsidP="00282796">
      <w:pPr>
        <w:keepNext/>
        <w:jc w:val="center"/>
      </w:pPr>
      <w:r>
        <w:rPr>
          <w:noProof/>
        </w:rPr>
        <w:drawing>
          <wp:inline distT="0" distB="0" distL="0" distR="0" wp14:anchorId="657CCC6E" wp14:editId="2FD1EC9E">
            <wp:extent cx="2473569" cy="2943970"/>
            <wp:effectExtent l="0" t="0" r="3175"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
                    <pic:cNvPicPr/>
                  </pic:nvPicPr>
                  <pic:blipFill>
                    <a:blip r:embed="rId5">
                      <a:extLst>
                        <a:ext uri="{28A0092B-C50C-407E-A947-70E740481C1C}">
                          <a14:useLocalDpi xmlns:a14="http://schemas.microsoft.com/office/drawing/2010/main" val="0"/>
                        </a:ext>
                      </a:extLst>
                    </a:blip>
                    <a:stretch>
                      <a:fillRect/>
                    </a:stretch>
                  </pic:blipFill>
                  <pic:spPr>
                    <a:xfrm>
                      <a:off x="0" y="0"/>
                      <a:ext cx="2484048" cy="2956442"/>
                    </a:xfrm>
                    <a:prstGeom prst="rect">
                      <a:avLst/>
                    </a:prstGeom>
                  </pic:spPr>
                </pic:pic>
              </a:graphicData>
            </a:graphic>
          </wp:inline>
        </w:drawing>
      </w:r>
      <w:r w:rsidR="00282796">
        <w:tab/>
      </w:r>
      <w:r w:rsidR="00282796">
        <w:rPr>
          <w:noProof/>
        </w:rPr>
        <w:drawing>
          <wp:inline distT="0" distB="0" distL="0" distR="0" wp14:anchorId="312EC6A1" wp14:editId="3A8EE5E0">
            <wp:extent cx="2459073" cy="2941955"/>
            <wp:effectExtent l="0" t="0" r="508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2"/>
                    <pic:cNvPicPr/>
                  </pic:nvPicPr>
                  <pic:blipFill>
                    <a:blip r:embed="rId6">
                      <a:extLst>
                        <a:ext uri="{28A0092B-C50C-407E-A947-70E740481C1C}">
                          <a14:useLocalDpi xmlns:a14="http://schemas.microsoft.com/office/drawing/2010/main" val="0"/>
                        </a:ext>
                      </a:extLst>
                    </a:blip>
                    <a:stretch>
                      <a:fillRect/>
                    </a:stretch>
                  </pic:blipFill>
                  <pic:spPr>
                    <a:xfrm>
                      <a:off x="0" y="0"/>
                      <a:ext cx="2483584" cy="2971279"/>
                    </a:xfrm>
                    <a:prstGeom prst="rect">
                      <a:avLst/>
                    </a:prstGeom>
                  </pic:spPr>
                </pic:pic>
              </a:graphicData>
            </a:graphic>
          </wp:inline>
        </w:drawing>
      </w:r>
    </w:p>
    <w:p w14:paraId="2250A365" w14:textId="1BF44080" w:rsidR="00282796" w:rsidRDefault="005754FF" w:rsidP="00282796">
      <w:r>
        <w:rPr>
          <w:noProof/>
        </w:rPr>
        <mc:AlternateContent>
          <mc:Choice Requires="wps">
            <w:drawing>
              <wp:anchor distT="0" distB="0" distL="114300" distR="114300" simplePos="0" relativeHeight="251660288" behindDoc="0" locked="0" layoutInCell="1" allowOverlap="1" wp14:anchorId="28431ED5" wp14:editId="6F991F98">
                <wp:simplePos x="0" y="0"/>
                <wp:positionH relativeFrom="column">
                  <wp:posOffset>3106615</wp:posOffset>
                </wp:positionH>
                <wp:positionV relativeFrom="paragraph">
                  <wp:posOffset>74637</wp:posOffset>
                </wp:positionV>
                <wp:extent cx="2458720" cy="562708"/>
                <wp:effectExtent l="0" t="0" r="17780" b="8890"/>
                <wp:wrapNone/>
                <wp:docPr id="5" name="Text Box 5"/>
                <wp:cNvGraphicFramePr/>
                <a:graphic xmlns:a="http://schemas.openxmlformats.org/drawingml/2006/main">
                  <a:graphicData uri="http://schemas.microsoft.com/office/word/2010/wordprocessingShape">
                    <wps:wsp>
                      <wps:cNvSpPr txBox="1"/>
                      <wps:spPr>
                        <a:xfrm>
                          <a:off x="0" y="0"/>
                          <a:ext cx="2458720" cy="562708"/>
                        </a:xfrm>
                        <a:prstGeom prst="rect">
                          <a:avLst/>
                        </a:prstGeom>
                        <a:solidFill>
                          <a:schemeClr val="lt1"/>
                        </a:solidFill>
                        <a:ln w="6350">
                          <a:solidFill>
                            <a:prstClr val="black"/>
                          </a:solidFill>
                        </a:ln>
                      </wps:spPr>
                      <wps:txbx>
                        <w:txbxContent>
                          <w:p w14:paraId="3C2D87C5" w14:textId="605E022D" w:rsidR="00282796" w:rsidRPr="00BC61EF" w:rsidRDefault="00282796" w:rsidP="00282796">
                            <w:pPr>
                              <w:pStyle w:val="Caption"/>
                              <w:rPr>
                                <w:color w:val="000000" w:themeColor="text1"/>
                              </w:rPr>
                            </w:pPr>
                            <w:r w:rsidRPr="00BC61EF">
                              <w:rPr>
                                <w:color w:val="000000" w:themeColor="text1"/>
                              </w:rPr>
                              <w:t>Figure 2: Distribution of Numerical Features in Medicare Provider Data Set after the application of a log transformation</w:t>
                            </w:r>
                            <w:r w:rsidR="005754FF" w:rsidRPr="00BC61EF">
                              <w:rPr>
                                <w:color w:val="000000" w:themeColor="text1"/>
                              </w:rPr>
                              <w:t>.</w:t>
                            </w:r>
                          </w:p>
                          <w:p w14:paraId="33F09184" w14:textId="77777777" w:rsidR="00282796" w:rsidRDefault="00282796" w:rsidP="0028279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31ED5" id="_x0000_t202" coordsize="21600,21600" o:spt="202" path="m,l,21600r21600,l21600,xe">
                <v:stroke joinstyle="miter"/>
                <v:path gradientshapeok="t" o:connecttype="rect"/>
              </v:shapetype>
              <v:shape id="Text Box 5" o:spid="_x0000_s1026" type="#_x0000_t202" style="position:absolute;margin-left:244.6pt;margin-top:5.9pt;width:193.6pt;height: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" fillcolor="white [3201]" strokeweight=".5pt">
                <v:textbox>
                  <w:txbxContent>
                    <w:p w14:paraId="3C2D87C5" w14:textId="605E022D" w:rsidR="00282796" w:rsidRPr="00BC61EF" w:rsidRDefault="00282796" w:rsidP="00282796">
                      <w:pPr>
                        <w:pStyle w:val="Caption"/>
                        <w:rPr>
                          <w:color w:val="000000" w:themeColor="text1"/>
                        </w:rPr>
                      </w:pPr>
                      <w:r w:rsidRPr="00BC61EF">
                        <w:rPr>
                          <w:color w:val="000000" w:themeColor="text1"/>
                        </w:rPr>
                        <w:t>Figure 2: Distribution of Numerical Features in Medicare Provider Data Set after the application of a log transformation</w:t>
                      </w:r>
                      <w:r w:rsidR="005754FF" w:rsidRPr="00BC61EF">
                        <w:rPr>
                          <w:color w:val="000000" w:themeColor="text1"/>
                        </w:rPr>
                        <w:t>.</w:t>
                      </w:r>
                    </w:p>
                    <w:p w14:paraId="33F09184" w14:textId="77777777" w:rsidR="00282796" w:rsidRDefault="00282796" w:rsidP="00282796">
                      <w:pPr>
                        <w:jc w:val="cente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3C10886" wp14:editId="6124B80F">
                <wp:simplePos x="0" y="0"/>
                <wp:positionH relativeFrom="column">
                  <wp:posOffset>363415</wp:posOffset>
                </wp:positionH>
                <wp:positionV relativeFrom="paragraph">
                  <wp:posOffset>74637</wp:posOffset>
                </wp:positionV>
                <wp:extent cx="2473325" cy="468923"/>
                <wp:effectExtent l="0" t="0" r="15875" b="13970"/>
                <wp:wrapNone/>
                <wp:docPr id="4" name="Text Box 4"/>
                <wp:cNvGraphicFramePr/>
                <a:graphic xmlns:a="http://schemas.openxmlformats.org/drawingml/2006/main">
                  <a:graphicData uri="http://schemas.microsoft.com/office/word/2010/wordprocessingShape">
                    <wps:wsp>
                      <wps:cNvSpPr txBox="1"/>
                      <wps:spPr>
                        <a:xfrm>
                          <a:off x="0" y="0"/>
                          <a:ext cx="2473325" cy="468923"/>
                        </a:xfrm>
                        <a:prstGeom prst="rect">
                          <a:avLst/>
                        </a:prstGeom>
                        <a:solidFill>
                          <a:schemeClr val="lt1"/>
                        </a:solidFill>
                        <a:ln w="6350">
                          <a:solidFill>
                            <a:prstClr val="black"/>
                          </a:solidFill>
                        </a:ln>
                      </wps:spPr>
                      <wps:txbx>
                        <w:txbxContent>
                          <w:p w14:paraId="656FAEAB" w14:textId="11867136" w:rsidR="00282796" w:rsidRPr="00BC61EF" w:rsidRDefault="00282796" w:rsidP="00282796">
                            <w:pPr>
                              <w:pStyle w:val="Caption"/>
                              <w:rPr>
                                <w:color w:val="000000" w:themeColor="text1"/>
                              </w:rPr>
                            </w:pPr>
                            <w:r w:rsidRPr="00BC61EF">
                              <w:rPr>
                                <w:color w:val="000000" w:themeColor="text1"/>
                              </w:rPr>
                              <w:t>Figure 1: Distributions of Numerical Features in Medicare Provider Data Set</w:t>
                            </w:r>
                            <w:r w:rsidR="005754FF" w:rsidRPr="00BC61EF">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10886" id="Text Box 4" o:spid="_x0000_s1027" type="#_x0000_t202" style="position:absolute;margin-left:28.6pt;margin-top:5.9pt;width:194.7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" fillcolor="white [3201]" strokeweight=".5pt">
                <v:textbox>
                  <w:txbxContent>
                    <w:p w14:paraId="656FAEAB" w14:textId="11867136" w:rsidR="00282796" w:rsidRPr="00BC61EF" w:rsidRDefault="00282796" w:rsidP="00282796">
                      <w:pPr>
                        <w:pStyle w:val="Caption"/>
                        <w:rPr>
                          <w:color w:val="000000" w:themeColor="text1"/>
                        </w:rPr>
                      </w:pPr>
                      <w:r w:rsidRPr="00BC61EF">
                        <w:rPr>
                          <w:color w:val="000000" w:themeColor="text1"/>
                        </w:rPr>
                        <w:t>Figure 1: Distributions of Numerical Features in Medicare Provider Data Set</w:t>
                      </w:r>
                      <w:r w:rsidR="005754FF" w:rsidRPr="00BC61EF">
                        <w:rPr>
                          <w:color w:val="000000" w:themeColor="text1"/>
                        </w:rPr>
                        <w:t>.</w:t>
                      </w:r>
                    </w:p>
                  </w:txbxContent>
                </v:textbox>
              </v:shape>
            </w:pict>
          </mc:Fallback>
        </mc:AlternateContent>
      </w:r>
    </w:p>
    <w:p w14:paraId="5D7DF4C8" w14:textId="62CBFA64" w:rsidR="00282796" w:rsidRPr="00282796" w:rsidRDefault="00282796" w:rsidP="00282796"/>
    <w:p w14:paraId="4651A71E" w14:textId="45850D1A" w:rsidR="00282796" w:rsidRPr="00282796" w:rsidRDefault="00282796" w:rsidP="00282796"/>
    <w:p w14:paraId="1C66EB64" w14:textId="77777777" w:rsidR="00A768EF" w:rsidRPr="00282796" w:rsidRDefault="00A768EF" w:rsidP="00A768EF">
      <w:pPr>
        <w:spacing w:line="480" w:lineRule="auto"/>
      </w:pPr>
    </w:p>
    <w:p w14:paraId="102DE286" w14:textId="608F8248" w:rsidR="005754FF" w:rsidRDefault="00011977" w:rsidP="00A768EF">
      <w:pPr>
        <w:tabs>
          <w:tab w:val="left" w:pos="3138"/>
        </w:tabs>
        <w:spacing w:line="480" w:lineRule="auto"/>
        <w:rPr>
          <w:rFonts w:ascii="Times New Roman" w:hAnsi="Times New Roman" w:cs="Times New Roman"/>
        </w:rPr>
      </w:pPr>
      <w:r>
        <w:rPr>
          <w:rFonts w:ascii="Times New Roman" w:hAnsi="Times New Roman" w:cs="Times New Roman"/>
        </w:rPr>
        <w:t xml:space="preserve">In the analysis of categorical features, it was found that many would not be suitable for clustering. For instance, </w:t>
      </w:r>
      <w:r w:rsidR="005B14C0">
        <w:rPr>
          <w:rFonts w:ascii="Times New Roman" w:hAnsi="Times New Roman" w:cs="Times New Roman"/>
        </w:rPr>
        <w:t xml:space="preserve">the provider credentials were interesting but required lots of effort to clean to gain any insight. </w:t>
      </w:r>
      <w:r>
        <w:rPr>
          <w:rFonts w:ascii="Times New Roman" w:hAnsi="Times New Roman" w:cs="Times New Roman"/>
        </w:rPr>
        <w:t xml:space="preserve"> </w:t>
      </w:r>
      <w:r w:rsidR="005B14C0">
        <w:rPr>
          <w:rFonts w:ascii="Times New Roman" w:hAnsi="Times New Roman" w:cs="Times New Roman"/>
        </w:rPr>
        <w:t xml:space="preserve">Features such as participation and drug indicators were highly skewed in favor of participating in Medicare and the drugs not being used in the procedure. </w:t>
      </w:r>
    </w:p>
    <w:p w14:paraId="3A2D331E" w14:textId="3118871C" w:rsidR="00011977" w:rsidRDefault="00A768EF" w:rsidP="00A768EF">
      <w:pPr>
        <w:tabs>
          <w:tab w:val="left" w:pos="3138"/>
        </w:tabs>
        <w:spacing w:line="480" w:lineRule="auto"/>
        <w:rPr>
          <w:rFonts w:ascii="Times New Roman" w:hAnsi="Times New Roman" w:cs="Times New Roman"/>
        </w:rPr>
      </w:pPr>
      <w:r>
        <w:rPr>
          <w:rFonts w:ascii="Times New Roman" w:hAnsi="Times New Roman" w:cs="Times New Roman"/>
        </w:rPr>
        <w:lastRenderedPageBreak/>
        <w:t>The conclusion of exploratory data analysis lead to the forming of the following business question to answer during modeling:</w:t>
      </w:r>
    </w:p>
    <w:p w14:paraId="2B4D1A31" w14:textId="482A5CB9" w:rsidR="00A768EF" w:rsidRPr="00267018" w:rsidRDefault="005B14C0" w:rsidP="00011977">
      <w:pPr>
        <w:tabs>
          <w:tab w:val="left" w:pos="3138"/>
        </w:tabs>
        <w:spacing w:line="480" w:lineRule="auto"/>
        <w:jc w:val="center"/>
        <w:rPr>
          <w:rFonts w:ascii="Times New Roman" w:hAnsi="Times New Roman" w:cs="Times New Roman"/>
          <w:i/>
          <w:iCs/>
        </w:rPr>
      </w:pPr>
      <w:r w:rsidRPr="00267018">
        <w:rPr>
          <w:rFonts w:ascii="Times New Roman" w:hAnsi="Times New Roman" w:cs="Times New Roman"/>
          <w:i/>
          <w:iCs/>
        </w:rPr>
        <w:t>How do</w:t>
      </w:r>
      <w:r w:rsidR="00A768EF" w:rsidRPr="00267018">
        <w:rPr>
          <w:rFonts w:ascii="Times New Roman" w:hAnsi="Times New Roman" w:cs="Times New Roman"/>
          <w:i/>
          <w:iCs/>
        </w:rPr>
        <w:t xml:space="preserve"> providers in certain regions of the United States</w:t>
      </w:r>
      <w:r w:rsidRPr="00267018">
        <w:rPr>
          <w:rFonts w:ascii="Times New Roman" w:hAnsi="Times New Roman" w:cs="Times New Roman"/>
          <w:i/>
          <w:iCs/>
        </w:rPr>
        <w:t xml:space="preserve"> differ in terms of unique patients and</w:t>
      </w:r>
      <w:r w:rsidR="00A768EF" w:rsidRPr="00267018">
        <w:rPr>
          <w:rFonts w:ascii="Times New Roman" w:hAnsi="Times New Roman" w:cs="Times New Roman"/>
          <w:i/>
          <w:iCs/>
        </w:rPr>
        <w:t xml:space="preserve"> proportion of their allowed amount compared to the submitted charge for common outpatient services?</w:t>
      </w:r>
    </w:p>
    <w:p w14:paraId="3F6B4E1F" w14:textId="1159BD9E" w:rsidR="0087010A" w:rsidRDefault="00B02AF7" w:rsidP="00011977">
      <w:pPr>
        <w:tabs>
          <w:tab w:val="left" w:pos="3138"/>
        </w:tabs>
        <w:spacing w:line="480" w:lineRule="auto"/>
        <w:rPr>
          <w:rFonts w:ascii="Times New Roman" w:hAnsi="Times New Roman" w:cs="Times New Roman"/>
        </w:rPr>
      </w:pPr>
      <w:r>
        <w:rPr>
          <w:rFonts w:ascii="Times New Roman" w:hAnsi="Times New Roman" w:cs="Times New Roman"/>
        </w:rPr>
        <w:t>The dataset</w:t>
      </w:r>
      <w:r w:rsidR="005B14C0">
        <w:rPr>
          <w:rFonts w:ascii="Times New Roman" w:hAnsi="Times New Roman" w:cs="Times New Roman"/>
        </w:rPr>
        <w:t xml:space="preserve"> need</w:t>
      </w:r>
      <w:r>
        <w:rPr>
          <w:rFonts w:ascii="Times New Roman" w:hAnsi="Times New Roman" w:cs="Times New Roman"/>
        </w:rPr>
        <w:t>ed</w:t>
      </w:r>
      <w:r w:rsidR="005B14C0">
        <w:rPr>
          <w:rFonts w:ascii="Times New Roman" w:hAnsi="Times New Roman" w:cs="Times New Roman"/>
        </w:rPr>
        <w:t xml:space="preserve"> to be </w:t>
      </w:r>
      <w:r>
        <w:rPr>
          <w:rFonts w:ascii="Times New Roman" w:hAnsi="Times New Roman" w:cs="Times New Roman"/>
        </w:rPr>
        <w:t>made smaller</w:t>
      </w:r>
      <w:r w:rsidR="005B14C0">
        <w:rPr>
          <w:rFonts w:ascii="Times New Roman" w:hAnsi="Times New Roman" w:cs="Times New Roman"/>
        </w:rPr>
        <w:t xml:space="preserve"> in order to perform clustering. </w:t>
      </w:r>
      <w:r w:rsidR="00267018">
        <w:rPr>
          <w:rFonts w:ascii="Times New Roman" w:hAnsi="Times New Roman" w:cs="Times New Roman"/>
        </w:rPr>
        <w:t>In order to achieve this,</w:t>
      </w:r>
      <w:r w:rsidR="005B14C0">
        <w:rPr>
          <w:rFonts w:ascii="Times New Roman" w:hAnsi="Times New Roman" w:cs="Times New Roman"/>
        </w:rPr>
        <w:t xml:space="preserve"> HCPCS codes between 99201 – 99215 </w:t>
      </w:r>
      <w:r w:rsidR="00267018">
        <w:rPr>
          <w:rFonts w:ascii="Times New Roman" w:hAnsi="Times New Roman" w:cs="Times New Roman"/>
        </w:rPr>
        <w:t>which</w:t>
      </w:r>
      <w:r w:rsidR="005B14C0">
        <w:rPr>
          <w:rFonts w:ascii="Times New Roman" w:hAnsi="Times New Roman" w:cs="Times New Roman"/>
        </w:rPr>
        <w:t xml:space="preserve"> represent</w:t>
      </w:r>
      <w:r w:rsidR="00267018">
        <w:rPr>
          <w:rFonts w:ascii="Times New Roman" w:hAnsi="Times New Roman" w:cs="Times New Roman"/>
        </w:rPr>
        <w:t xml:space="preserve"> common outpatient care procedures,</w:t>
      </w:r>
      <w:r w:rsidR="005B14C0">
        <w:rPr>
          <w:rFonts w:ascii="Times New Roman" w:hAnsi="Times New Roman" w:cs="Times New Roman"/>
        </w:rPr>
        <w:t xml:space="preserve"> some of the most common treatments performed by Medicare providers,</w:t>
      </w:r>
      <w:r w:rsidR="00267018">
        <w:rPr>
          <w:rFonts w:ascii="Times New Roman" w:hAnsi="Times New Roman" w:cs="Times New Roman"/>
        </w:rPr>
        <w:t xml:space="preserve"> were This grouping</w:t>
      </w:r>
      <w:r w:rsidR="005B14C0">
        <w:rPr>
          <w:rFonts w:ascii="Times New Roman" w:hAnsi="Times New Roman" w:cs="Times New Roman"/>
        </w:rPr>
        <w:t xml:space="preserve"> </w:t>
      </w:r>
      <w:r w:rsidR="00267018">
        <w:rPr>
          <w:rFonts w:ascii="Times New Roman" w:hAnsi="Times New Roman" w:cs="Times New Roman"/>
        </w:rPr>
        <w:t>guaranteed</w:t>
      </w:r>
      <w:r w:rsidR="005B14C0">
        <w:rPr>
          <w:rFonts w:ascii="Times New Roman" w:hAnsi="Times New Roman" w:cs="Times New Roman"/>
        </w:rPr>
        <w:t xml:space="preserve"> </w:t>
      </w:r>
      <w:r>
        <w:rPr>
          <w:rFonts w:ascii="Times New Roman" w:hAnsi="Times New Roman" w:cs="Times New Roman"/>
        </w:rPr>
        <w:t>that there would be a significant amount</w:t>
      </w:r>
      <w:r w:rsidR="00267018">
        <w:rPr>
          <w:rFonts w:ascii="Times New Roman" w:hAnsi="Times New Roman" w:cs="Times New Roman"/>
        </w:rPr>
        <w:t xml:space="preserve"> of each procedure</w:t>
      </w:r>
      <w:r>
        <w:rPr>
          <w:rFonts w:ascii="Times New Roman" w:hAnsi="Times New Roman" w:cs="Times New Roman"/>
        </w:rPr>
        <w:t xml:space="preserve"> performed in each region</w:t>
      </w:r>
      <w:r w:rsidR="005B14C0">
        <w:rPr>
          <w:rFonts w:ascii="Times New Roman" w:hAnsi="Times New Roman" w:cs="Times New Roman"/>
        </w:rPr>
        <w:t xml:space="preserve">. </w:t>
      </w:r>
      <w:r w:rsidR="00153CCF">
        <w:rPr>
          <w:rFonts w:ascii="Times New Roman" w:hAnsi="Times New Roman" w:cs="Times New Roman"/>
        </w:rPr>
        <w:t xml:space="preserve">Zip codes were preferred to other methods such as states to split the US into regions. </w:t>
      </w:r>
      <w:r w:rsidR="005B14C0">
        <w:rPr>
          <w:rFonts w:ascii="Times New Roman" w:hAnsi="Times New Roman" w:cs="Times New Roman"/>
        </w:rPr>
        <w:t xml:space="preserve">According to Figure 3, the American </w:t>
      </w:r>
      <w:r w:rsidR="00153CCF">
        <w:rPr>
          <w:rFonts w:ascii="Times New Roman" w:hAnsi="Times New Roman" w:cs="Times New Roman"/>
        </w:rPr>
        <w:t>zip</w:t>
      </w:r>
      <w:r w:rsidR="005B14C0">
        <w:rPr>
          <w:rFonts w:ascii="Times New Roman" w:hAnsi="Times New Roman" w:cs="Times New Roman"/>
        </w:rPr>
        <w:t xml:space="preserve"> code system is already used to split the US into 10 regions</w:t>
      </w:r>
      <w:r w:rsidR="00153CCF">
        <w:rPr>
          <w:rFonts w:ascii="Times New Roman" w:hAnsi="Times New Roman" w:cs="Times New Roman"/>
        </w:rPr>
        <w:t xml:space="preserve"> based on the first digit of the zip code.</w:t>
      </w:r>
    </w:p>
    <w:p w14:paraId="01FBBD31" w14:textId="77777777" w:rsidR="00B02AF7" w:rsidRDefault="00B02AF7" w:rsidP="00B02AF7">
      <w:pPr>
        <w:keepNext/>
        <w:tabs>
          <w:tab w:val="left" w:pos="3138"/>
        </w:tabs>
        <w:spacing w:line="480" w:lineRule="auto"/>
        <w:jc w:val="center"/>
      </w:pPr>
      <w:r>
        <w:rPr>
          <w:rFonts w:ascii="Times New Roman" w:hAnsi="Times New Roman" w:cs="Times New Roman"/>
          <w:noProof/>
        </w:rPr>
        <w:drawing>
          <wp:inline distT="0" distB="0" distL="0" distR="0" wp14:anchorId="0F5ECD9B" wp14:editId="43FD41DA">
            <wp:extent cx="3141785" cy="2094523"/>
            <wp:effectExtent l="0" t="0" r="0" b="127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ip-codes.png"/>
                    <pic:cNvPicPr/>
                  </pic:nvPicPr>
                  <pic:blipFill>
                    <a:blip r:embed="rId7">
                      <a:extLst>
                        <a:ext uri="{28A0092B-C50C-407E-A947-70E740481C1C}">
                          <a14:useLocalDpi xmlns:a14="http://schemas.microsoft.com/office/drawing/2010/main" val="0"/>
                        </a:ext>
                      </a:extLst>
                    </a:blip>
                    <a:stretch>
                      <a:fillRect/>
                    </a:stretch>
                  </pic:blipFill>
                  <pic:spPr>
                    <a:xfrm>
                      <a:off x="0" y="0"/>
                      <a:ext cx="3167548" cy="2111698"/>
                    </a:xfrm>
                    <a:prstGeom prst="rect">
                      <a:avLst/>
                    </a:prstGeom>
                  </pic:spPr>
                </pic:pic>
              </a:graphicData>
            </a:graphic>
          </wp:inline>
        </w:drawing>
      </w:r>
    </w:p>
    <w:p w14:paraId="777A9AC6" w14:textId="2F653AB6" w:rsidR="0087010A" w:rsidRPr="0087010A" w:rsidRDefault="00B02AF7" w:rsidP="0087010A">
      <w:pPr>
        <w:pStyle w:val="Caption"/>
        <w:jc w:val="center"/>
      </w:pPr>
      <w:r>
        <w:t>Figure 3: Zip Code zones sorted by first digit (1)</w:t>
      </w:r>
    </w:p>
    <w:p w14:paraId="398ABC7B" w14:textId="77777777" w:rsidR="0087010A" w:rsidRPr="0087010A" w:rsidRDefault="0087010A" w:rsidP="0087010A"/>
    <w:p w14:paraId="61491F1D" w14:textId="33611433" w:rsidR="00A768EF" w:rsidRDefault="00A768EF" w:rsidP="00A768EF">
      <w:pPr>
        <w:tabs>
          <w:tab w:val="left" w:pos="3138"/>
        </w:tabs>
        <w:spacing w:line="480" w:lineRule="auto"/>
        <w:rPr>
          <w:rFonts w:ascii="Times New Roman" w:hAnsi="Times New Roman" w:cs="Times New Roman"/>
          <w:b/>
          <w:bCs/>
        </w:rPr>
      </w:pPr>
      <w:r w:rsidRPr="00A768EF">
        <w:rPr>
          <w:rFonts w:ascii="Times New Roman" w:hAnsi="Times New Roman" w:cs="Times New Roman"/>
          <w:b/>
          <w:bCs/>
        </w:rPr>
        <w:t>Modeling:</w:t>
      </w:r>
    </w:p>
    <w:p w14:paraId="48354C07" w14:textId="5B61A08C" w:rsidR="00342D7C" w:rsidRDefault="0087010A" w:rsidP="00803B68">
      <w:pPr>
        <w:spacing w:line="480" w:lineRule="auto"/>
        <w:rPr>
          <w:rFonts w:ascii="Times New Roman" w:hAnsi="Times New Roman" w:cs="Times New Roman"/>
        </w:rPr>
      </w:pPr>
      <w:r>
        <w:rPr>
          <w:rFonts w:ascii="Times New Roman" w:hAnsi="Times New Roman" w:cs="Times New Roman"/>
        </w:rPr>
        <w:t xml:space="preserve">Clustering was performed on two numerical variables: “Pay Ratio” and </w:t>
      </w:r>
      <w:proofErr w:type="spellStart"/>
      <w:r>
        <w:rPr>
          <w:rFonts w:ascii="Times New Roman" w:hAnsi="Times New Roman" w:cs="Times New Roman"/>
        </w:rPr>
        <w:t>bene_day_srvc_cnt</w:t>
      </w:r>
      <w:proofErr w:type="spellEnd"/>
      <w:r>
        <w:rPr>
          <w:rFonts w:ascii="Times New Roman" w:hAnsi="Times New Roman" w:cs="Times New Roman"/>
        </w:rPr>
        <w:t xml:space="preserve">, which represents the number of distinct Medicare beneficiaries per day. The Pay Ratio variable was created by dividing the log transform of the </w:t>
      </w:r>
      <w:proofErr w:type="spellStart"/>
      <w:r>
        <w:rPr>
          <w:rFonts w:ascii="Times New Roman" w:hAnsi="Times New Roman" w:cs="Times New Roman"/>
        </w:rPr>
        <w:t>average_Medicare_allowed_amt</w:t>
      </w:r>
      <w:proofErr w:type="spellEnd"/>
      <w:r>
        <w:rPr>
          <w:rFonts w:ascii="Times New Roman" w:hAnsi="Times New Roman" w:cs="Times New Roman"/>
        </w:rPr>
        <w:t xml:space="preserve">, representing </w:t>
      </w:r>
      <w:r>
        <w:rPr>
          <w:rFonts w:ascii="Times New Roman" w:hAnsi="Times New Roman" w:cs="Times New Roman"/>
        </w:rPr>
        <w:lastRenderedPageBreak/>
        <w:t xml:space="preserve">how much on average was paid to a provider by Medicare, coinsurance, and other avenues, by the log transformation of the </w:t>
      </w:r>
      <w:proofErr w:type="spellStart"/>
      <w:r>
        <w:rPr>
          <w:rFonts w:ascii="Times New Roman" w:hAnsi="Times New Roman" w:cs="Times New Roman"/>
        </w:rPr>
        <w:t>average_submitted_chrg_amt</w:t>
      </w:r>
      <w:proofErr w:type="spellEnd"/>
      <w:r>
        <w:rPr>
          <w:rFonts w:ascii="Times New Roman" w:hAnsi="Times New Roman" w:cs="Times New Roman"/>
        </w:rPr>
        <w:t xml:space="preserve">, which was how much on average a provider charger for </w:t>
      </w:r>
      <w:r w:rsidR="00342D7C">
        <w:rPr>
          <w:rFonts w:ascii="Times New Roman" w:hAnsi="Times New Roman" w:cs="Times New Roman"/>
        </w:rPr>
        <w:t>a procedure. These three numerical variables were chosen because of their relatively low correlation between each other. as displayed in Table 1.</w:t>
      </w:r>
    </w:p>
    <w:p w14:paraId="34E5390B" w14:textId="77777777" w:rsidR="00342D7C" w:rsidRDefault="00342D7C" w:rsidP="0087010A">
      <w:pPr>
        <w:spacing w:line="480" w:lineRule="auto"/>
        <w:rPr>
          <w:rFonts w:ascii="Times New Roman" w:hAnsi="Times New Roman" w:cs="Times New Roman"/>
        </w:rPr>
      </w:pPr>
    </w:p>
    <w:p w14:paraId="0566F6AC" w14:textId="3291F102" w:rsidR="00342D7C" w:rsidRDefault="00342D7C" w:rsidP="00342D7C">
      <w:pPr>
        <w:pStyle w:val="Caption"/>
        <w:keepNext/>
        <w:jc w:val="center"/>
      </w:pPr>
      <w:r>
        <w:t xml:space="preserve">Table </w:t>
      </w:r>
      <w:r>
        <w:fldChar w:fldCharType="begin"/>
      </w:r>
      <w:r>
        <w:instrText xml:space="preserve"> SEQ Table \* ARABIC </w:instrText>
      </w:r>
      <w:r>
        <w:fldChar w:fldCharType="separate"/>
      </w:r>
      <w:r w:rsidR="00A1044E">
        <w:rPr>
          <w:noProof/>
        </w:rPr>
        <w:t>1</w:t>
      </w:r>
      <w:r>
        <w:fldChar w:fldCharType="end"/>
      </w:r>
      <w:r>
        <w:t>: Correlation Between Pay Ratio and Unique Service Count variables</w:t>
      </w:r>
    </w:p>
    <w:p w14:paraId="53A81822" w14:textId="77777777" w:rsidR="00342D7C" w:rsidRDefault="00342D7C" w:rsidP="00342D7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5ACFD1F" wp14:editId="48774F99">
            <wp:extent cx="4013200" cy="10541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27 at 5.32.42 AM.png"/>
                    <pic:cNvPicPr/>
                  </pic:nvPicPr>
                  <pic:blipFill>
                    <a:blip r:embed="rId8">
                      <a:extLst>
                        <a:ext uri="{28A0092B-C50C-407E-A947-70E740481C1C}">
                          <a14:useLocalDpi xmlns:a14="http://schemas.microsoft.com/office/drawing/2010/main" val="0"/>
                        </a:ext>
                      </a:extLst>
                    </a:blip>
                    <a:stretch>
                      <a:fillRect/>
                    </a:stretch>
                  </pic:blipFill>
                  <pic:spPr>
                    <a:xfrm>
                      <a:off x="0" y="0"/>
                      <a:ext cx="4013200" cy="1054100"/>
                    </a:xfrm>
                    <a:prstGeom prst="rect">
                      <a:avLst/>
                    </a:prstGeom>
                  </pic:spPr>
                </pic:pic>
              </a:graphicData>
            </a:graphic>
          </wp:inline>
        </w:drawing>
      </w:r>
    </w:p>
    <w:p w14:paraId="5D6D09BC" w14:textId="33DB81DC" w:rsidR="00342D7C" w:rsidRDefault="00342D7C" w:rsidP="00803B68">
      <w:pPr>
        <w:spacing w:line="480" w:lineRule="auto"/>
        <w:rPr>
          <w:rFonts w:ascii="Times New Roman" w:hAnsi="Times New Roman" w:cs="Times New Roman"/>
        </w:rPr>
      </w:pPr>
      <w:r>
        <w:rPr>
          <w:rFonts w:ascii="Times New Roman" w:hAnsi="Times New Roman" w:cs="Times New Roman"/>
        </w:rPr>
        <w:t>In order to select the number of clusters, a SCREE (Figure 4) and Silhouette Plot (Figure 5) were constructed on the training data.</w:t>
      </w:r>
    </w:p>
    <w:p w14:paraId="3E69F2F1" w14:textId="17217A6C" w:rsidR="00342D7C" w:rsidRDefault="00BC61EF" w:rsidP="00342D7C">
      <w:pPr>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A6231EF" wp14:editId="188154BA">
                <wp:simplePos x="0" y="0"/>
                <wp:positionH relativeFrom="column">
                  <wp:posOffset>3270738</wp:posOffset>
                </wp:positionH>
                <wp:positionV relativeFrom="paragraph">
                  <wp:posOffset>1805745</wp:posOffset>
                </wp:positionV>
                <wp:extent cx="2669345" cy="527294"/>
                <wp:effectExtent l="0" t="0" r="10795" b="19050"/>
                <wp:wrapNone/>
                <wp:docPr id="11" name="Text Box 11"/>
                <wp:cNvGraphicFramePr/>
                <a:graphic xmlns:a="http://schemas.openxmlformats.org/drawingml/2006/main">
                  <a:graphicData uri="http://schemas.microsoft.com/office/word/2010/wordprocessingShape">
                    <wps:wsp>
                      <wps:cNvSpPr txBox="1"/>
                      <wps:spPr>
                        <a:xfrm>
                          <a:off x="0" y="0"/>
                          <a:ext cx="2669345" cy="527294"/>
                        </a:xfrm>
                        <a:prstGeom prst="rect">
                          <a:avLst/>
                        </a:prstGeom>
                        <a:solidFill>
                          <a:schemeClr val="lt1"/>
                        </a:solidFill>
                        <a:ln w="6350">
                          <a:solidFill>
                            <a:prstClr val="black"/>
                          </a:solidFill>
                        </a:ln>
                      </wps:spPr>
                      <wps:txbx>
                        <w:txbxContent>
                          <w:p w14:paraId="349C183F" w14:textId="250198F3" w:rsidR="00BC61EF" w:rsidRPr="00BC61EF" w:rsidRDefault="00BC61EF" w:rsidP="00BC61EF">
                            <w:pPr>
                              <w:rPr>
                                <w:i/>
                                <w:iCs/>
                                <w:sz w:val="18"/>
                                <w:szCs w:val="18"/>
                              </w:rPr>
                            </w:pPr>
                            <w:r w:rsidRPr="00BC61EF">
                              <w:rPr>
                                <w:i/>
                                <w:iCs/>
                                <w:sz w:val="18"/>
                                <w:szCs w:val="18"/>
                              </w:rPr>
                              <w:t xml:space="preserve">Figure </w:t>
                            </w:r>
                            <w:r>
                              <w:rPr>
                                <w:i/>
                                <w:iCs/>
                                <w:sz w:val="18"/>
                                <w:szCs w:val="18"/>
                              </w:rPr>
                              <w:t>5</w:t>
                            </w:r>
                            <w:r w:rsidRPr="00BC61EF">
                              <w:rPr>
                                <w:i/>
                                <w:iCs/>
                                <w:sz w:val="18"/>
                                <w:szCs w:val="18"/>
                              </w:rPr>
                              <w:t xml:space="preserve">: </w:t>
                            </w:r>
                            <w:r>
                              <w:rPr>
                                <w:i/>
                                <w:iCs/>
                                <w:sz w:val="18"/>
                                <w:szCs w:val="18"/>
                              </w:rPr>
                              <w:t>Silhouette</w:t>
                            </w:r>
                            <w:r w:rsidRPr="00BC61EF">
                              <w:rPr>
                                <w:i/>
                                <w:iCs/>
                                <w:sz w:val="18"/>
                                <w:szCs w:val="18"/>
                              </w:rPr>
                              <w:t xml:space="preserve"> Plot of Training Data for clustering on Pay Ratio and Unique Service Count variables.</w:t>
                            </w:r>
                          </w:p>
                          <w:p w14:paraId="7343BB85" w14:textId="77777777" w:rsidR="00BC61EF" w:rsidRDefault="00BC61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6231EF" id="Text Box 11" o:spid="_x0000_s1028" type="#_x0000_t202" style="position:absolute;left:0;text-align:left;margin-left:257.55pt;margin-top:142.2pt;width:210.2pt;height:4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" fillcolor="white [3201]" strokeweight=".5pt">
                <v:textbox>
                  <w:txbxContent>
                    <w:p w14:paraId="349C183F" w14:textId="250198F3" w:rsidR="00BC61EF" w:rsidRPr="00BC61EF" w:rsidRDefault="00BC61EF" w:rsidP="00BC61EF">
                      <w:pPr>
                        <w:rPr>
                          <w:i/>
                          <w:iCs/>
                          <w:sz w:val="18"/>
                          <w:szCs w:val="18"/>
                        </w:rPr>
                      </w:pPr>
                      <w:r w:rsidRPr="00BC61EF">
                        <w:rPr>
                          <w:i/>
                          <w:iCs/>
                          <w:sz w:val="18"/>
                          <w:szCs w:val="18"/>
                        </w:rPr>
                        <w:t xml:space="preserve">Figure </w:t>
                      </w:r>
                      <w:r>
                        <w:rPr>
                          <w:i/>
                          <w:iCs/>
                          <w:sz w:val="18"/>
                          <w:szCs w:val="18"/>
                        </w:rPr>
                        <w:t>5</w:t>
                      </w:r>
                      <w:r w:rsidRPr="00BC61EF">
                        <w:rPr>
                          <w:i/>
                          <w:iCs/>
                          <w:sz w:val="18"/>
                          <w:szCs w:val="18"/>
                        </w:rPr>
                        <w:t xml:space="preserve">: </w:t>
                      </w:r>
                      <w:r>
                        <w:rPr>
                          <w:i/>
                          <w:iCs/>
                          <w:sz w:val="18"/>
                          <w:szCs w:val="18"/>
                        </w:rPr>
                        <w:t>Silhouette</w:t>
                      </w:r>
                      <w:r w:rsidRPr="00BC61EF">
                        <w:rPr>
                          <w:i/>
                          <w:iCs/>
                          <w:sz w:val="18"/>
                          <w:szCs w:val="18"/>
                        </w:rPr>
                        <w:t xml:space="preserve"> Plot of Training Data for clustering on Pay Ratio and Unique Service Count variables.</w:t>
                      </w:r>
                    </w:p>
                    <w:p w14:paraId="7343BB85" w14:textId="77777777" w:rsidR="00BC61EF" w:rsidRDefault="00BC61EF"/>
                  </w:txbxContent>
                </v:textbox>
              </v:shape>
            </w:pict>
          </mc:Fallback>
        </mc:AlternateContent>
      </w:r>
      <w:r w:rsidR="00342D7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4DF8C7B" wp14:editId="6D05BD54">
                <wp:simplePos x="0" y="0"/>
                <wp:positionH relativeFrom="column">
                  <wp:posOffset>81769</wp:posOffset>
                </wp:positionH>
                <wp:positionV relativeFrom="paragraph">
                  <wp:posOffset>1863920</wp:posOffset>
                </wp:positionV>
                <wp:extent cx="2734310" cy="468924"/>
                <wp:effectExtent l="0" t="0" r="8890" b="13970"/>
                <wp:wrapNone/>
                <wp:docPr id="10" name="Text Box 10"/>
                <wp:cNvGraphicFramePr/>
                <a:graphic xmlns:a="http://schemas.openxmlformats.org/drawingml/2006/main">
                  <a:graphicData uri="http://schemas.microsoft.com/office/word/2010/wordprocessingShape">
                    <wps:wsp>
                      <wps:cNvSpPr txBox="1"/>
                      <wps:spPr>
                        <a:xfrm>
                          <a:off x="0" y="0"/>
                          <a:ext cx="2734310" cy="468924"/>
                        </a:xfrm>
                        <a:prstGeom prst="rect">
                          <a:avLst/>
                        </a:prstGeom>
                        <a:solidFill>
                          <a:schemeClr val="lt1"/>
                        </a:solidFill>
                        <a:ln w="6350">
                          <a:solidFill>
                            <a:prstClr val="black"/>
                          </a:solidFill>
                        </a:ln>
                      </wps:spPr>
                      <wps:txbx>
                        <w:txbxContent>
                          <w:p w14:paraId="4955D31B" w14:textId="2569AC8A" w:rsidR="00342D7C" w:rsidRPr="00BC61EF" w:rsidRDefault="00342D7C">
                            <w:pPr>
                              <w:rPr>
                                <w:i/>
                                <w:iCs/>
                                <w:sz w:val="18"/>
                                <w:szCs w:val="18"/>
                              </w:rPr>
                            </w:pPr>
                            <w:r w:rsidRPr="00BC61EF">
                              <w:rPr>
                                <w:i/>
                                <w:iCs/>
                                <w:sz w:val="18"/>
                                <w:szCs w:val="18"/>
                              </w:rPr>
                              <w:t>Figure 4: SCREE Plot of Training Data</w:t>
                            </w:r>
                            <w:r w:rsidR="00BC61EF" w:rsidRPr="00BC61EF">
                              <w:rPr>
                                <w:i/>
                                <w:iCs/>
                                <w:sz w:val="18"/>
                                <w:szCs w:val="18"/>
                              </w:rPr>
                              <w:t xml:space="preserve"> for clustering on Pay Ratio and Unique Service Count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F8C7B" id="Text Box 10" o:spid="_x0000_s1029" type="#_x0000_t202" style="position:absolute;left:0;text-align:left;margin-left:6.45pt;margin-top:146.75pt;width:215.3pt;height:3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" fillcolor="white [3201]" strokeweight=".5pt">
                <v:textbox>
                  <w:txbxContent>
                    <w:p w14:paraId="4955D31B" w14:textId="2569AC8A" w:rsidR="00342D7C" w:rsidRPr="00BC61EF" w:rsidRDefault="00342D7C">
                      <w:pPr>
                        <w:rPr>
                          <w:i/>
                          <w:iCs/>
                          <w:sz w:val="18"/>
                          <w:szCs w:val="18"/>
                        </w:rPr>
                      </w:pPr>
                      <w:r w:rsidRPr="00BC61EF">
                        <w:rPr>
                          <w:i/>
                          <w:iCs/>
                          <w:sz w:val="18"/>
                          <w:szCs w:val="18"/>
                        </w:rPr>
                        <w:t>Figure 4: SCREE Plot of Training Data</w:t>
                      </w:r>
                      <w:r w:rsidR="00BC61EF" w:rsidRPr="00BC61EF">
                        <w:rPr>
                          <w:i/>
                          <w:iCs/>
                          <w:sz w:val="18"/>
                          <w:szCs w:val="18"/>
                        </w:rPr>
                        <w:t xml:space="preserve"> for clustering on Pay Ratio and Unique Service Count variables.</w:t>
                      </w:r>
                    </w:p>
                  </w:txbxContent>
                </v:textbox>
              </v:shape>
            </w:pict>
          </mc:Fallback>
        </mc:AlternateContent>
      </w:r>
      <w:r w:rsidR="00342D7C">
        <w:rPr>
          <w:rFonts w:ascii="Times New Roman" w:hAnsi="Times New Roman" w:cs="Times New Roman"/>
          <w:noProof/>
        </w:rPr>
        <w:drawing>
          <wp:inline distT="0" distB="0" distL="0" distR="0" wp14:anchorId="540DBDEC" wp14:editId="1A925789">
            <wp:extent cx="2887132" cy="1805353"/>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known-3"/>
                    <pic:cNvPicPr/>
                  </pic:nvPicPr>
                  <pic:blipFill>
                    <a:blip r:embed="rId9">
                      <a:extLst>
                        <a:ext uri="{28A0092B-C50C-407E-A947-70E740481C1C}">
                          <a14:useLocalDpi xmlns:a14="http://schemas.microsoft.com/office/drawing/2010/main" val="0"/>
                        </a:ext>
                      </a:extLst>
                    </a:blip>
                    <a:stretch>
                      <a:fillRect/>
                    </a:stretch>
                  </pic:blipFill>
                  <pic:spPr>
                    <a:xfrm>
                      <a:off x="0" y="0"/>
                      <a:ext cx="2913755" cy="1822001"/>
                    </a:xfrm>
                    <a:prstGeom prst="rect">
                      <a:avLst/>
                    </a:prstGeom>
                  </pic:spPr>
                </pic:pic>
              </a:graphicData>
            </a:graphic>
          </wp:inline>
        </w:drawing>
      </w:r>
      <w:r w:rsidR="00342D7C">
        <w:rPr>
          <w:rFonts w:ascii="Times New Roman" w:hAnsi="Times New Roman" w:cs="Times New Roman"/>
        </w:rPr>
        <w:tab/>
      </w:r>
      <w:r w:rsidR="00342D7C">
        <w:rPr>
          <w:rFonts w:ascii="Times New Roman" w:hAnsi="Times New Roman" w:cs="Times New Roman"/>
          <w:noProof/>
        </w:rPr>
        <w:drawing>
          <wp:inline distT="0" distB="0" distL="0" distR="0" wp14:anchorId="0478BBE5" wp14:editId="1EBF44A8">
            <wp:extent cx="2728195" cy="1804474"/>
            <wp:effectExtent l="0" t="0" r="0" b="0"/>
            <wp:docPr id="9" name="Picture 9"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known-4"/>
                    <pic:cNvPicPr/>
                  </pic:nvPicPr>
                  <pic:blipFill>
                    <a:blip r:embed="rId10">
                      <a:extLst>
                        <a:ext uri="{28A0092B-C50C-407E-A947-70E740481C1C}">
                          <a14:useLocalDpi xmlns:a14="http://schemas.microsoft.com/office/drawing/2010/main" val="0"/>
                        </a:ext>
                      </a:extLst>
                    </a:blip>
                    <a:stretch>
                      <a:fillRect/>
                    </a:stretch>
                  </pic:blipFill>
                  <pic:spPr>
                    <a:xfrm>
                      <a:off x="0" y="0"/>
                      <a:ext cx="2766344" cy="1829706"/>
                    </a:xfrm>
                    <a:prstGeom prst="rect">
                      <a:avLst/>
                    </a:prstGeom>
                  </pic:spPr>
                </pic:pic>
              </a:graphicData>
            </a:graphic>
          </wp:inline>
        </w:drawing>
      </w:r>
    </w:p>
    <w:p w14:paraId="64359B45" w14:textId="4DBBBA13" w:rsidR="00BC61EF" w:rsidRDefault="00BC61EF" w:rsidP="00342D7C">
      <w:pPr>
        <w:spacing w:line="480" w:lineRule="auto"/>
        <w:rPr>
          <w:rFonts w:ascii="Times New Roman" w:hAnsi="Times New Roman" w:cs="Times New Roman"/>
        </w:rPr>
      </w:pPr>
    </w:p>
    <w:p w14:paraId="35DE4305" w14:textId="77777777" w:rsidR="00BC61EF" w:rsidRDefault="00BC61EF" w:rsidP="00342D7C">
      <w:pPr>
        <w:spacing w:line="480" w:lineRule="auto"/>
        <w:rPr>
          <w:rFonts w:ascii="Times New Roman" w:hAnsi="Times New Roman" w:cs="Times New Roman"/>
        </w:rPr>
      </w:pPr>
    </w:p>
    <w:p w14:paraId="4229C62E" w14:textId="657DCF5A" w:rsidR="00342D7C" w:rsidRDefault="00342D7C" w:rsidP="00803B68">
      <w:pPr>
        <w:spacing w:line="480" w:lineRule="auto"/>
        <w:rPr>
          <w:rFonts w:ascii="Times New Roman" w:hAnsi="Times New Roman" w:cs="Times New Roman"/>
        </w:rPr>
      </w:pPr>
      <w:r>
        <w:rPr>
          <w:rFonts w:ascii="Times New Roman" w:hAnsi="Times New Roman" w:cs="Times New Roman"/>
        </w:rPr>
        <w:t>The SCREE Plot in Figure 4 displays a joint at k = 5. The Silhouette Plot in Figure 5 shows spikes at both k = 3 and k = 5. K-means clusters were completed and compared with k=3</w:t>
      </w:r>
      <w:r w:rsidR="00BC61EF">
        <w:rPr>
          <w:rFonts w:ascii="Times New Roman" w:hAnsi="Times New Roman" w:cs="Times New Roman"/>
        </w:rPr>
        <w:t xml:space="preserve"> in Figure 6</w:t>
      </w:r>
      <w:r>
        <w:rPr>
          <w:rFonts w:ascii="Times New Roman" w:hAnsi="Times New Roman" w:cs="Times New Roman"/>
        </w:rPr>
        <w:t xml:space="preserve"> and k=5 clusters in Figure </w:t>
      </w:r>
      <w:r w:rsidR="00BC61EF">
        <w:rPr>
          <w:rFonts w:ascii="Times New Roman" w:hAnsi="Times New Roman" w:cs="Times New Roman"/>
        </w:rPr>
        <w:t>7</w:t>
      </w:r>
      <w:r>
        <w:rPr>
          <w:rFonts w:ascii="Times New Roman" w:hAnsi="Times New Roman" w:cs="Times New Roman"/>
        </w:rPr>
        <w:t>.</w:t>
      </w:r>
    </w:p>
    <w:p w14:paraId="4E81DE4D" w14:textId="77777777" w:rsidR="00BC61EF" w:rsidRDefault="00BC61EF" w:rsidP="00BC61EF">
      <w:pPr>
        <w:keepNext/>
        <w:spacing w:line="480" w:lineRule="auto"/>
      </w:pPr>
      <w:r>
        <w:rPr>
          <w:rFonts w:ascii="Times New Roman" w:hAnsi="Times New Roman" w:cs="Times New Roman"/>
          <w:noProof/>
        </w:rPr>
        <w:lastRenderedPageBreak/>
        <w:drawing>
          <wp:inline distT="0" distB="0" distL="0" distR="0" wp14:anchorId="6D1EB51A" wp14:editId="74E62B92">
            <wp:extent cx="5943600" cy="2731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known-5"/>
                    <pic:cNvPicPr/>
                  </pic:nvPicPr>
                  <pic:blipFill>
                    <a:blip r:embed="rId11">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14:paraId="6E370BB3" w14:textId="287EED29" w:rsidR="00BC61EF" w:rsidRDefault="00BC61EF" w:rsidP="00BC61EF">
      <w:pPr>
        <w:pStyle w:val="Caption"/>
        <w:jc w:val="center"/>
      </w:pPr>
      <w:r>
        <w:t>Figure 6: Visualization of Clustering Silhouette Plot and Physical Clusters for k = 3 clusters</w:t>
      </w:r>
    </w:p>
    <w:p w14:paraId="1A516DDD" w14:textId="77777777" w:rsidR="00BC61EF" w:rsidRDefault="00BC61EF" w:rsidP="00BC61EF">
      <w:pPr>
        <w:keepNext/>
      </w:pPr>
      <w:r>
        <w:rPr>
          <w:noProof/>
        </w:rPr>
        <w:drawing>
          <wp:inline distT="0" distB="0" distL="0" distR="0" wp14:anchorId="68164D10" wp14:editId="162058BE">
            <wp:extent cx="5943600" cy="2731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known-6"/>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1135"/>
                    </a:xfrm>
                    <a:prstGeom prst="rect">
                      <a:avLst/>
                    </a:prstGeom>
                  </pic:spPr>
                </pic:pic>
              </a:graphicData>
            </a:graphic>
          </wp:inline>
        </w:drawing>
      </w:r>
    </w:p>
    <w:p w14:paraId="23BA1496" w14:textId="285CF4E5" w:rsidR="00BC61EF" w:rsidRDefault="00BC61EF" w:rsidP="00BC61EF">
      <w:pPr>
        <w:pStyle w:val="Caption"/>
        <w:jc w:val="center"/>
      </w:pPr>
      <w:r>
        <w:t xml:space="preserve">Figure </w:t>
      </w:r>
      <w:r>
        <w:t>7</w:t>
      </w:r>
      <w:r>
        <w:t>: Visualization of Clustering Silhouette Plot and Physical Clusters</w:t>
      </w:r>
      <w:r>
        <w:t xml:space="preserve"> for k = 5 clusters</w:t>
      </w:r>
    </w:p>
    <w:p w14:paraId="3CBE349F" w14:textId="10B9075C" w:rsidR="00BC61EF" w:rsidRPr="00BC61EF" w:rsidRDefault="00BC61EF" w:rsidP="00803B68">
      <w:pPr>
        <w:spacing w:line="480" w:lineRule="auto"/>
        <w:rPr>
          <w:rFonts w:ascii="Times New Roman" w:hAnsi="Times New Roman" w:cs="Times New Roman"/>
        </w:rPr>
      </w:pPr>
      <w:r w:rsidRPr="00BC61EF">
        <w:rPr>
          <w:rFonts w:ascii="Times New Roman" w:hAnsi="Times New Roman" w:cs="Times New Roman"/>
        </w:rPr>
        <w:t>From looking at the graphs, it is clear that k=3 clusters is best. Not only is the Silhouette score higher for 3 clusters, but the visualization of the clustered data shows a much more natural break in where clusters start.</w:t>
      </w:r>
    </w:p>
    <w:p w14:paraId="548EBF38" w14:textId="255C2160" w:rsidR="00BC61EF" w:rsidRDefault="00BC61EF" w:rsidP="00BC61EF">
      <w:pPr>
        <w:spacing w:line="480" w:lineRule="auto"/>
        <w:rPr>
          <w:rFonts w:ascii="Times New Roman" w:hAnsi="Times New Roman" w:cs="Times New Roman"/>
          <w:b/>
          <w:bCs/>
        </w:rPr>
      </w:pPr>
      <w:r w:rsidRPr="00BC61EF">
        <w:rPr>
          <w:rFonts w:ascii="Times New Roman" w:hAnsi="Times New Roman" w:cs="Times New Roman"/>
          <w:b/>
          <w:bCs/>
        </w:rPr>
        <w:t>Insights:</w:t>
      </w:r>
    </w:p>
    <w:p w14:paraId="03C0F50A" w14:textId="3AA2287C" w:rsidR="00F146C6" w:rsidRDefault="00807246" w:rsidP="00BC61EF">
      <w:pPr>
        <w:spacing w:line="480" w:lineRule="auto"/>
        <w:rPr>
          <w:rFonts w:ascii="Times New Roman" w:hAnsi="Times New Roman" w:cs="Times New Roman"/>
        </w:rPr>
      </w:pPr>
      <w:r>
        <w:rPr>
          <w:rFonts w:ascii="Times New Roman" w:hAnsi="Times New Roman" w:cs="Times New Roman"/>
        </w:rPr>
        <w:t>After clustering on</w:t>
      </w:r>
      <w:r w:rsidR="00F146C6">
        <w:rPr>
          <w:rFonts w:ascii="Times New Roman" w:hAnsi="Times New Roman" w:cs="Times New Roman"/>
        </w:rPr>
        <w:t xml:space="preserve"> the two variables, three distinct clusters were revealed in Table 2:</w:t>
      </w:r>
    </w:p>
    <w:p w14:paraId="7875A8C0" w14:textId="7F17AF91" w:rsidR="00F146C6" w:rsidRDefault="00F146C6" w:rsidP="00F146C6">
      <w:pPr>
        <w:pStyle w:val="Caption"/>
        <w:keepNext/>
        <w:jc w:val="center"/>
      </w:pPr>
      <w:r>
        <w:lastRenderedPageBreak/>
        <w:t xml:space="preserve">Table </w:t>
      </w:r>
      <w:r>
        <w:fldChar w:fldCharType="begin"/>
      </w:r>
      <w:r>
        <w:instrText xml:space="preserve"> SEQ Table \* ARABIC </w:instrText>
      </w:r>
      <w:r>
        <w:fldChar w:fldCharType="separate"/>
      </w:r>
      <w:r w:rsidR="00A1044E">
        <w:rPr>
          <w:noProof/>
        </w:rPr>
        <w:t>2</w:t>
      </w:r>
      <w:r>
        <w:fldChar w:fldCharType="end"/>
      </w:r>
      <w:r>
        <w:t>: Mean Values of Pay Ratio and Unique Service Count in each cluster</w:t>
      </w:r>
    </w:p>
    <w:p w14:paraId="79F800EC" w14:textId="4E2DCD0F" w:rsidR="00F146C6" w:rsidRDefault="00F146C6" w:rsidP="00F146C6">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80B3E9F" wp14:editId="114138F8">
            <wp:extent cx="3059723" cy="1796428"/>
            <wp:effectExtent l="0" t="0" r="127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1-27 at 5.58.58 AM.png"/>
                    <pic:cNvPicPr/>
                  </pic:nvPicPr>
                  <pic:blipFill>
                    <a:blip r:embed="rId13">
                      <a:extLst>
                        <a:ext uri="{28A0092B-C50C-407E-A947-70E740481C1C}">
                          <a14:useLocalDpi xmlns:a14="http://schemas.microsoft.com/office/drawing/2010/main" val="0"/>
                        </a:ext>
                      </a:extLst>
                    </a:blip>
                    <a:stretch>
                      <a:fillRect/>
                    </a:stretch>
                  </pic:blipFill>
                  <pic:spPr>
                    <a:xfrm>
                      <a:off x="0" y="0"/>
                      <a:ext cx="3065806" cy="1799999"/>
                    </a:xfrm>
                    <a:prstGeom prst="rect">
                      <a:avLst/>
                    </a:prstGeom>
                  </pic:spPr>
                </pic:pic>
              </a:graphicData>
            </a:graphic>
          </wp:inline>
        </w:drawing>
      </w:r>
    </w:p>
    <w:p w14:paraId="4E1AF914" w14:textId="31EC173D" w:rsidR="007E0A88" w:rsidRDefault="007E0A88" w:rsidP="00F146C6">
      <w:pPr>
        <w:spacing w:line="480" w:lineRule="auto"/>
        <w:rPr>
          <w:rFonts w:ascii="Times New Roman" w:hAnsi="Times New Roman" w:cs="Times New Roman"/>
        </w:rPr>
      </w:pPr>
      <w:r>
        <w:rPr>
          <w:rFonts w:ascii="Times New Roman" w:hAnsi="Times New Roman" w:cs="Times New Roman"/>
        </w:rPr>
        <w:t>The breakdown of the clusters is as follows:</w:t>
      </w:r>
    </w:p>
    <w:p w14:paraId="4E208B8B" w14:textId="22C3D6FA" w:rsidR="00F146C6" w:rsidRDefault="00F146C6" w:rsidP="007E0A88">
      <w:pPr>
        <w:spacing w:line="480" w:lineRule="auto"/>
        <w:jc w:val="center"/>
        <w:rPr>
          <w:rFonts w:ascii="Times New Roman" w:hAnsi="Times New Roman" w:cs="Times New Roman"/>
        </w:rPr>
      </w:pPr>
      <w:r>
        <w:rPr>
          <w:rFonts w:ascii="Times New Roman" w:hAnsi="Times New Roman" w:cs="Times New Roman"/>
        </w:rPr>
        <w:t>Cluster 0: Average service count, relatively low pay ratio.</w:t>
      </w:r>
    </w:p>
    <w:p w14:paraId="493D2D57" w14:textId="75ED1176" w:rsidR="00F146C6" w:rsidRDefault="00F146C6" w:rsidP="007E0A88">
      <w:pPr>
        <w:spacing w:line="480" w:lineRule="auto"/>
        <w:jc w:val="center"/>
        <w:rPr>
          <w:rFonts w:ascii="Times New Roman" w:hAnsi="Times New Roman" w:cs="Times New Roman"/>
        </w:rPr>
      </w:pPr>
      <w:r>
        <w:rPr>
          <w:rFonts w:ascii="Times New Roman" w:hAnsi="Times New Roman" w:cs="Times New Roman"/>
        </w:rPr>
        <w:t xml:space="preserve">Cluster 1: Average service count, </w:t>
      </w:r>
      <w:r w:rsidR="007E0A88">
        <w:rPr>
          <w:rFonts w:ascii="Times New Roman" w:hAnsi="Times New Roman" w:cs="Times New Roman"/>
        </w:rPr>
        <w:t>relatively high pay ratio.</w:t>
      </w:r>
    </w:p>
    <w:p w14:paraId="3BC877E1" w14:textId="616502B2" w:rsidR="00F146C6" w:rsidRDefault="00F146C6" w:rsidP="007E0A88">
      <w:pPr>
        <w:spacing w:line="480" w:lineRule="auto"/>
        <w:jc w:val="center"/>
        <w:rPr>
          <w:rFonts w:ascii="Times New Roman" w:hAnsi="Times New Roman" w:cs="Times New Roman"/>
        </w:rPr>
      </w:pPr>
      <w:r>
        <w:rPr>
          <w:rFonts w:ascii="Times New Roman" w:hAnsi="Times New Roman" w:cs="Times New Roman"/>
        </w:rPr>
        <w:t>Cluster 2:</w:t>
      </w:r>
      <w:r w:rsidR="007E0A88">
        <w:rPr>
          <w:rFonts w:ascii="Times New Roman" w:hAnsi="Times New Roman" w:cs="Times New Roman"/>
        </w:rPr>
        <w:t xml:space="preserve"> Relatively high service count, average pay ratio.</w:t>
      </w:r>
    </w:p>
    <w:p w14:paraId="34787918" w14:textId="7179EB84" w:rsidR="00807246" w:rsidRDefault="007E0A88" w:rsidP="00BC61EF">
      <w:pPr>
        <w:spacing w:line="480" w:lineRule="auto"/>
        <w:rPr>
          <w:rFonts w:ascii="Times New Roman" w:hAnsi="Times New Roman" w:cs="Times New Roman"/>
        </w:rPr>
      </w:pPr>
      <w:r>
        <w:rPr>
          <w:rFonts w:ascii="Times New Roman" w:hAnsi="Times New Roman" w:cs="Times New Roman"/>
        </w:rPr>
        <w:t>The</w:t>
      </w:r>
      <w:r w:rsidR="00F146C6">
        <w:rPr>
          <w:rFonts w:ascii="Times New Roman" w:hAnsi="Times New Roman" w:cs="Times New Roman"/>
        </w:rPr>
        <w:t xml:space="preserve"> zip code region (0-9)</w:t>
      </w:r>
      <w:r>
        <w:rPr>
          <w:rFonts w:ascii="Times New Roman" w:hAnsi="Times New Roman" w:cs="Times New Roman"/>
        </w:rPr>
        <w:t xml:space="preserve"> was concatenated</w:t>
      </w:r>
      <w:r w:rsidR="00F146C6">
        <w:rPr>
          <w:rFonts w:ascii="Times New Roman" w:hAnsi="Times New Roman" w:cs="Times New Roman"/>
        </w:rPr>
        <w:t xml:space="preserve"> onto the data</w:t>
      </w:r>
      <w:r>
        <w:rPr>
          <w:rFonts w:ascii="Times New Roman" w:hAnsi="Times New Roman" w:cs="Times New Roman"/>
        </w:rPr>
        <w:t xml:space="preserve"> with the hope of being able to draw conclusions about where these clusters might occur in the United States</w:t>
      </w:r>
      <w:r w:rsidR="00F146C6">
        <w:rPr>
          <w:rFonts w:ascii="Times New Roman" w:hAnsi="Times New Roman" w:cs="Times New Roman"/>
        </w:rPr>
        <w:t>. Table 3 shows the relative frequency of each postal region in each individual cluster.</w:t>
      </w:r>
    </w:p>
    <w:p w14:paraId="6312CE27" w14:textId="3E20C625" w:rsidR="00F146C6" w:rsidRDefault="00F146C6" w:rsidP="00F146C6">
      <w:pPr>
        <w:pStyle w:val="Caption"/>
        <w:keepNext/>
        <w:jc w:val="center"/>
      </w:pPr>
      <w:r>
        <w:t>Table 3: Relative Proportion of data points in individual clusters in each Postal Region</w:t>
      </w:r>
    </w:p>
    <w:p w14:paraId="01DEB68E" w14:textId="7F1659AF" w:rsidR="00F146C6" w:rsidRPr="00807246" w:rsidRDefault="00F146C6" w:rsidP="00BC61EF">
      <w:pPr>
        <w:spacing w:line="480" w:lineRule="auto"/>
        <w:rPr>
          <w:rFonts w:ascii="Times New Roman" w:hAnsi="Times New Roman" w:cs="Times New Roman"/>
        </w:rPr>
      </w:pPr>
      <w:r>
        <w:rPr>
          <w:rFonts w:ascii="Times New Roman" w:hAnsi="Times New Roman" w:cs="Times New Roman"/>
          <w:noProof/>
        </w:rPr>
        <w:drawing>
          <wp:inline distT="0" distB="0" distL="0" distR="0" wp14:anchorId="177B9A78" wp14:editId="6BECA529">
            <wp:extent cx="5943600" cy="999490"/>
            <wp:effectExtent l="0" t="0" r="0"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1-27 at 5.52.54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999490"/>
                    </a:xfrm>
                    <a:prstGeom prst="rect">
                      <a:avLst/>
                    </a:prstGeom>
                  </pic:spPr>
                </pic:pic>
              </a:graphicData>
            </a:graphic>
          </wp:inline>
        </w:drawing>
      </w:r>
    </w:p>
    <w:p w14:paraId="3F17432A" w14:textId="77777777" w:rsidR="00B03135" w:rsidRDefault="007E0A88" w:rsidP="00803B68">
      <w:pPr>
        <w:spacing w:line="480" w:lineRule="auto"/>
        <w:rPr>
          <w:rFonts w:ascii="Times New Roman" w:hAnsi="Times New Roman" w:cs="Times New Roman"/>
        </w:rPr>
      </w:pPr>
      <w:r>
        <w:rPr>
          <w:rFonts w:ascii="Times New Roman" w:hAnsi="Times New Roman" w:cs="Times New Roman"/>
        </w:rPr>
        <w:t xml:space="preserve">Analyzing Table 3, the mean amount tells us how often </w:t>
      </w:r>
      <w:r w:rsidR="00B03135">
        <w:rPr>
          <w:rFonts w:ascii="Times New Roman" w:hAnsi="Times New Roman" w:cs="Times New Roman"/>
        </w:rPr>
        <w:t>a certain region of the country falls within a specific cluster. The assumption is that the relative proportion in each cluster will be consistent, and therefore based on the population in each region. The sum of the relative proportions in each region should approximately add to 1.</w:t>
      </w:r>
    </w:p>
    <w:p w14:paraId="3AA93153" w14:textId="3389F744" w:rsidR="00A1044E" w:rsidRDefault="007307F9" w:rsidP="00803B68">
      <w:pPr>
        <w:spacing w:line="480" w:lineRule="auto"/>
        <w:rPr>
          <w:rFonts w:ascii="Times New Roman" w:hAnsi="Times New Roman" w:cs="Times New Roman"/>
        </w:rPr>
      </w:pPr>
      <w:r>
        <w:rPr>
          <w:rFonts w:ascii="Times New Roman" w:hAnsi="Times New Roman" w:cs="Times New Roman"/>
        </w:rPr>
        <w:lastRenderedPageBreak/>
        <w:t xml:space="preserve">In all regions, the relative proportions are very consistent between clusters 0 and 1 despite the difference in pay ratio. This leads to the conclusion that the difference in pay ratio is not due to the </w:t>
      </w:r>
      <w:r w:rsidR="00A1044E">
        <w:rPr>
          <w:rFonts w:ascii="Times New Roman" w:hAnsi="Times New Roman" w:cs="Times New Roman"/>
        </w:rPr>
        <w:t xml:space="preserve">people in a certain region being more susceptible to need that treatment. </w:t>
      </w:r>
    </w:p>
    <w:p w14:paraId="3E6D67F7" w14:textId="46D84887" w:rsidR="00FF0D63" w:rsidRPr="00FF0D63" w:rsidRDefault="00FF0D63" w:rsidP="00803B68">
      <w:pPr>
        <w:spacing w:line="480" w:lineRule="auto"/>
        <w:rPr>
          <w:rFonts w:ascii="Times New Roman" w:hAnsi="Times New Roman" w:cs="Times New Roman"/>
        </w:rPr>
      </w:pPr>
      <w:r>
        <w:rPr>
          <w:rFonts w:ascii="Times New Roman" w:hAnsi="Times New Roman" w:cs="Times New Roman"/>
        </w:rPr>
        <w:t>However, one valuable</w:t>
      </w:r>
      <w:r>
        <w:rPr>
          <w:rFonts w:ascii="Times New Roman" w:hAnsi="Times New Roman" w:cs="Times New Roman"/>
        </w:rPr>
        <w:t xml:space="preserve"> </w:t>
      </w:r>
      <w:r>
        <w:rPr>
          <w:rFonts w:ascii="Times New Roman" w:hAnsi="Times New Roman" w:cs="Times New Roman"/>
        </w:rPr>
        <w:t>insight</w:t>
      </w:r>
      <w:r>
        <w:rPr>
          <w:rFonts w:ascii="Times New Roman" w:hAnsi="Times New Roman" w:cs="Times New Roman"/>
        </w:rPr>
        <w:t xml:space="preserve"> from Table 3</w:t>
      </w:r>
      <w:r>
        <w:rPr>
          <w:rFonts w:ascii="Times New Roman" w:hAnsi="Times New Roman" w:cs="Times New Roman"/>
        </w:rPr>
        <w:t xml:space="preserve"> </w:t>
      </w:r>
      <w:r>
        <w:rPr>
          <w:rFonts w:ascii="Times New Roman" w:hAnsi="Times New Roman" w:cs="Times New Roman"/>
        </w:rPr>
        <w:t>is</w:t>
      </w:r>
      <w:r>
        <w:rPr>
          <w:rFonts w:ascii="Times New Roman" w:hAnsi="Times New Roman" w:cs="Times New Roman"/>
        </w:rPr>
        <w:t xml:space="preserve"> </w:t>
      </w:r>
      <w:r>
        <w:rPr>
          <w:rFonts w:ascii="Times New Roman" w:hAnsi="Times New Roman" w:cs="Times New Roman"/>
        </w:rPr>
        <w:t>the difference between the relative frequencies in</w:t>
      </w:r>
      <w:r>
        <w:rPr>
          <w:rFonts w:ascii="Times New Roman" w:hAnsi="Times New Roman" w:cs="Times New Roman"/>
        </w:rPr>
        <w:t xml:space="preserve"> </w:t>
      </w:r>
      <w:r>
        <w:rPr>
          <w:rFonts w:ascii="Times New Roman" w:hAnsi="Times New Roman" w:cs="Times New Roman"/>
        </w:rPr>
        <w:t xml:space="preserve">clusters 0 and 1 compared to cluster 2. It seems that based on the relative frequencies, providers in zip regions 0, 1, 4, and 5 are less likely to fall into cluster 2. However, </w:t>
      </w:r>
      <w:r>
        <w:rPr>
          <w:rFonts w:ascii="Times New Roman" w:hAnsi="Times New Roman" w:cs="Times New Roman"/>
        </w:rPr>
        <w:t xml:space="preserve">providers in zip regions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 xml:space="preserve">, and </w:t>
      </w:r>
      <w:r>
        <w:rPr>
          <w:rFonts w:ascii="Times New Roman" w:hAnsi="Times New Roman" w:cs="Times New Roman"/>
        </w:rPr>
        <w:t>7</w:t>
      </w:r>
      <w:r>
        <w:rPr>
          <w:rFonts w:ascii="Times New Roman" w:hAnsi="Times New Roman" w:cs="Times New Roman"/>
        </w:rPr>
        <w:t xml:space="preserve"> are </w:t>
      </w:r>
      <w:r>
        <w:rPr>
          <w:rFonts w:ascii="Times New Roman" w:hAnsi="Times New Roman" w:cs="Times New Roman"/>
        </w:rPr>
        <w:t>more</w:t>
      </w:r>
      <w:r>
        <w:rPr>
          <w:rFonts w:ascii="Times New Roman" w:hAnsi="Times New Roman" w:cs="Times New Roman"/>
        </w:rPr>
        <w:t xml:space="preserve"> likely to fall into cluster 2.</w:t>
      </w:r>
    </w:p>
    <w:p w14:paraId="07D6084F" w14:textId="188D0355" w:rsidR="00A1044E" w:rsidRDefault="00A1044E" w:rsidP="00A1044E">
      <w:pPr>
        <w:pStyle w:val="Caption"/>
        <w:keepNext/>
        <w:jc w:val="center"/>
      </w:pPr>
      <w:r>
        <w:t>Table 4</w:t>
      </w:r>
      <w:r>
        <w:t xml:space="preserve">: Relative Proportion of data points in individual clusters </w:t>
      </w:r>
      <w:r>
        <w:t>for each HCPCS code</w:t>
      </w:r>
      <w:r>
        <w:rPr>
          <w:rFonts w:ascii="Times New Roman" w:hAnsi="Times New Roman" w:cs="Times New Roman"/>
          <w:noProof/>
        </w:rPr>
        <w:drawing>
          <wp:inline distT="0" distB="0" distL="0" distR="0" wp14:anchorId="49DB8980" wp14:editId="171FC690">
            <wp:extent cx="5943600" cy="85598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1-27 at 6.23.52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855980"/>
                    </a:xfrm>
                    <a:prstGeom prst="rect">
                      <a:avLst/>
                    </a:prstGeom>
                  </pic:spPr>
                </pic:pic>
              </a:graphicData>
            </a:graphic>
          </wp:inline>
        </w:drawing>
      </w:r>
    </w:p>
    <w:p w14:paraId="1CAA0857" w14:textId="3CC58562" w:rsidR="00803B68" w:rsidRDefault="00FF0D63" w:rsidP="00803B68">
      <w:pPr>
        <w:spacing w:line="480" w:lineRule="auto"/>
        <w:rPr>
          <w:rFonts w:ascii="Times New Roman" w:hAnsi="Times New Roman" w:cs="Times New Roman"/>
        </w:rPr>
      </w:pPr>
      <w:r>
        <w:rPr>
          <w:rFonts w:ascii="Times New Roman" w:hAnsi="Times New Roman" w:cs="Times New Roman"/>
        </w:rPr>
        <w:t xml:space="preserve">Looking at Table 4, we also conclude that the difference in pay ratio is not due to a difference in treatment type because the relative proportion of each treatment type is very similar across clusters. This leads to the conclusion that the difference in the clusters is probably due to a difference in provider which is not </w:t>
      </w:r>
      <w:r w:rsidR="00803B68">
        <w:rPr>
          <w:rFonts w:ascii="Times New Roman" w:hAnsi="Times New Roman" w:cs="Times New Roman"/>
        </w:rPr>
        <w:t>included</w:t>
      </w:r>
      <w:r>
        <w:rPr>
          <w:rFonts w:ascii="Times New Roman" w:hAnsi="Times New Roman" w:cs="Times New Roman"/>
        </w:rPr>
        <w:t xml:space="preserve"> in the data.</w:t>
      </w:r>
      <w:r>
        <w:rPr>
          <w:rFonts w:ascii="Times New Roman" w:hAnsi="Times New Roman" w:cs="Times New Roman"/>
        </w:rPr>
        <w:t xml:space="preserve"> </w:t>
      </w:r>
      <w:r w:rsidR="00A1044E">
        <w:rPr>
          <w:rFonts w:ascii="Times New Roman" w:hAnsi="Times New Roman" w:cs="Times New Roman"/>
        </w:rPr>
        <w:t>For instance, I believe the relatively large difference for the unique service count between clusters 0 and 1 and cluster 2 is due to a difference in provider. For instance, I would suppose that certain providers such as pediatricians or walk-in clinics are more likely to provide these common outpatient services such as general checkups, and therefore would have a higher unique service count than more specialized providers.</w:t>
      </w:r>
      <w:r>
        <w:rPr>
          <w:rFonts w:ascii="Times New Roman" w:hAnsi="Times New Roman" w:cs="Times New Roman"/>
        </w:rPr>
        <w:t xml:space="preserve"> Combining our intuition from Tables 3 and 4, we might conclude that there is better access to these </w:t>
      </w:r>
      <w:bookmarkStart w:id="0" w:name="_GoBack"/>
      <w:bookmarkEnd w:id="0"/>
      <w:r w:rsidR="00803B68">
        <w:rPr>
          <w:rFonts w:ascii="Times New Roman" w:hAnsi="Times New Roman" w:cs="Times New Roman"/>
        </w:rPr>
        <w:t>high-volume</w:t>
      </w:r>
      <w:r>
        <w:rPr>
          <w:rFonts w:ascii="Times New Roman" w:hAnsi="Times New Roman" w:cs="Times New Roman"/>
        </w:rPr>
        <w:t xml:space="preserve"> providers in zip regions 2, 3, and 7 than in other regions across the country.</w:t>
      </w:r>
    </w:p>
    <w:p w14:paraId="7132BF20" w14:textId="4765487A" w:rsidR="00B02AF7" w:rsidRDefault="00B02AF7" w:rsidP="00A1044E">
      <w:pPr>
        <w:spacing w:line="480" w:lineRule="auto"/>
        <w:ind w:firstLine="720"/>
        <w:rPr>
          <w:rFonts w:ascii="Times New Roman" w:hAnsi="Times New Roman" w:cs="Times New Roman"/>
        </w:rPr>
      </w:pPr>
      <w:r>
        <w:rPr>
          <w:rFonts w:ascii="Times New Roman" w:hAnsi="Times New Roman" w:cs="Times New Roman"/>
        </w:rPr>
        <w:br w:type="page"/>
      </w:r>
    </w:p>
    <w:p w14:paraId="750F1C7D" w14:textId="2CE3D7F1" w:rsidR="00A768EF" w:rsidRDefault="00B02AF7" w:rsidP="00B02AF7">
      <w:pPr>
        <w:tabs>
          <w:tab w:val="left" w:pos="3138"/>
        </w:tabs>
        <w:spacing w:line="480" w:lineRule="auto"/>
        <w:jc w:val="center"/>
        <w:rPr>
          <w:rFonts w:ascii="Times New Roman" w:hAnsi="Times New Roman" w:cs="Times New Roman"/>
        </w:rPr>
      </w:pPr>
      <w:r>
        <w:rPr>
          <w:rFonts w:ascii="Times New Roman" w:hAnsi="Times New Roman" w:cs="Times New Roman"/>
        </w:rPr>
        <w:lastRenderedPageBreak/>
        <w:t>Works Cited:</w:t>
      </w:r>
    </w:p>
    <w:p w14:paraId="081B95B9" w14:textId="32C4697A" w:rsidR="00B02AF7" w:rsidRDefault="00B02AF7" w:rsidP="00B02AF7">
      <w:pPr>
        <w:pStyle w:val="NormalWeb"/>
        <w:numPr>
          <w:ilvl w:val="0"/>
          <w:numId w:val="1"/>
        </w:numPr>
        <w:rPr>
          <w:color w:val="000000"/>
        </w:rPr>
      </w:pPr>
      <w:r>
        <w:rPr>
          <w:color w:val="000000"/>
        </w:rPr>
        <w:t>“U.S. ZIP Codes: Free ZIP Code Map and Zip Code Lookup.”</w:t>
      </w:r>
      <w:r>
        <w:rPr>
          <w:rStyle w:val="apple-converted-space"/>
          <w:color w:val="000000"/>
        </w:rPr>
        <w:t> </w:t>
      </w:r>
      <w:proofErr w:type="spellStart"/>
      <w:r>
        <w:rPr>
          <w:i/>
          <w:iCs/>
          <w:color w:val="000000"/>
        </w:rPr>
        <w:t>UnitedStatesZipCodes</w:t>
      </w:r>
      <w:proofErr w:type="spellEnd"/>
      <w:r>
        <w:rPr>
          <w:color w:val="000000"/>
        </w:rPr>
        <w:t>, 2020, www.unitedstateszipcodes.org/.</w:t>
      </w:r>
    </w:p>
    <w:p w14:paraId="3BE00491" w14:textId="77777777" w:rsidR="00B02AF7" w:rsidRPr="00A768EF" w:rsidRDefault="00B02AF7" w:rsidP="00A768EF">
      <w:pPr>
        <w:tabs>
          <w:tab w:val="left" w:pos="3138"/>
        </w:tabs>
        <w:spacing w:line="480" w:lineRule="auto"/>
        <w:rPr>
          <w:rFonts w:ascii="Times New Roman" w:hAnsi="Times New Roman" w:cs="Times New Roman"/>
        </w:rPr>
      </w:pPr>
    </w:p>
    <w:sectPr w:rsidR="00B02AF7" w:rsidRPr="00A768EF"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E4635"/>
    <w:multiLevelType w:val="hybridMultilevel"/>
    <w:tmpl w:val="91A25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4B"/>
    <w:rsid w:val="00011977"/>
    <w:rsid w:val="000464DD"/>
    <w:rsid w:val="00153CCF"/>
    <w:rsid w:val="00267018"/>
    <w:rsid w:val="00282796"/>
    <w:rsid w:val="00342D7C"/>
    <w:rsid w:val="004D769C"/>
    <w:rsid w:val="005754FF"/>
    <w:rsid w:val="005B14C0"/>
    <w:rsid w:val="007307F9"/>
    <w:rsid w:val="007E0A88"/>
    <w:rsid w:val="00803B68"/>
    <w:rsid w:val="00807246"/>
    <w:rsid w:val="0087010A"/>
    <w:rsid w:val="0094765F"/>
    <w:rsid w:val="00A1044E"/>
    <w:rsid w:val="00A768EF"/>
    <w:rsid w:val="00B02AF7"/>
    <w:rsid w:val="00B03135"/>
    <w:rsid w:val="00B1306B"/>
    <w:rsid w:val="00BC61EF"/>
    <w:rsid w:val="00D14D1C"/>
    <w:rsid w:val="00F146C6"/>
    <w:rsid w:val="00F91E4B"/>
    <w:rsid w:val="00FF0D63"/>
    <w:rsid w:val="00FF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45BB"/>
  <w14:defaultImageDpi w14:val="32767"/>
  <w15:chartTrackingRefBased/>
  <w15:docId w15:val="{8606DD4B-99E2-8042-947C-DA6F1418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1306B"/>
    <w:pPr>
      <w:spacing w:after="200"/>
    </w:pPr>
    <w:rPr>
      <w:i/>
      <w:iCs/>
      <w:color w:val="44546A" w:themeColor="text2"/>
      <w:sz w:val="18"/>
      <w:szCs w:val="18"/>
    </w:rPr>
  </w:style>
  <w:style w:type="paragraph" w:styleId="NormalWeb">
    <w:name w:val="Normal (Web)"/>
    <w:basedOn w:val="Normal"/>
    <w:uiPriority w:val="99"/>
    <w:semiHidden/>
    <w:unhideWhenUsed/>
    <w:rsid w:val="00B02AF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02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144092">
      <w:bodyDiv w:val="1"/>
      <w:marLeft w:val="0"/>
      <w:marRight w:val="0"/>
      <w:marTop w:val="0"/>
      <w:marBottom w:val="0"/>
      <w:divBdr>
        <w:top w:val="none" w:sz="0" w:space="0" w:color="auto"/>
        <w:left w:val="none" w:sz="0" w:space="0" w:color="auto"/>
        <w:bottom w:val="none" w:sz="0" w:space="0" w:color="auto"/>
        <w:right w:val="none" w:sz="0" w:space="0" w:color="auto"/>
      </w:divBdr>
    </w:div>
    <w:div w:id="1380126929">
      <w:bodyDiv w:val="1"/>
      <w:marLeft w:val="0"/>
      <w:marRight w:val="0"/>
      <w:marTop w:val="0"/>
      <w:marBottom w:val="0"/>
      <w:divBdr>
        <w:top w:val="none" w:sz="0" w:space="0" w:color="auto"/>
        <w:left w:val="none" w:sz="0" w:space="0" w:color="auto"/>
        <w:bottom w:val="none" w:sz="0" w:space="0" w:color="auto"/>
        <w:right w:val="none" w:sz="0" w:space="0" w:color="auto"/>
      </w:divBdr>
    </w:div>
    <w:div w:id="1624771884">
      <w:bodyDiv w:val="1"/>
      <w:marLeft w:val="0"/>
      <w:marRight w:val="0"/>
      <w:marTop w:val="0"/>
      <w:marBottom w:val="0"/>
      <w:divBdr>
        <w:top w:val="none" w:sz="0" w:space="0" w:color="auto"/>
        <w:left w:val="none" w:sz="0" w:space="0" w:color="auto"/>
        <w:bottom w:val="none" w:sz="0" w:space="0" w:color="auto"/>
        <w:right w:val="none" w:sz="0" w:space="0" w:color="auto"/>
      </w:divBdr>
      <w:divsChild>
        <w:div w:id="1489597023">
          <w:marLeft w:val="0"/>
          <w:marRight w:val="0"/>
          <w:marTop w:val="0"/>
          <w:marBottom w:val="0"/>
          <w:divBdr>
            <w:top w:val="none" w:sz="0" w:space="0" w:color="auto"/>
            <w:left w:val="none" w:sz="0" w:space="0" w:color="auto"/>
            <w:bottom w:val="none" w:sz="0" w:space="0" w:color="auto"/>
            <w:right w:val="none" w:sz="0" w:space="0" w:color="auto"/>
          </w:divBdr>
          <w:divsChild>
            <w:div w:id="34159622">
              <w:marLeft w:val="0"/>
              <w:marRight w:val="0"/>
              <w:marTop w:val="0"/>
              <w:marBottom w:val="0"/>
              <w:divBdr>
                <w:top w:val="none" w:sz="0" w:space="0" w:color="auto"/>
                <w:left w:val="none" w:sz="0" w:space="0" w:color="auto"/>
                <w:bottom w:val="none" w:sz="0" w:space="0" w:color="auto"/>
                <w:right w:val="none" w:sz="0" w:space="0" w:color="auto"/>
              </w:divBdr>
              <w:divsChild>
                <w:div w:id="5701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8</cp:revision>
  <dcterms:created xsi:type="dcterms:W3CDTF">2020-01-27T09:21:00Z</dcterms:created>
  <dcterms:modified xsi:type="dcterms:W3CDTF">2020-01-27T12:50:00Z</dcterms:modified>
</cp:coreProperties>
</file>